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征收农用地和未利用地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区片综合地价及土地补偿费与安置补助费比例表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1"/>
          <w:lang w:val="en-US" w:eastAsia="zh-CN"/>
        </w:rPr>
        <w:t xml:space="preserve">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/>
        </w:rPr>
        <w:t>单位：元/亩</w:t>
      </w:r>
    </w:p>
    <w:tbl>
      <w:tblPr>
        <w:tblStyle w:val="7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97"/>
        <w:gridCol w:w="930"/>
        <w:gridCol w:w="930"/>
        <w:gridCol w:w="811"/>
        <w:gridCol w:w="825"/>
        <w:gridCol w:w="811"/>
        <w:gridCol w:w="1375"/>
        <w:gridCol w:w="6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9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县（市、区）名称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区片编号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未利用地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8"/>
              </w:rPr>
              <w:t>土地补偿费：安置补助费</w:t>
            </w:r>
          </w:p>
        </w:tc>
        <w:tc>
          <w:tcPr>
            <w:tcW w:w="629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区片范围描述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耕地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种植园用地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林地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草地</w:t>
            </w:r>
          </w:p>
        </w:tc>
        <w:tc>
          <w:tcPr>
            <w:tcW w:w="811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tabs>
                <w:tab w:val="left" w:pos="2505"/>
              </w:tabs>
              <w:adjustRightInd w:val="0"/>
              <w:snapToGrid w:val="0"/>
              <w:spacing w:after="200" w:line="220" w:lineRule="atLeast"/>
              <w:ind w:right="1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95" w:type="dxa"/>
            <w:vMerge w:val="continue"/>
            <w:vAlign w:val="center"/>
          </w:tcPr>
          <w:p>
            <w:pPr>
              <w:widowControl/>
              <w:tabs>
                <w:tab w:val="left" w:pos="2505"/>
              </w:tabs>
              <w:adjustRightInd w:val="0"/>
              <w:snapToGrid w:val="0"/>
              <w:spacing w:after="200" w:line="220" w:lineRule="atLeast"/>
              <w:ind w:right="12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眉    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121300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121300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84900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60690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48520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首善街道区片1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首善街道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东关社区、三寨村、三和村、通远村（原段家庄村）、东四新村（原新庄村）、西关村、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景贤社区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63460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63460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44440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31750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25390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首善街道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北兴村。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57310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57310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40130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28670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22930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常兴镇区片1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常兴镇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常兴村、武安新村（原上塬村）、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郭何村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50220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50220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35160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25110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20090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平原区片1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槐芽镇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所辖村；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金渠镇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教坊村、红星村、年第村、八寨村；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汤峪镇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八庄村。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49120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49120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34400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24580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19650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常兴镇区片2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：汶家滩村、马家村、杨家村、北渭村、北塬村、河祁村、安刘塬村、尧柳村、武安新村（原白家村）、石莲寺村、渭滨新村。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47230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47230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33070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23630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18900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首善街道区片2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首善街道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王长官寨村、联丰村、通远村（原醋家塬村）、东四新村（原双明村、红东村）、五坳村、第五村、岳北村、葫芦峪村；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金渠镇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金渠村、宁渠村、河底村、蔡家崖村、田家寨村、范家寨村、枣林村。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46820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46820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32760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23410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18730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平原区片2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齐镇村、三星村、南寨村、凉阁村、齐镇营头林场、官亭村、齐西村、斜峪关村、上庙村、党家寨村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横渠镇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横渠村、古城村、豆家堡村、红祥村、土岭村、河滩村、文谢村、万家塬村、武家堡村、青化村、西寨村、石马寺村、风池村、金河村、李魏村、曹梁村、柳林滩马场。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42530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42530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29790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21280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17020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浅山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区片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汤峪镇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豆家河村、汤峪村、楼观塬村、钟吕坪村、羊讲村、新联村、梁村、屈刘堡村、郝口坡村、小法仪村、屯庄村；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营头镇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黄家村、新河村、营头村、第二坡村、和平村、万霞村。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610326009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39250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39250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27480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19630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15700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3:7</w:t>
            </w:r>
          </w:p>
        </w:tc>
        <w:tc>
          <w:tcPr>
            <w:tcW w:w="6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山区区片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营头镇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红河谷村、陕西省太白山旅游区、营头林场；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汤峪镇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陕西省太白山旅游区。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</w:pPr>
    </w:p>
    <w:sectPr>
      <w:footerReference r:id="rId3" w:type="default"/>
      <w:pgSz w:w="16838" w:h="11906" w:orient="landscape"/>
      <w:pgMar w:top="1701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E4B02"/>
    <w:rsid w:val="0083779F"/>
    <w:rsid w:val="039F3D68"/>
    <w:rsid w:val="057B38B7"/>
    <w:rsid w:val="083126D3"/>
    <w:rsid w:val="09E70964"/>
    <w:rsid w:val="133F4F2A"/>
    <w:rsid w:val="190C1DA5"/>
    <w:rsid w:val="30231620"/>
    <w:rsid w:val="346D14B8"/>
    <w:rsid w:val="34BE4B02"/>
    <w:rsid w:val="3DD3562E"/>
    <w:rsid w:val="4ACF2E90"/>
    <w:rsid w:val="4AD55F36"/>
    <w:rsid w:val="4B2A4B8F"/>
    <w:rsid w:val="58F109B9"/>
    <w:rsid w:val="6A942D1D"/>
    <w:rsid w:val="6ECC1F6E"/>
    <w:rsid w:val="70E94212"/>
    <w:rsid w:val="7EF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网格型3123"/>
    <w:basedOn w:val="5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2021-01-12T08:34:00Z</dcterms:created>
  <dc:creator>梁</dc:creator>
  <cp:lastModifiedBy>Administrator</cp:lastModifiedBy>
  <cp:lastPrinted>2021-01-18T08:03:00Z</cp:lastPrinted>
  <dcterms:modified xsi:type="dcterms:W3CDTF">2022-01-25T01:31:47Z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F2F39E4BE49A472DB7456ACBDD319C67</vt:lpwstr>
  </property>
</Properties>
</file>