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光小标宋_CNKI" w:hAnsi="华光小标宋_CNKI" w:eastAsia="华光小标宋_CNKI" w:cs="华光小标宋_CNKI"/>
          <w:sz w:val="44"/>
          <w:szCs w:val="44"/>
          <w:lang w:val="en-US" w:eastAsia="zh-CN"/>
        </w:rPr>
      </w:pPr>
    </w:p>
    <w:p>
      <w:pPr>
        <w:pStyle w:val="7"/>
        <w:keepNext w:val="0"/>
        <w:keepLines w:val="0"/>
        <w:pageBreakBefore w:val="0"/>
        <w:kinsoku/>
        <w:wordWrap/>
        <w:overflowPunct/>
        <w:topLinePunct w:val="0"/>
        <w:autoSpaceDE/>
        <w:autoSpaceDN/>
        <w:bidi w:val="0"/>
        <w:spacing w:line="560" w:lineRule="exact"/>
        <w:jc w:val="both"/>
        <w:textAlignment w:val="auto"/>
        <w:rPr>
          <w:rFonts w:hint="eastAsia" w:ascii="华光小标宋_CNKI" w:hAnsi="华光小标宋_CNKI" w:eastAsia="华光小标宋_CNKI" w:cs="华光小标宋_CNKI"/>
          <w:sz w:val="44"/>
          <w:szCs w:val="44"/>
          <w:lang w:val="en-US" w:eastAsia="zh-CN"/>
        </w:rPr>
      </w:pPr>
    </w:p>
    <w:p>
      <w:pPr>
        <w:rPr>
          <w:rFonts w:hint="eastAsia" w:ascii="华光小标宋_CNKI" w:hAnsi="华光小标宋_CNKI" w:eastAsia="华光小标宋_CNKI" w:cs="华光小标宋_CNKI"/>
          <w:sz w:val="44"/>
          <w:szCs w:val="44"/>
          <w:lang w:val="en-US" w:eastAsia="zh-CN"/>
        </w:rPr>
      </w:pPr>
    </w:p>
    <w:p>
      <w:pPr>
        <w:pStyle w:val="7"/>
        <w:rPr>
          <w:rFonts w:hint="eastAsia"/>
          <w:lang w:val="en-US" w:eastAsia="zh-CN"/>
        </w:rPr>
      </w:pPr>
    </w:p>
    <w:p>
      <w:pPr>
        <w:pStyle w:val="8"/>
        <w:rPr>
          <w:rFonts w:hint="eastAsia"/>
          <w:lang w:val="en-US" w:eastAsia="zh-CN"/>
        </w:rPr>
      </w:pPr>
    </w:p>
    <w:p>
      <w:pPr>
        <w:rPr>
          <w:rFonts w:hint="eastAsia"/>
          <w:lang w:val="en-US" w:eastAsia="zh-CN"/>
        </w:rPr>
      </w:pPr>
    </w:p>
    <w:p>
      <w:pPr>
        <w:pStyle w:val="7"/>
        <w:jc w:val="both"/>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仿宋_GB2312"/>
          <w:color w:val="000000"/>
          <w:sz w:val="32"/>
          <w:szCs w:val="32"/>
          <w:lang w:val="en-US" w:eastAsia="zh-CN"/>
        </w:rPr>
      </w:pPr>
      <w:r>
        <w:rPr>
          <w:rFonts w:hint="eastAsia" w:ascii="仿宋_GB2312" w:hAnsi="Times New Roman" w:eastAsia="仿宋_GB2312" w:cs="仿宋_GB2312"/>
          <w:color w:val="000000"/>
          <w:sz w:val="32"/>
          <w:szCs w:val="32"/>
        </w:rPr>
        <w:t>眉发〔202</w:t>
      </w:r>
      <w:r>
        <w:rPr>
          <w:rFonts w:hint="eastAsia" w:ascii="仿宋_GB2312" w:hAnsi="Times New Roman" w:eastAsia="仿宋_GB2312" w:cs="仿宋_GB2312"/>
          <w:color w:val="000000"/>
          <w:sz w:val="32"/>
          <w:szCs w:val="32"/>
          <w:lang w:val="en-US" w:eastAsia="zh-CN"/>
        </w:rPr>
        <w:t>3</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lang w:val="en-US" w:eastAsia="zh-CN"/>
        </w:rPr>
        <w:t>8号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光小标宋_CNKI" w:hAnsi="华光小标宋_CNKI" w:eastAsia="华光小标宋_CNKI" w:cs="华光小标宋_CNKI"/>
          <w:sz w:val="44"/>
          <w:szCs w:val="44"/>
          <w:lang w:val="en-US" w:eastAsia="zh-CN"/>
        </w:rPr>
      </w:pPr>
    </w:p>
    <w:p>
      <w:pPr>
        <w:pStyle w:val="2"/>
        <w:rPr>
          <w:rFonts w:hint="eastAsia"/>
          <w:lang w:val="en-US" w:eastAsia="zh-CN"/>
        </w:rPr>
      </w:pPr>
    </w:p>
    <w:p>
      <w:pPr>
        <w:pStyle w:val="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kern w:val="2"/>
          <w:sz w:val="44"/>
          <w:szCs w:val="44"/>
          <w:lang w:val="en-US" w:eastAsia="zh-CN" w:bidi="ar-SA"/>
        </w:rPr>
      </w:pPr>
      <w:bookmarkStart w:id="2" w:name="_GoBack"/>
      <w:r>
        <w:rPr>
          <w:rFonts w:hint="eastAsia" w:ascii="方正小标宋简体" w:hAnsi="方正小标宋简体" w:eastAsia="方正小标宋简体" w:cs="方正小标宋简体"/>
          <w:spacing w:val="0"/>
          <w:kern w:val="2"/>
          <w:sz w:val="44"/>
          <w:szCs w:val="44"/>
          <w:lang w:val="en-US" w:eastAsia="zh-CN" w:bidi="ar-SA"/>
        </w:rPr>
        <w:t>中共眉县县委</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眉县人民政府</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sz w:val="44"/>
          <w:szCs w:val="44"/>
          <w:lang w:val="en-US" w:eastAsia="zh-CN"/>
        </w:rPr>
        <w:t>关于印发《眉县</w:t>
      </w:r>
      <w:r>
        <w:rPr>
          <w:rFonts w:hint="eastAsia" w:ascii="方正小标宋简体" w:hAnsi="方正小标宋简体" w:eastAsia="方正小标宋简体" w:cs="方正小标宋简体"/>
          <w:color w:val="auto"/>
          <w:sz w:val="44"/>
          <w:szCs w:val="36"/>
        </w:rPr>
        <w:t>高质量项目推进年</w:t>
      </w:r>
      <w:r>
        <w:rPr>
          <w:rFonts w:hint="eastAsia" w:ascii="方正小标宋简体" w:hAnsi="方正小标宋简体" w:eastAsia="方正小标宋简体" w:cs="方正小标宋简体"/>
          <w:color w:val="auto"/>
          <w:sz w:val="44"/>
          <w:szCs w:val="36"/>
          <w:lang w:val="en-US" w:eastAsia="zh-CN"/>
        </w:rPr>
        <w:t>行动方案》</w:t>
      </w:r>
      <w:r>
        <w:rPr>
          <w:rFonts w:hint="eastAsia" w:ascii="方正小标宋简体" w:hAnsi="方正小标宋简体" w:eastAsia="方正小标宋简体" w:cs="方正小标宋简体"/>
          <w:color w:val="auto"/>
          <w:sz w:val="44"/>
          <w:szCs w:val="36"/>
          <w:lang w:eastAsia="zh-CN"/>
        </w:rPr>
        <w:t>《</w:t>
      </w:r>
      <w:r>
        <w:rPr>
          <w:rFonts w:hint="eastAsia" w:ascii="方正小标宋简体" w:hAnsi="方正小标宋简体" w:eastAsia="方正小标宋简体" w:cs="方正小标宋简体"/>
          <w:color w:val="auto"/>
          <w:sz w:val="44"/>
          <w:szCs w:val="36"/>
          <w:lang w:val="en-US" w:eastAsia="zh-CN"/>
        </w:rPr>
        <w:t>眉县</w:t>
      </w:r>
      <w:r>
        <w:rPr>
          <w:rFonts w:hint="eastAsia" w:ascii="方正小标宋简体" w:hAnsi="方正小标宋简体" w:eastAsia="方正小标宋简体" w:cs="方正小标宋简体"/>
          <w:color w:val="auto"/>
          <w:sz w:val="44"/>
          <w:szCs w:val="36"/>
          <w:lang w:eastAsia="zh-CN"/>
        </w:rPr>
        <w:t>营商环境突破年</w:t>
      </w:r>
      <w:r>
        <w:rPr>
          <w:rFonts w:hint="eastAsia" w:ascii="方正小标宋简体" w:hAnsi="方正小标宋简体" w:eastAsia="方正小标宋简体" w:cs="方正小标宋简体"/>
          <w:color w:val="auto"/>
          <w:sz w:val="44"/>
          <w:szCs w:val="36"/>
          <w:lang w:val="en-US" w:eastAsia="zh-CN"/>
        </w:rPr>
        <w:t>行动方案》《眉县</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44"/>
          <w:szCs w:val="36"/>
          <w:lang w:eastAsia="zh-CN"/>
        </w:rPr>
        <w:t>干部作风能力提升年</w:t>
      </w:r>
      <w:r>
        <w:rPr>
          <w:rFonts w:hint="eastAsia" w:ascii="方正小标宋简体" w:hAnsi="方正小标宋简体" w:eastAsia="方正小标宋简体" w:cs="方正小标宋简体"/>
          <w:sz w:val="44"/>
          <w:szCs w:val="44"/>
          <w:lang w:val="en-US" w:eastAsia="zh-CN"/>
        </w:rPr>
        <w:t>行动方案》的</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通   知</w:t>
      </w:r>
    </w:p>
    <w:bookmarkEnd w:id="2"/>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eastAsia" w:ascii="华光小标宋_CNKI" w:hAnsi="华光小标宋_CNKI" w:eastAsia="华光小标宋_CNKI" w:cs="华光小标宋_CNKI"/>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各镇（街）党（工）委，镇人民政府、街道办事处，县委和县级国家机关各部门，各人民团体：</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今年是全面贯彻落实党的二十大精神开局之年，也是实施“十四五”规划的关键之年，做好今年工作意义重大。全县</w:t>
      </w:r>
      <w:r>
        <w:rPr>
          <w:rFonts w:hint="eastAsia" w:ascii="仿宋_GB2312" w:hAnsi="仿宋_GB2312" w:eastAsia="仿宋_GB2312" w:cs="仿宋_GB2312"/>
          <w:color w:val="000000"/>
          <w:spacing w:val="0"/>
          <w:sz w:val="32"/>
          <w:szCs w:val="32"/>
          <w:u w:val="none"/>
          <w:lang w:val="en-US" w:eastAsia="zh-CN"/>
        </w:rPr>
        <w:t>各级各部门要坚决</w:t>
      </w:r>
      <w:r>
        <w:rPr>
          <w:rFonts w:hint="eastAsia" w:ascii="仿宋_GB2312" w:hAnsi="仿宋_GB2312" w:eastAsia="仿宋_GB2312" w:cs="仿宋_GB2312"/>
          <w:sz w:val="32"/>
          <w:szCs w:val="32"/>
          <w:lang w:val="en-US" w:eastAsia="zh-CN"/>
        </w:rPr>
        <w:t>贯彻落实党中央、国务院决策部署和</w:t>
      </w:r>
      <w:r>
        <w:rPr>
          <w:rFonts w:hint="eastAsia" w:ascii="仿宋_GB2312" w:hAnsi="仿宋_GB2312" w:eastAsia="仿宋_GB2312" w:cs="仿宋_GB2312"/>
          <w:sz w:val="32"/>
          <w:szCs w:val="32"/>
          <w:u w:val="none"/>
          <w:lang w:val="en-US" w:eastAsia="zh-CN"/>
        </w:rPr>
        <w:t>省市工作要求，</w:t>
      </w:r>
      <w:r>
        <w:rPr>
          <w:rFonts w:hint="eastAsia" w:ascii="仿宋_GB2312" w:hAnsi="仿宋_GB2312" w:eastAsia="仿宋_GB2312" w:cs="仿宋_GB2312"/>
          <w:sz w:val="32"/>
          <w:szCs w:val="32"/>
          <w:lang w:val="en-US" w:eastAsia="zh-CN"/>
        </w:rPr>
        <w:t>以“三个年”活动为抓手，狠抓落实、加压奋进、争创一流</w:t>
      </w:r>
      <w:r>
        <w:rPr>
          <w:rFonts w:hint="eastAsia" w:ascii="仿宋_GB2312" w:hAnsi="仿宋_GB2312" w:eastAsia="仿宋_GB2312" w:cs="仿宋_GB2312"/>
          <w:color w:val="000000"/>
          <w:spacing w:val="0"/>
          <w:sz w:val="32"/>
          <w:szCs w:val="32"/>
          <w:u w:val="none"/>
          <w:lang w:val="en-US" w:eastAsia="zh-CN"/>
        </w:rPr>
        <w:t>，确保全面推进中国式</w:t>
      </w:r>
      <w:r>
        <w:rPr>
          <w:rFonts w:hint="default" w:ascii="仿宋_GB2312" w:hAnsi="仿宋_GB2312" w:eastAsia="仿宋_GB2312" w:cs="仿宋_GB2312"/>
          <w:color w:val="000000"/>
          <w:spacing w:val="0"/>
          <w:sz w:val="32"/>
          <w:szCs w:val="32"/>
          <w:u w:val="none"/>
          <w:lang w:val="en-US" w:eastAsia="zh-CN"/>
        </w:rPr>
        <w:t>现代化眉县新实践</w:t>
      </w:r>
      <w:r>
        <w:rPr>
          <w:rFonts w:hint="eastAsia" w:ascii="仿宋_GB2312" w:hAnsi="仿宋_GB2312" w:eastAsia="仿宋_GB2312" w:cs="仿宋_GB2312"/>
          <w:color w:val="000000"/>
          <w:spacing w:val="0"/>
          <w:sz w:val="32"/>
          <w:szCs w:val="32"/>
          <w:u w:val="none"/>
          <w:lang w:val="en-US" w:eastAsia="zh-CN"/>
        </w:rPr>
        <w:t>开好局、起好步。现将《眉县高质量项目推进年行动方案》《眉县营商环境突破年行动方案》《眉县干部作风能力提升年行动方案》印发你们，请认真抓好贯彻落实，并</w:t>
      </w:r>
      <w:r>
        <w:rPr>
          <w:rFonts w:hint="eastAsia" w:ascii="仿宋_GB2312" w:hAnsi="仿宋_GB2312" w:eastAsia="仿宋_GB2312" w:cs="仿宋_GB2312"/>
          <w:sz w:val="32"/>
          <w:szCs w:val="32"/>
          <w:lang w:val="en-US" w:eastAsia="zh-CN"/>
        </w:rPr>
        <w:t>就有关工作要求通知如下。</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仿宋_GB2312" w:hAnsi="仿宋_GB2312" w:eastAsia="仿宋_GB2312" w:cs="仿宋_GB2312"/>
          <w:color w:val="000000"/>
          <w:spacing w:val="0"/>
          <w:sz w:val="32"/>
          <w:szCs w:val="32"/>
          <w:u w:val="none"/>
          <w:lang w:val="en-US" w:eastAsia="zh-CN"/>
        </w:rPr>
      </w:pPr>
      <w:r>
        <w:rPr>
          <w:rFonts w:hint="eastAsia" w:ascii="楷体_GB2312" w:hAnsi="楷体_GB2312" w:eastAsia="楷体_GB2312" w:cs="楷体_GB2312"/>
          <w:b/>
          <w:bCs/>
          <w:sz w:val="32"/>
          <w:szCs w:val="32"/>
          <w:lang w:val="en-US" w:eastAsia="zh-CN"/>
        </w:rPr>
        <w:t>一要强化组织领导，一体推进落实。</w:t>
      </w:r>
      <w:r>
        <w:rPr>
          <w:rFonts w:hint="eastAsia" w:ascii="仿宋_GB2312" w:hAnsi="仿宋_GB2312" w:eastAsia="仿宋_GB2312" w:cs="仿宋_GB2312"/>
          <w:color w:val="000000"/>
          <w:spacing w:val="0"/>
          <w:sz w:val="32"/>
          <w:szCs w:val="32"/>
          <w:u w:val="none"/>
          <w:lang w:val="en-US" w:eastAsia="zh-CN"/>
        </w:rPr>
        <w:t>成立由县委书记为第一组长，县委副书记、县政府县长为组长，各相关部门单位主要负责人为成员的全县“三个年”活动工作领导小组，统筹推动“三个年”活动走深走实。领导小组下设高质量项目推进、营商环境突破、干部作风能力提升等工作专班，抽调骨干人员集中办公，具体负责专项任务落实。各镇街、各部门要明确专人，专班推进，全力推动“三个年”各项工作无缝衔接、高效一体推进。</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仿宋_GB2312" w:hAnsi="仿宋_GB2312" w:eastAsia="仿宋_GB2312" w:cs="仿宋_GB2312"/>
          <w:color w:val="000000"/>
          <w:spacing w:val="0"/>
          <w:sz w:val="32"/>
          <w:szCs w:val="32"/>
          <w:u w:val="none"/>
          <w:lang w:val="en-US" w:eastAsia="zh-CN"/>
        </w:rPr>
      </w:pPr>
      <w:r>
        <w:rPr>
          <w:rFonts w:hint="eastAsia" w:ascii="楷体_GB2312" w:hAnsi="楷体_GB2312" w:eastAsia="楷体_GB2312" w:cs="楷体_GB2312"/>
          <w:b/>
          <w:bCs/>
          <w:spacing w:val="0"/>
          <w:kern w:val="2"/>
          <w:sz w:val="32"/>
          <w:szCs w:val="32"/>
          <w:lang w:val="en-US" w:eastAsia="zh-CN" w:bidi="ar-SA"/>
        </w:rPr>
        <w:t>二要压实压紧责任，闭环推动落实。</w:t>
      </w:r>
      <w:r>
        <w:rPr>
          <w:rFonts w:hint="eastAsia" w:ascii="仿宋_GB2312" w:hAnsi="仿宋_GB2312" w:eastAsia="仿宋_GB2312" w:cs="仿宋_GB2312"/>
          <w:b w:val="0"/>
          <w:bCs w:val="0"/>
          <w:spacing w:val="0"/>
          <w:kern w:val="2"/>
          <w:sz w:val="32"/>
          <w:szCs w:val="32"/>
          <w:lang w:val="en-US" w:eastAsia="zh-CN" w:bidi="ar-SA"/>
        </w:rPr>
        <w:t>县级领导、各镇街、部门一把手</w:t>
      </w:r>
      <w:r>
        <w:rPr>
          <w:rFonts w:hint="eastAsia" w:ascii="仿宋_GB2312" w:hAnsi="仿宋_GB2312" w:eastAsia="仿宋_GB2312" w:cs="仿宋_GB2312"/>
          <w:color w:val="000000"/>
          <w:spacing w:val="0"/>
          <w:sz w:val="32"/>
          <w:szCs w:val="32"/>
          <w:u w:val="none"/>
          <w:lang w:val="en-US" w:eastAsia="zh-CN"/>
        </w:rPr>
        <w:t>要大兴调查研究之风，践行“一线工作法”“现场办公制”，及时调度推进，协调解决堵点难点问题，带头抓落实、干在先。各牵头单位要负总责、负全责，主动承担目标任务，制定具体落实方案，实行项目化、清单化、责任化、闭环式管理，确保确定的每一项目标如期实现。各配合单位要主动衔接、通力配合，形成思想同心、目标同向、行动同步的强大合力，确保高效率、高标准、高质量完成全年目标任务。</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2"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三要严格工作机制，加压跟进落实。</w:t>
      </w:r>
      <w:r>
        <w:rPr>
          <w:rFonts w:hint="eastAsia" w:ascii="仿宋_GB2312" w:hAnsi="仿宋_GB2312" w:eastAsia="仿宋_GB2312" w:cs="仿宋_GB2312"/>
          <w:color w:val="000000"/>
          <w:spacing w:val="0"/>
          <w:sz w:val="32"/>
          <w:szCs w:val="32"/>
          <w:u w:val="none"/>
          <w:lang w:val="en-US" w:eastAsia="zh-CN"/>
        </w:rPr>
        <w:t>全面推行“领导包抓、专班推进、定期报告、及时调度、现场观摩、督查通报、责任考核、约谈提醒、三色预警、反面曝光”十项工作机制，压紧压实责任，确保工作落地落实。大力弘扬“勤快严实精细廉”作风，将“三个年”活动纳入全县2023年度目标责任考核重要内容，强化考核结果应用，重奖激励奋进，充分调动各方面开展“三个年”活动的积极性、主动性、创造性，为顺利完成全年各项目标任务打牢基础、提供保障。</w:t>
      </w:r>
    </w:p>
    <w:p>
      <w:pPr>
        <w:pStyle w:val="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both"/>
        <w:textAlignment w:val="auto"/>
        <w:outlineLvl w:val="9"/>
        <w:rPr>
          <w:rFonts w:hint="eastAsia"/>
          <w:lang w:val="en-US" w:eastAsia="zh-CN"/>
        </w:rPr>
      </w:pPr>
    </w:p>
    <w:p>
      <w:pPr>
        <w:pStyle w:val="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spacing w:val="0"/>
          <w:kern w:val="2"/>
          <w:sz w:val="32"/>
          <w:szCs w:val="32"/>
          <w:lang w:val="en-US" w:eastAsia="zh-CN" w:bidi="ar-SA"/>
        </w:rPr>
      </w:pPr>
    </w:p>
    <w:p>
      <w:pPr>
        <w:pStyle w:val="7"/>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中共眉县县委                 </w:t>
      </w:r>
      <w:r>
        <w:rPr>
          <w:rFonts w:hint="eastAsia" w:ascii="仿宋_GB2312" w:hAnsi="仿宋_GB2312" w:eastAsia="仿宋_GB2312" w:cs="仿宋_GB2312"/>
          <w:spacing w:val="0"/>
          <w:kern w:val="2"/>
          <w:sz w:val="10"/>
          <w:szCs w:val="10"/>
          <w:lang w:val="en-US" w:eastAsia="zh-CN" w:bidi="ar-SA"/>
        </w:rPr>
        <w:t xml:space="preserve"> </w:t>
      </w:r>
      <w:r>
        <w:rPr>
          <w:rFonts w:hint="eastAsia" w:ascii="仿宋_GB2312" w:hAnsi="仿宋_GB2312" w:eastAsia="仿宋_GB2312" w:cs="仿宋_GB2312"/>
          <w:spacing w:val="0"/>
          <w:kern w:val="2"/>
          <w:sz w:val="32"/>
          <w:szCs w:val="32"/>
          <w:lang w:val="en-US" w:eastAsia="zh-CN" w:bidi="ar-SA"/>
        </w:rPr>
        <w:t>眉县人民政府</w:t>
      </w:r>
    </w:p>
    <w:p>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2023年3月22日</w:t>
      </w:r>
    </w:p>
    <w:p>
      <w:pPr>
        <w:pStyle w:val="7"/>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kern w:val="2"/>
          <w:sz w:val="32"/>
          <w:szCs w:val="32"/>
          <w:lang w:val="en-US" w:eastAsia="zh-CN" w:bidi="ar-SA"/>
        </w:rPr>
      </w:pPr>
    </w:p>
    <w:p>
      <w:pPr>
        <w:keepNext w:val="0"/>
        <w:keepLines w:val="0"/>
        <w:pageBreakBefore w:val="0"/>
        <w:kinsoku/>
        <w:autoSpaceDN/>
        <w:bidi w:val="0"/>
        <w:adjustRightInd/>
        <w:spacing w:line="600" w:lineRule="exact"/>
        <w:rPr>
          <w:rFonts w:hint="default"/>
          <w:lang w:val="en-US" w:eastAsia="zh-CN"/>
        </w:rPr>
      </w:pPr>
    </w:p>
    <w:p>
      <w:pPr>
        <w:pStyle w:val="2"/>
        <w:keepNext w:val="0"/>
        <w:keepLines w:val="0"/>
        <w:pageBreakBefore w:val="0"/>
        <w:kinsoku/>
        <w:autoSpaceDN/>
        <w:bidi w:val="0"/>
        <w:adjustRightInd/>
        <w:spacing w:line="600" w:lineRule="exact"/>
        <w:ind w:left="0" w:leftChars="0" w:firstLine="0" w:firstLineChars="0"/>
        <w:rPr>
          <w:rFonts w:hint="default"/>
          <w:lang w:val="en-US" w:eastAsia="zh-CN"/>
        </w:rPr>
      </w:pPr>
    </w:p>
    <w:p>
      <w:pPr>
        <w:keepNext w:val="0"/>
        <w:keepLines w:val="0"/>
        <w:pageBreakBefore w:val="0"/>
        <w:kinsoku/>
        <w:autoSpaceDN/>
        <w:bidi w:val="0"/>
        <w:adjustRightInd/>
        <w:spacing w:line="600" w:lineRule="exact"/>
        <w:rPr>
          <w:rFonts w:hint="default"/>
          <w:lang w:val="en-US" w:eastAsia="zh-CN"/>
        </w:rPr>
      </w:pPr>
    </w:p>
    <w:p>
      <w:pPr>
        <w:keepNext w:val="0"/>
        <w:keepLines w:val="0"/>
        <w:pageBreakBefore w:val="0"/>
        <w:kinsoku/>
        <w:autoSpaceDN/>
        <w:bidi w:val="0"/>
        <w:adjustRightInd/>
        <w:spacing w:line="600" w:lineRule="exact"/>
        <w:rPr>
          <w:rFonts w:hint="default"/>
          <w:lang w:val="en-US" w:eastAsia="zh-CN"/>
        </w:rPr>
      </w:pPr>
    </w:p>
    <w:p>
      <w:pPr>
        <w:pStyle w:val="2"/>
        <w:keepNext w:val="0"/>
        <w:keepLines w:val="0"/>
        <w:pageBreakBefore w:val="0"/>
        <w:kinsoku/>
        <w:autoSpaceDN/>
        <w:bidi w:val="0"/>
        <w:adjustRightInd/>
        <w:spacing w:line="600" w:lineRule="exact"/>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keepNext w:val="0"/>
        <w:keepLines w:val="0"/>
        <w:pageBreakBefore w:val="0"/>
        <w:kinsoku/>
        <w:autoSpaceDN/>
        <w:bidi w:val="0"/>
        <w:adjustRightInd/>
        <w:spacing w:line="600" w:lineRule="exact"/>
        <w:rPr>
          <w:rFonts w:hint="default"/>
          <w:lang w:val="en-US" w:eastAsia="zh-CN"/>
        </w:rPr>
      </w:pPr>
    </w:p>
    <w:p>
      <w:pPr>
        <w:keepNext w:val="0"/>
        <w:keepLines w:val="0"/>
        <w:pageBreakBefore w:val="0"/>
        <w:kinsoku/>
        <w:autoSpaceDN/>
        <w:bidi w:val="0"/>
        <w:adjustRightInd/>
        <w:spacing w:line="600" w:lineRule="exact"/>
        <w:rPr>
          <w:rFonts w:hint="default"/>
          <w:lang w:val="en-US" w:eastAsia="zh-CN"/>
        </w:rPr>
      </w:pPr>
    </w:p>
    <w:p>
      <w:pPr>
        <w:keepNext w:val="0"/>
        <w:keepLines w:val="0"/>
        <w:pageBreakBefore w:val="0"/>
        <w:widowControl w:val="0"/>
        <w:kinsoku/>
        <w:wordWrap/>
        <w:overflowPunct w:val="0"/>
        <w:topLinePunct w:val="0"/>
        <w:autoSpaceDE/>
        <w:autoSpaceDN/>
        <w:bidi w:val="0"/>
        <w:adjustRightInd/>
        <w:spacing w:line="560" w:lineRule="exact"/>
        <w:ind w:left="0" w:leftChars="0" w:right="0" w:rightChars="0"/>
        <w:jc w:val="center"/>
        <w:rPr>
          <w:rFonts w:hint="eastAsia" w:ascii="方正小标宋简体" w:hAnsi="方正小标宋简体" w:eastAsia="方正小标宋简体" w:cs="方正小标宋简体"/>
          <w:color w:val="auto"/>
          <w:spacing w:val="0"/>
          <w:sz w:val="44"/>
          <w:szCs w:val="36"/>
        </w:rPr>
      </w:pPr>
      <w:r>
        <w:rPr>
          <w:rFonts w:hint="eastAsia" w:ascii="方正小标宋简体" w:eastAsia="方正小标宋简体"/>
          <w:color w:val="auto"/>
          <w:spacing w:val="0"/>
          <w:sz w:val="44"/>
          <w:szCs w:val="44"/>
        </w:rPr>
        <w:t>眉县</w:t>
      </w:r>
      <w:r>
        <w:rPr>
          <w:rFonts w:hint="eastAsia" w:ascii="方正小标宋简体" w:hAnsi="方正小标宋简体" w:eastAsia="方正小标宋简体" w:cs="方正小标宋简体"/>
          <w:color w:val="auto"/>
          <w:spacing w:val="0"/>
          <w:sz w:val="44"/>
          <w:szCs w:val="36"/>
        </w:rPr>
        <w:t>高质量项目推进年</w:t>
      </w:r>
      <w:r>
        <w:rPr>
          <w:rFonts w:hint="eastAsia" w:ascii="方正小标宋简体" w:hAnsi="方正小标宋简体" w:eastAsia="方正小标宋简体" w:cs="方正小标宋简体"/>
          <w:color w:val="auto"/>
          <w:spacing w:val="0"/>
          <w:sz w:val="44"/>
          <w:szCs w:val="36"/>
          <w:lang w:val="en-US" w:eastAsia="zh-CN"/>
        </w:rPr>
        <w:t>行动</w:t>
      </w:r>
      <w:r>
        <w:rPr>
          <w:rFonts w:hint="eastAsia" w:ascii="方正小标宋简体" w:hAnsi="方正小标宋简体" w:eastAsia="方正小标宋简体" w:cs="方正小标宋简体"/>
          <w:color w:val="auto"/>
          <w:spacing w:val="0"/>
          <w:sz w:val="44"/>
          <w:szCs w:val="36"/>
        </w:rPr>
        <w:t>方案</w:t>
      </w:r>
    </w:p>
    <w:p>
      <w:pPr>
        <w:pStyle w:val="3"/>
        <w:keepNext w:val="0"/>
        <w:keepLines w:val="0"/>
        <w:pageBreakBefore w:val="0"/>
        <w:widowControl w:val="0"/>
        <w:kinsoku/>
        <w:wordWrap/>
        <w:overflowPunct w:val="0"/>
        <w:topLinePunct w:val="0"/>
        <w:autoSpaceDE/>
        <w:autoSpaceDN/>
        <w:bidi w:val="0"/>
        <w:adjustRightInd/>
        <w:spacing w:line="560" w:lineRule="exact"/>
        <w:ind w:left="0" w:leftChars="0" w:right="0" w:rightChars="0"/>
        <w:jc w:val="both"/>
        <w:rPr>
          <w:rFonts w:hint="eastAsia"/>
          <w:color w:val="auto"/>
          <w:spacing w:val="0"/>
        </w:rPr>
      </w:pPr>
    </w:p>
    <w:p>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640" w:firstLineChars="200"/>
        <w:jc w:val="both"/>
        <w:rPr>
          <w:rFonts w:hint="eastAsia" w:ascii="仿宋_GB2312" w:hAnsi="仿宋_GB2312" w:eastAsia="仿宋_GB2312" w:cs="仿宋_GB2312"/>
          <w:b w:val="0"/>
          <w:bCs w:val="0"/>
          <w:color w:val="auto"/>
          <w:spacing w:val="0"/>
          <w:sz w:val="32"/>
          <w:szCs w:val="32"/>
          <w:u w:val="none"/>
          <w:lang w:val="en-US" w:eastAsia="zh-CN"/>
        </w:rPr>
      </w:pPr>
      <w:r>
        <w:rPr>
          <w:rFonts w:hint="eastAsia" w:ascii="仿宋_GB2312" w:hAnsi="仿宋_GB2312" w:eastAsia="仿宋_GB2312" w:cs="仿宋_GB2312"/>
          <w:b w:val="0"/>
          <w:bCs w:val="0"/>
          <w:color w:val="auto"/>
          <w:spacing w:val="0"/>
          <w:sz w:val="32"/>
          <w:szCs w:val="32"/>
          <w:u w:val="none"/>
          <w:lang w:val="en-US" w:eastAsia="zh-CN"/>
        </w:rPr>
        <w:t>为深入贯彻落实《陕西省高质量项目推进年行动方案》《宝鸡市高质量项目推进年实施方案》要求，坚定实施扩大内需战略，着力优化供给结构、拓展投资空间，加快构建现代产业体系，持续巩固拓展全县高质量项目建设成效，为全面推进中国式现代化眉县新实践提供有力支撑，结合实际，制定如下行动方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sz w:val="32"/>
          <w:szCs w:val="32"/>
          <w:u w:val="none"/>
          <w:lang w:val="en-US" w:eastAsia="zh-CN"/>
        </w:rPr>
      </w:pPr>
      <w:r>
        <w:rPr>
          <w:rFonts w:hint="eastAsia" w:ascii="黑体" w:hAnsi="黑体" w:eastAsia="黑体" w:cs="黑体"/>
          <w:color w:val="auto"/>
          <w:spacing w:val="0"/>
          <w:sz w:val="32"/>
          <w:szCs w:val="32"/>
          <w:u w:val="none"/>
        </w:rPr>
        <w:t>一、</w:t>
      </w:r>
      <w:r>
        <w:rPr>
          <w:rFonts w:hint="eastAsia" w:ascii="黑体" w:hAnsi="黑体" w:eastAsia="黑体" w:cs="黑体"/>
          <w:color w:val="auto"/>
          <w:spacing w:val="0"/>
          <w:sz w:val="32"/>
          <w:szCs w:val="32"/>
          <w:u w:val="none"/>
          <w:lang w:val="en-US" w:eastAsia="zh-CN"/>
        </w:rPr>
        <w:t>总体要求</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642" w:firstLineChars="200"/>
        <w:jc w:val="both"/>
        <w:rPr>
          <w:rFonts w:hint="default" w:ascii="楷体_GB2312" w:hAnsi="楷体_GB2312" w:eastAsia="楷体_GB2312" w:cs="楷体_GB2312"/>
          <w:b/>
          <w:bCs/>
          <w:color w:val="auto"/>
          <w:spacing w:val="0"/>
          <w:sz w:val="32"/>
          <w:szCs w:val="32"/>
          <w:u w:val="none"/>
          <w:lang w:val="en-US" w:eastAsia="zh-CN"/>
        </w:rPr>
      </w:pPr>
      <w:r>
        <w:rPr>
          <w:rFonts w:hint="eastAsia" w:ascii="楷体_GB2312" w:hAnsi="楷体_GB2312" w:eastAsia="楷体_GB2312" w:cs="楷体_GB2312"/>
          <w:b/>
          <w:bCs/>
          <w:color w:val="auto"/>
          <w:spacing w:val="0"/>
          <w:sz w:val="32"/>
          <w:szCs w:val="32"/>
          <w:u w:val="none"/>
          <w:lang w:eastAsia="zh-CN"/>
        </w:rPr>
        <w:t>（一）指导思想</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640" w:firstLineChars="200"/>
        <w:jc w:val="both"/>
        <w:rPr>
          <w:rFonts w:hint="eastAsia" w:ascii="仿宋_GB2312" w:hAnsi="仿宋_GB2312" w:eastAsia="仿宋_GB2312" w:cs="仿宋_GB2312"/>
          <w:b w:val="0"/>
          <w:bCs w:val="0"/>
          <w:color w:val="auto"/>
          <w:spacing w:val="0"/>
          <w:sz w:val="32"/>
          <w:szCs w:val="32"/>
          <w:u w:val="none"/>
          <w:lang w:val="en-US" w:eastAsia="zh-CN"/>
        </w:rPr>
      </w:pPr>
      <w:r>
        <w:rPr>
          <w:rFonts w:hint="eastAsia" w:ascii="仿宋_GB2312" w:hAnsi="仿宋_GB2312" w:eastAsia="仿宋_GB2312" w:cs="仿宋_GB2312"/>
          <w:b w:val="0"/>
          <w:bCs w:val="0"/>
          <w:color w:val="auto"/>
          <w:spacing w:val="0"/>
          <w:sz w:val="32"/>
          <w:szCs w:val="32"/>
          <w:u w:val="none"/>
          <w:lang w:val="en-US" w:eastAsia="zh-CN"/>
        </w:rPr>
        <w:t>坚持以习近平新时代中国特色社会主义思想为指导，深入贯彻落实党的二十大精神和习近平总书记来陕考察重要讲话重要指示，</w:t>
      </w:r>
      <w:r>
        <w:rPr>
          <w:rFonts w:hint="eastAsia" w:ascii="仿宋_GB2312" w:hAnsi="仿宋_GB2312" w:eastAsia="仿宋_GB2312" w:cs="仿宋_GB2312"/>
          <w:color w:val="auto"/>
          <w:spacing w:val="0"/>
          <w:sz w:val="32"/>
          <w:szCs w:val="32"/>
          <w:u w:val="none"/>
          <w:lang w:val="en-US" w:eastAsia="zh-CN"/>
        </w:rPr>
        <w:t>坚持</w:t>
      </w:r>
      <w:r>
        <w:rPr>
          <w:rFonts w:hint="eastAsia" w:ascii="仿宋_GB2312" w:hAnsi="仿宋_GB2312" w:eastAsia="仿宋_GB2312" w:cs="仿宋_GB2312"/>
          <w:b w:val="0"/>
          <w:bCs w:val="0"/>
          <w:color w:val="auto"/>
          <w:spacing w:val="0"/>
          <w:sz w:val="32"/>
          <w:szCs w:val="32"/>
          <w:u w:val="none"/>
          <w:lang w:val="en-US" w:eastAsia="zh-CN"/>
        </w:rPr>
        <w:t>把高质量发展作为全面建设社会主义现代化国家的首要任务，坚持稳中求进工作总基调，完整、准确、全面贯彻新发展理念，以“17555”战略为引领，推进“五个眉县”建设，全面统筹高质量项目质的有效提升和量的合理增长，补短板、锻长板，持续谋划实施经济效益高、社会效益好、资源消耗少、引领作用强的高质量项目，为眉县高质量发展注入强劲动力。</w:t>
      </w:r>
    </w:p>
    <w:p>
      <w:pPr>
        <w:keepNext w:val="0"/>
        <w:keepLines w:val="0"/>
        <w:pageBreakBefore w:val="0"/>
        <w:widowControl w:val="0"/>
        <w:suppressAutoHyphens/>
        <w:kinsoku/>
        <w:wordWrap/>
        <w:overflowPunct w:val="0"/>
        <w:topLinePunct w:val="0"/>
        <w:autoSpaceDE/>
        <w:autoSpaceDN/>
        <w:bidi w:val="0"/>
        <w:adjustRightInd/>
        <w:snapToGrid/>
        <w:spacing w:line="560" w:lineRule="exact"/>
        <w:ind w:left="0" w:leftChars="0" w:right="0" w:rightChars="0" w:firstLine="642" w:firstLineChars="200"/>
        <w:jc w:val="both"/>
        <w:rPr>
          <w:rFonts w:hint="eastAsia" w:ascii="楷体_GB2312" w:hAnsi="楷体_GB2312" w:eastAsia="楷体_GB2312" w:cs="楷体_GB2312"/>
          <w:b/>
          <w:bCs/>
          <w:color w:val="auto"/>
          <w:spacing w:val="0"/>
          <w:sz w:val="32"/>
          <w:szCs w:val="32"/>
          <w:u w:val="none"/>
          <w:lang w:eastAsia="zh-CN"/>
        </w:rPr>
      </w:pPr>
      <w:r>
        <w:rPr>
          <w:rFonts w:hint="eastAsia" w:ascii="楷体_GB2312" w:hAnsi="楷体_GB2312" w:eastAsia="楷体_GB2312" w:cs="楷体_GB2312"/>
          <w:b/>
          <w:bCs/>
          <w:color w:val="auto"/>
          <w:spacing w:val="0"/>
          <w:sz w:val="32"/>
          <w:szCs w:val="32"/>
          <w:u w:val="none"/>
          <w:lang w:eastAsia="zh-CN"/>
        </w:rPr>
        <w:t>（二）主要目标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u w:val="none"/>
          <w:lang w:val="en-US" w:eastAsia="zh-CN"/>
        </w:rPr>
      </w:pPr>
      <w:r>
        <w:rPr>
          <w:rFonts w:hint="eastAsia" w:ascii="仿宋_GB2312" w:hAnsi="仿宋_GB2312" w:eastAsia="仿宋_GB2312" w:cs="仿宋_GB2312"/>
          <w:b w:val="0"/>
          <w:bCs w:val="0"/>
          <w:color w:val="auto"/>
          <w:spacing w:val="0"/>
          <w:sz w:val="32"/>
          <w:szCs w:val="32"/>
          <w:u w:val="none"/>
          <w:lang w:val="en-US" w:eastAsia="zh-CN"/>
        </w:rPr>
        <w:t>紧紧围绕猕猴桃、新材料、汽车配件、纺织服装产业延链补链，城镇建设提质扩容，基础设施全面推进，乡村振兴提质增效，文化旅游提档升级，民生福祉优化提升等重点领域，加快实施农业、工业、文旅、城建、基础设施和民生保障领域重点项目，进一步巩固提升项目建设质量高、开工多、进度快的良好态势，推动投资质量和效益不断提高。</w:t>
      </w:r>
      <w:r>
        <w:rPr>
          <w:rFonts w:hint="eastAsia" w:ascii="仿宋_GB2312" w:hAnsi="仿宋_GB2312" w:eastAsia="仿宋_GB2312" w:cs="仿宋_GB2312"/>
          <w:i w:val="0"/>
          <w:iCs w:val="0"/>
          <w:caps w:val="0"/>
          <w:color w:val="auto"/>
          <w:spacing w:val="0"/>
          <w:sz w:val="32"/>
          <w:szCs w:val="32"/>
          <w:u w:val="none"/>
          <w:shd w:val="clear" w:color="auto" w:fill="FFFFFF"/>
        </w:rPr>
        <w:t>以高质量</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项目建设引领</w:t>
      </w:r>
      <w:r>
        <w:rPr>
          <w:rFonts w:hint="eastAsia" w:ascii="仿宋_GB2312" w:hAnsi="仿宋_GB2312" w:eastAsia="仿宋_GB2312" w:cs="仿宋_GB2312"/>
          <w:i w:val="0"/>
          <w:iCs w:val="0"/>
          <w:caps w:val="0"/>
          <w:color w:val="auto"/>
          <w:spacing w:val="0"/>
          <w:sz w:val="32"/>
          <w:szCs w:val="32"/>
          <w:u w:val="none"/>
          <w:shd w:val="clear" w:color="auto" w:fill="FFFFFF"/>
        </w:rPr>
        <w:t>高质量发展</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确保</w:t>
      </w:r>
      <w:r>
        <w:rPr>
          <w:rFonts w:hint="eastAsia" w:ascii="仿宋_GB2312" w:hAnsi="仿宋_GB2312" w:eastAsia="仿宋_GB2312" w:cs="仿宋_GB2312"/>
          <w:b w:val="0"/>
          <w:bCs w:val="0"/>
          <w:color w:val="auto"/>
          <w:spacing w:val="0"/>
          <w:sz w:val="32"/>
          <w:szCs w:val="32"/>
          <w:u w:val="none"/>
          <w:lang w:val="en-US" w:eastAsia="zh-CN"/>
        </w:rPr>
        <w:t>高质量项目成效考核进入全省前30位，县域经济高质量发展排名进入全省前十，向全省县域经济社会发展综合监测评价十强县迈进。</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b w:val="0"/>
          <w:bCs w:val="0"/>
          <w:color w:val="auto"/>
          <w:spacing w:val="0"/>
          <w:sz w:val="32"/>
          <w:szCs w:val="32"/>
          <w:u w:val="single"/>
          <w:lang w:val="en-US" w:eastAsia="zh-CN"/>
        </w:rPr>
      </w:pPr>
      <w:r>
        <w:rPr>
          <w:rFonts w:hint="eastAsia" w:ascii="仿宋_GB2312" w:hAnsi="仿宋_GB2312" w:eastAsia="仿宋_GB2312" w:cs="仿宋_GB2312"/>
          <w:b/>
          <w:bCs/>
          <w:color w:val="auto"/>
          <w:spacing w:val="0"/>
          <w:sz w:val="32"/>
          <w:szCs w:val="32"/>
          <w:u w:val="none"/>
          <w:lang w:val="en-US" w:eastAsia="zh-CN"/>
        </w:rPr>
        <w:t>做大总量。</w:t>
      </w:r>
      <w:r>
        <w:rPr>
          <w:rFonts w:hint="eastAsia" w:ascii="仿宋_GB2312" w:hAnsi="仿宋_GB2312" w:eastAsia="仿宋_GB2312" w:cs="仿宋_GB2312"/>
          <w:b w:val="0"/>
          <w:bCs w:val="0"/>
          <w:color w:val="auto"/>
          <w:spacing w:val="0"/>
          <w:sz w:val="32"/>
          <w:szCs w:val="32"/>
          <w:u w:val="none"/>
          <w:lang w:val="en-US" w:eastAsia="zh-CN"/>
        </w:rPr>
        <w:t>全县实施重点项目315个，总投资635亿元，年度完成投资207亿元以上，增长35%以上。固定资产投资增长10%以上。年内引进5亿元以上产业化项目和10亿元以上大项目均不少于3个，到位资金不少于161亿元。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仿宋_GB2312" w:hAnsi="仿宋_GB2312" w:eastAsia="仿宋_GB2312" w:cs="仿宋_GB2312"/>
          <w:color w:val="auto"/>
          <w:spacing w:val="0"/>
          <w:sz w:val="32"/>
          <w:u w:val="none"/>
          <w:lang w:val="en-US" w:eastAsia="zh-CN"/>
        </w:rPr>
      </w:pPr>
      <w:r>
        <w:rPr>
          <w:rFonts w:hint="eastAsia" w:ascii="仿宋_GB2312" w:hAnsi="仿宋_GB2312" w:eastAsia="仿宋_GB2312" w:cs="仿宋_GB2312"/>
          <w:b/>
          <w:bCs/>
          <w:color w:val="auto"/>
          <w:spacing w:val="0"/>
          <w:sz w:val="32"/>
          <w:szCs w:val="32"/>
          <w:u w:val="none"/>
          <w:lang w:val="en-US" w:eastAsia="zh-CN"/>
        </w:rPr>
        <w:t>做优质量。</w:t>
      </w:r>
      <w:r>
        <w:rPr>
          <w:rFonts w:hint="eastAsia" w:ascii="仿宋_GB2312" w:hAnsi="仿宋_GB2312" w:eastAsia="仿宋_GB2312" w:cs="仿宋_GB2312"/>
          <w:color w:val="auto"/>
          <w:spacing w:val="0"/>
          <w:sz w:val="32"/>
          <w:u w:val="none"/>
          <w:lang w:val="en-US" w:eastAsia="zh-CN"/>
        </w:rPr>
        <w:t>立足资源禀赋和产业链基础，全力推动新材料、纺织服装等重点产业链延链补链强链，力争制造业投资达到两位数增长。激发社会资本的活力，通过发挥重大项目牵引和政府投资撬动作用，调动民间投资积极性，民间投资占固定资产投资比重超过70%以上。促进产业转型升级和布局优化，高技术制造业投资增速超过10%。</w:t>
      </w:r>
    </w:p>
    <w:p>
      <w:pPr>
        <w:keepNext w:val="0"/>
        <w:keepLines w:val="0"/>
        <w:pageBreakBefore w:val="0"/>
        <w:widowControl w:val="0"/>
        <w:suppressAutoHyphens/>
        <w:kinsoku/>
        <w:wordWrap/>
        <w:overflowPunct w:val="0"/>
        <w:topLinePunct w:val="0"/>
        <w:autoSpaceDE/>
        <w:autoSpaceDN/>
        <w:bidi w:val="0"/>
        <w:adjustRightInd/>
        <w:spacing w:line="560" w:lineRule="exact"/>
        <w:ind w:left="0" w:leftChars="0" w:right="0" w:rightChars="0" w:firstLine="642" w:firstLineChars="200"/>
        <w:jc w:val="both"/>
        <w:rPr>
          <w:rFonts w:hint="eastAsia" w:ascii="仿宋_GB2312" w:hAnsi="仿宋_GB2312" w:eastAsia="仿宋_GB2312" w:cs="仿宋_GB2312"/>
          <w:color w:val="auto"/>
          <w:spacing w:val="0"/>
          <w:sz w:val="32"/>
          <w:u w:val="none"/>
          <w:lang w:val="en-US" w:eastAsia="zh-CN"/>
        </w:rPr>
      </w:pPr>
      <w:r>
        <w:rPr>
          <w:rFonts w:hint="eastAsia" w:ascii="仿宋_GB2312" w:hAnsi="仿宋_GB2312" w:eastAsia="仿宋_GB2312" w:cs="仿宋_GB2312"/>
          <w:b/>
          <w:bCs/>
          <w:color w:val="auto"/>
          <w:spacing w:val="0"/>
          <w:sz w:val="32"/>
          <w:u w:val="none"/>
          <w:lang w:eastAsia="zh-CN"/>
        </w:rPr>
        <w:t>加快进度。</w:t>
      </w:r>
      <w:r>
        <w:rPr>
          <w:rFonts w:hint="eastAsia" w:ascii="仿宋_GB2312" w:hAnsi="仿宋_GB2312" w:eastAsia="仿宋_GB2312" w:cs="仿宋_GB2312"/>
          <w:color w:val="auto"/>
          <w:spacing w:val="0"/>
          <w:sz w:val="32"/>
          <w:u w:val="none"/>
          <w:lang w:val="en-US" w:eastAsia="zh-CN"/>
        </w:rPr>
        <w:t>强化要素保障，完善推进机制，加快手续办理。有效提高季度开工率，做到能早则早、能快则快、应开尽开，新建重点项目力争一季度开工率达到60%以上，6月底前全部开工，年内240个项目建成投用。中央预算内投资项目一季度开工率达到100%，中央资金支付率达到50%，上半年支付率达到80%。专项债券项目一季度发行65%以上，上半年资金支付率达到100%，三季度开工率达到100%。</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42" w:firstLineChars="200"/>
        <w:jc w:val="both"/>
        <w:rPr>
          <w:rFonts w:hint="eastAsia" w:ascii="仿宋_GB2312" w:hAnsi="仿宋_GB2312" w:eastAsia="仿宋_GB2312" w:cs="仿宋_GB2312"/>
          <w:color w:val="auto"/>
          <w:spacing w:val="0"/>
          <w:kern w:val="2"/>
          <w:sz w:val="32"/>
          <w:szCs w:val="24"/>
          <w:u w:val="none"/>
          <w:lang w:val="en-US" w:eastAsia="zh-CN" w:bidi="ar-SA"/>
        </w:rPr>
      </w:pPr>
      <w:r>
        <w:rPr>
          <w:rFonts w:hint="eastAsia" w:ascii="仿宋_GB2312" w:hAnsi="仿宋_GB2312" w:eastAsia="仿宋_GB2312" w:cs="仿宋_GB2312"/>
          <w:b/>
          <w:bCs/>
          <w:color w:val="auto"/>
          <w:spacing w:val="0"/>
          <w:kern w:val="2"/>
          <w:sz w:val="32"/>
          <w:szCs w:val="24"/>
          <w:u w:val="none"/>
          <w:lang w:val="en-US" w:eastAsia="zh-CN" w:bidi="ar-SA"/>
        </w:rPr>
        <w:t>精准谋划。</w:t>
      </w:r>
      <w:r>
        <w:rPr>
          <w:rFonts w:hint="eastAsia" w:ascii="仿宋_GB2312" w:hAnsi="仿宋_GB2312" w:eastAsia="仿宋_GB2312" w:cs="仿宋_GB2312"/>
          <w:color w:val="auto"/>
          <w:spacing w:val="0"/>
          <w:kern w:val="2"/>
          <w:sz w:val="32"/>
          <w:szCs w:val="24"/>
          <w:u w:val="none"/>
          <w:lang w:val="en-US" w:eastAsia="zh-CN" w:bidi="ar-SA"/>
        </w:rPr>
        <w:t>瞄准中央和省级预算内投资、地方政府专项债券、政策性开发性金融工具投向，谋深、谋实、谋细项目储备库，在工业、交通、能源化工、水利、数字经济、文化旅游等领域储备一批高质量项目，全年谋划项目不少于1000个，总投资不少于1200亿元。</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40" w:firstLineChars="200"/>
        <w:jc w:val="both"/>
        <w:rPr>
          <w:rFonts w:hint="eastAsia" w:ascii="黑体" w:hAnsi="黑体" w:eastAsia="黑体" w:cs="黑体"/>
          <w:color w:val="auto"/>
          <w:spacing w:val="0"/>
          <w:sz w:val="32"/>
          <w:szCs w:val="32"/>
          <w:u w:val="none"/>
        </w:rPr>
      </w:pPr>
      <w:r>
        <w:rPr>
          <w:rFonts w:hint="eastAsia" w:ascii="黑体" w:hAnsi="黑体" w:eastAsia="黑体" w:cs="黑体"/>
          <w:color w:val="auto"/>
          <w:spacing w:val="0"/>
          <w:sz w:val="32"/>
          <w:szCs w:val="32"/>
          <w:u w:val="none"/>
          <w:lang w:val="en-US" w:eastAsia="zh-CN"/>
        </w:rPr>
        <w:t>二</w:t>
      </w:r>
      <w:r>
        <w:rPr>
          <w:rFonts w:hint="eastAsia" w:ascii="黑体" w:hAnsi="黑体" w:eastAsia="黑体" w:cs="黑体"/>
          <w:color w:val="auto"/>
          <w:spacing w:val="0"/>
          <w:sz w:val="32"/>
          <w:szCs w:val="32"/>
          <w:u w:val="none"/>
        </w:rPr>
        <w:t>、</w:t>
      </w:r>
      <w:r>
        <w:rPr>
          <w:rFonts w:hint="eastAsia" w:ascii="黑体" w:hAnsi="黑体" w:eastAsia="黑体" w:cs="黑体"/>
          <w:color w:val="auto"/>
          <w:spacing w:val="0"/>
          <w:sz w:val="32"/>
          <w:szCs w:val="32"/>
          <w:u w:val="none"/>
          <w:lang w:val="en-US" w:eastAsia="zh-CN"/>
        </w:rPr>
        <w:t>重点</w:t>
      </w:r>
      <w:r>
        <w:rPr>
          <w:rFonts w:hint="eastAsia" w:ascii="黑体" w:hAnsi="黑体" w:eastAsia="黑体" w:cs="黑体"/>
          <w:color w:val="auto"/>
          <w:spacing w:val="0"/>
          <w:sz w:val="32"/>
          <w:szCs w:val="32"/>
          <w:u w:val="none"/>
        </w:rPr>
        <w:t>任务</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42" w:firstLineChars="200"/>
        <w:jc w:val="both"/>
        <w:rPr>
          <w:rFonts w:hint="eastAsia" w:ascii="楷体_GB2312" w:hAnsi="楷体_GB2312" w:eastAsia="楷体_GB2312" w:cs="楷体_GB2312"/>
          <w:b/>
          <w:bCs/>
          <w:color w:val="auto"/>
          <w:spacing w:val="0"/>
          <w:sz w:val="32"/>
          <w:szCs w:val="32"/>
          <w:u w:val="none"/>
          <w:lang w:val="en-US" w:eastAsia="zh-CN"/>
        </w:rPr>
      </w:pPr>
      <w:r>
        <w:rPr>
          <w:rFonts w:hint="eastAsia" w:ascii="楷体_GB2312" w:hAnsi="楷体_GB2312" w:eastAsia="楷体_GB2312" w:cs="楷体_GB2312"/>
          <w:b/>
          <w:bCs/>
          <w:color w:val="auto"/>
          <w:spacing w:val="0"/>
          <w:sz w:val="32"/>
          <w:szCs w:val="32"/>
          <w:u w:val="none"/>
          <w:lang w:val="en-US" w:eastAsia="zh-CN"/>
        </w:rPr>
        <w:t>（一）高质量谋划储备项目</w:t>
      </w:r>
    </w:p>
    <w:p>
      <w:pPr>
        <w:pStyle w:val="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sz w:val="32"/>
          <w:szCs w:val="32"/>
          <w:u w:val="none"/>
          <w:lang w:val="en-US" w:eastAsia="zh-CN"/>
        </w:rPr>
        <w:t>1. 紧盯政策扩大项目储备。</w:t>
      </w:r>
      <w:r>
        <w:rPr>
          <w:rFonts w:hint="eastAsia" w:ascii="仿宋_GB2312" w:hAnsi="仿宋_GB2312" w:eastAsia="仿宋_GB2312" w:cs="仿宋_GB2312"/>
          <w:b w:val="0"/>
          <w:bCs w:val="0"/>
          <w:color w:val="auto"/>
          <w:spacing w:val="0"/>
          <w:kern w:val="2"/>
          <w:sz w:val="32"/>
          <w:szCs w:val="32"/>
          <w:u w:val="none"/>
          <w:lang w:val="en-US" w:eastAsia="zh-CN" w:bidi="ar-SA"/>
        </w:rPr>
        <w:t>瞄准国家重大战略、重大规划，进一步扩展充实“千亿大盘”项目库，围绕“五个眉县”建设，谋划建立绿色节能环保示范、新型城镇化建设等5个专项库，形成“谋划一批、储备一批、开工一批”的良性循环，形成接替有序、梯次推进工作格局，确保项目高标准承接、高效率落地。用好国家重大建设项目库和陕西省投资项目在线审批监管平台，实行动态调整更新、有序滚动实施。</w:t>
      </w:r>
      <w:r>
        <w:rPr>
          <w:rFonts w:hint="eastAsia" w:ascii="仿宋_GB2312" w:hAnsi="仿宋_GB2312" w:eastAsia="仿宋_GB2312" w:cs="仿宋_GB2312"/>
          <w:color w:val="auto"/>
          <w:spacing w:val="0"/>
          <w:sz w:val="32"/>
          <w:szCs w:val="32"/>
          <w:u w:val="none"/>
        </w:rPr>
        <w:t>全年谋划储备中央预算投资项目不少于100个，专项债券项目不少于60个。</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县发改局牵头，各镇街、园区，县级各部门负责</w:t>
      </w:r>
      <w:r>
        <w:rPr>
          <w:rFonts w:hint="eastAsia" w:ascii="仿宋_GB2312" w:hAnsi="Times New Roman" w:eastAsia="仿宋_GB2312" w:cs="仿宋_GB2312"/>
          <w:color w:val="000000"/>
          <w:sz w:val="32"/>
          <w:szCs w:val="32"/>
        </w:rPr>
        <w:t>〕</w:t>
      </w:r>
    </w:p>
    <w:p>
      <w:pPr>
        <w:pStyle w:val="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2. 突出重点提高项目质量。</w:t>
      </w:r>
      <w:r>
        <w:rPr>
          <w:rFonts w:hint="eastAsia" w:ascii="仿宋_GB2312" w:hAnsi="仿宋_GB2312" w:eastAsia="仿宋_GB2312" w:cs="仿宋_GB2312"/>
          <w:b w:val="0"/>
          <w:bCs w:val="0"/>
          <w:color w:val="auto"/>
          <w:spacing w:val="0"/>
          <w:kern w:val="2"/>
          <w:sz w:val="32"/>
          <w:szCs w:val="32"/>
          <w:u w:val="none"/>
          <w:lang w:val="en-US" w:eastAsia="zh-CN" w:bidi="ar-SA"/>
        </w:rPr>
        <w:t>围绕“311”现代特色产业体系和创新驱动发展战略谋划储备项目，提高项目单体投资强度。健全常态化项目谋划机制，坚持月收集、季通报、年考核，提升各镇街、各部门谋划储备项目积极性。全年谋划储备产业项目400个以上、总投资占比达到50%以上，全县重点项目平均投资超6000万元。</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县发改局牵头，各镇街、园区，县级各部门负责</w:t>
      </w:r>
      <w:r>
        <w:rPr>
          <w:rFonts w:hint="eastAsia" w:ascii="仿宋_GB2312" w:hAnsi="Times New Roman" w:eastAsia="仿宋_GB2312" w:cs="仿宋_GB2312"/>
          <w:color w:val="000000"/>
          <w:sz w:val="32"/>
          <w:szCs w:val="32"/>
        </w:rPr>
        <w:t>〕</w:t>
      </w:r>
    </w:p>
    <w:p>
      <w:pPr>
        <w:pStyle w:val="8"/>
        <w:keepNext w:val="0"/>
        <w:keepLines w:val="0"/>
        <w:pageBreakBefore w:val="0"/>
        <w:widowControl w:val="0"/>
        <w:kinsoku/>
        <w:wordWrap/>
        <w:overflowPunct w:val="0"/>
        <w:topLinePunct w:val="0"/>
        <w:autoSpaceDE/>
        <w:autoSpaceDN/>
        <w:bidi w:val="0"/>
        <w:adjustRightInd/>
        <w:spacing w:line="560" w:lineRule="exact"/>
        <w:ind w:left="0" w:leftChars="0" w:right="0" w:rightChars="0" w:firstLine="642" w:firstLineChars="200"/>
        <w:jc w:val="both"/>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3. 动态更新做实项目前期。</w:t>
      </w:r>
      <w:r>
        <w:rPr>
          <w:rFonts w:hint="eastAsia" w:ascii="仿宋_GB2312" w:hAnsi="仿宋_GB2312" w:eastAsia="仿宋_GB2312" w:cs="仿宋_GB2312"/>
          <w:b w:val="0"/>
          <w:bCs w:val="0"/>
          <w:color w:val="auto"/>
          <w:spacing w:val="0"/>
          <w:kern w:val="2"/>
          <w:sz w:val="32"/>
          <w:szCs w:val="32"/>
          <w:u w:val="none"/>
          <w:lang w:val="en-US" w:eastAsia="zh-CN" w:bidi="ar-SA"/>
        </w:rPr>
        <w:t>认真梳理、科学评估重点前期项目，结合上级政策和我县发展实际，调整优化一批不符合高质量发展要求的项目，新谋划一批接续发展的项目。县发改局、县财政局、县自然资源局、县行政审批局等部门要加强协同配合，强化工作指导，对县政府已经确定的前期项目，及时办理相关手续，力促项目尽快落地建设。县财政列支1000万元用于项目前期工作经费支持，力争2024年储备新开工重点项目不少于400个，新增总投资300亿元以上。</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县发改局牵头，县财政局、县自然资源局、县生态环境局、县行政审批局等各行业主管部门，各镇街、园区负责</w:t>
      </w:r>
      <w:r>
        <w:rPr>
          <w:rFonts w:hint="eastAsia" w:ascii="仿宋_GB2312" w:hAnsi="Times New Roman" w:eastAsia="仿宋_GB2312" w:cs="仿宋_GB2312"/>
          <w:color w:val="000000"/>
          <w:sz w:val="32"/>
          <w:szCs w:val="32"/>
        </w:rPr>
        <w:t>〕</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42" w:firstLineChars="200"/>
        <w:jc w:val="both"/>
        <w:rPr>
          <w:rFonts w:hint="default" w:ascii="楷体_GB2312" w:hAnsi="楷体_GB2312" w:eastAsia="楷体_GB2312" w:cs="楷体_GB2312"/>
          <w:b/>
          <w:bCs/>
          <w:color w:val="auto"/>
          <w:spacing w:val="0"/>
          <w:sz w:val="32"/>
          <w:szCs w:val="32"/>
          <w:u w:val="none"/>
          <w:lang w:val="en-US" w:eastAsia="zh-CN"/>
        </w:rPr>
      </w:pPr>
      <w:r>
        <w:rPr>
          <w:rFonts w:hint="eastAsia" w:ascii="楷体_GB2312" w:hAnsi="楷体_GB2312" w:eastAsia="楷体_GB2312" w:cs="楷体_GB2312"/>
          <w:b/>
          <w:bCs/>
          <w:color w:val="auto"/>
          <w:spacing w:val="0"/>
          <w:sz w:val="32"/>
          <w:szCs w:val="32"/>
          <w:u w:val="none"/>
          <w:lang w:val="en-US" w:eastAsia="zh-CN"/>
        </w:rPr>
        <w:t>（二）高质量推进项目建设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pacing w:val="0"/>
          <w:kern w:val="0"/>
          <w:sz w:val="32"/>
          <w:szCs w:val="32"/>
          <w:u w:val="none"/>
          <w:lang w:val="en-US" w:eastAsia="zh-CN" w:bidi="ar-SA"/>
        </w:rPr>
      </w:pPr>
      <w:r>
        <w:rPr>
          <w:rFonts w:hint="eastAsia" w:ascii="仿宋_GB2312" w:hAnsi="仿宋_GB2312" w:eastAsia="仿宋_GB2312" w:cs="仿宋_GB2312"/>
          <w:b/>
          <w:bCs/>
          <w:color w:val="auto"/>
          <w:spacing w:val="0"/>
          <w:sz w:val="32"/>
          <w:szCs w:val="32"/>
          <w:u w:val="none"/>
          <w:lang w:val="en-US" w:eastAsia="zh-CN"/>
        </w:rPr>
        <w:t>4. 加快产业链</w:t>
      </w:r>
      <w:r>
        <w:rPr>
          <w:rFonts w:hint="eastAsia" w:ascii="仿宋_GB2312" w:hAnsi="仿宋_GB2312" w:eastAsia="仿宋_GB2312" w:cs="仿宋_GB2312"/>
          <w:b/>
          <w:bCs/>
          <w:color w:val="auto"/>
          <w:spacing w:val="0"/>
          <w:sz w:val="32"/>
          <w:szCs w:val="32"/>
          <w:u w:val="none"/>
        </w:rPr>
        <w:t>延链补链。</w:t>
      </w:r>
      <w:r>
        <w:rPr>
          <w:rFonts w:hint="eastAsia" w:ascii="仿宋_GB2312" w:hAnsi="仿宋_GB2312" w:eastAsia="仿宋_GB2312" w:cs="仿宋_GB2312"/>
          <w:b w:val="0"/>
          <w:bCs w:val="0"/>
          <w:color w:val="auto"/>
          <w:spacing w:val="0"/>
          <w:sz w:val="32"/>
          <w:szCs w:val="32"/>
          <w:u w:val="none"/>
          <w:lang w:val="en-US" w:eastAsia="zh-CN"/>
        </w:rPr>
        <w:t>加速推进年度投资105.1亿元的259个新建重点项目。</w:t>
      </w:r>
      <w:r>
        <w:rPr>
          <w:rFonts w:hint="eastAsia" w:ascii="仿宋_GB2312" w:hAnsi="仿宋_GB2312" w:eastAsia="仿宋_GB2312" w:cs="仿宋_GB2312"/>
          <w:b/>
          <w:bCs/>
          <w:color w:val="auto"/>
          <w:spacing w:val="0"/>
          <w:sz w:val="32"/>
          <w:szCs w:val="32"/>
          <w:u w:val="none"/>
          <w:lang w:val="en-US" w:eastAsia="zh-CN"/>
        </w:rPr>
        <w:t>一是</w:t>
      </w:r>
      <w:r>
        <w:rPr>
          <w:rFonts w:hint="eastAsia" w:ascii="仿宋_GB2312" w:hAnsi="仿宋_GB2312" w:eastAsia="仿宋_GB2312" w:cs="仿宋_GB2312"/>
          <w:b w:val="0"/>
          <w:bCs w:val="0"/>
          <w:color w:val="auto"/>
          <w:spacing w:val="0"/>
          <w:kern w:val="2"/>
          <w:sz w:val="32"/>
          <w:szCs w:val="32"/>
          <w:u w:val="none"/>
          <w:lang w:val="en-US" w:eastAsia="zh-CN" w:bidi="ar-SA"/>
        </w:rPr>
        <w:t>做优猕猴桃产业链，实施总投资15.3亿元猕猴桃产业链项目10个，建成投资5000万元的猕猴桃“四改五提升”示范园10个、面积5000亩以上，</w:t>
      </w:r>
      <w:r>
        <w:rPr>
          <w:rFonts w:hint="eastAsia" w:ascii="仿宋_GB2312" w:hAnsi="仿宋_GB2312" w:eastAsia="仿宋_GB2312" w:cs="仿宋_GB2312"/>
          <w:color w:val="auto"/>
          <w:spacing w:val="0"/>
          <w:kern w:val="2"/>
          <w:sz w:val="32"/>
          <w:szCs w:val="32"/>
          <w:u w:val="none"/>
          <w:lang w:val="en-US" w:eastAsia="zh-CN" w:bidi="ar-SA"/>
        </w:rPr>
        <w:t>打造全国一流的猕猴桃全产业链发展先行区。</w:t>
      </w:r>
      <w:r>
        <w:rPr>
          <w:rFonts w:hint="eastAsia" w:ascii="仿宋_GB2312" w:hAnsi="仿宋_GB2312" w:eastAsia="仿宋_GB2312" w:cs="仿宋_GB2312"/>
          <w:b/>
          <w:bCs/>
          <w:color w:val="auto"/>
          <w:spacing w:val="0"/>
          <w:kern w:val="2"/>
          <w:sz w:val="32"/>
          <w:szCs w:val="32"/>
          <w:u w:val="none"/>
          <w:lang w:val="en-US" w:eastAsia="zh-CN" w:bidi="ar-SA"/>
        </w:rPr>
        <w:t>二是</w:t>
      </w:r>
      <w:r>
        <w:rPr>
          <w:rFonts w:hint="eastAsia" w:ascii="仿宋_GB2312" w:hAnsi="仿宋_GB2312" w:eastAsia="仿宋_GB2312" w:cs="仿宋_GB2312"/>
          <w:b w:val="0"/>
          <w:bCs w:val="0"/>
          <w:color w:val="auto"/>
          <w:spacing w:val="0"/>
          <w:kern w:val="2"/>
          <w:sz w:val="32"/>
          <w:szCs w:val="32"/>
          <w:u w:val="none"/>
          <w:lang w:val="en-US" w:eastAsia="zh-CN" w:bidi="ar-SA"/>
        </w:rPr>
        <w:t>做强新材料产业链，实施总投资83亿元的新材料产业链项目11个，年度投资1.5亿元建成宝钛精工精密机械加工项目。</w:t>
      </w:r>
      <w:r>
        <w:rPr>
          <w:rFonts w:hint="eastAsia" w:ascii="仿宋_GB2312" w:hAnsi="仿宋_GB2312" w:eastAsia="仿宋_GB2312" w:cs="仿宋_GB2312"/>
          <w:b/>
          <w:bCs/>
          <w:color w:val="auto"/>
          <w:spacing w:val="0"/>
          <w:kern w:val="2"/>
          <w:sz w:val="32"/>
          <w:szCs w:val="32"/>
          <w:u w:val="none"/>
          <w:lang w:val="en-US" w:eastAsia="zh-CN" w:bidi="ar-SA"/>
        </w:rPr>
        <w:t>三是</w:t>
      </w:r>
      <w:r>
        <w:rPr>
          <w:rFonts w:hint="eastAsia" w:ascii="仿宋_GB2312" w:hAnsi="仿宋_GB2312" w:eastAsia="仿宋_GB2312" w:cs="仿宋_GB2312"/>
          <w:b w:val="0"/>
          <w:bCs w:val="0"/>
          <w:color w:val="auto"/>
          <w:spacing w:val="0"/>
          <w:kern w:val="2"/>
          <w:sz w:val="32"/>
          <w:szCs w:val="32"/>
          <w:u w:val="none"/>
          <w:lang w:val="en-US" w:eastAsia="zh-CN" w:bidi="ar-SA"/>
        </w:rPr>
        <w:t>做大汽车配件产业链，实施总投资19.32亿元汽车配件产业链项目17个，投资3.5亿元的淮海集团100万辆钠电新能源车项目实现整车量产，</w:t>
      </w:r>
      <w:r>
        <w:rPr>
          <w:rFonts w:hint="eastAsia" w:ascii="仿宋_GB2312" w:hAnsi="仿宋_GB2312" w:eastAsia="仿宋_GB2312" w:cs="仿宋_GB2312"/>
          <w:color w:val="auto"/>
          <w:spacing w:val="0"/>
          <w:kern w:val="0"/>
          <w:sz w:val="32"/>
          <w:szCs w:val="32"/>
          <w:highlight w:val="none"/>
          <w:u w:val="none"/>
          <w:shd w:val="clear" w:color="auto" w:fill="FFFFFF"/>
          <w:lang w:val="en-US" w:eastAsia="zh-CN" w:bidi="ar"/>
        </w:rPr>
        <w:t>壮大装备制造</w:t>
      </w:r>
      <w:r>
        <w:rPr>
          <w:rFonts w:hint="eastAsia" w:ascii="仿宋_GB2312" w:hAnsi="仿宋_GB2312" w:eastAsia="仿宋_GB2312" w:cs="仿宋_GB2312"/>
          <w:color w:val="auto"/>
          <w:spacing w:val="0"/>
          <w:kern w:val="0"/>
          <w:sz w:val="32"/>
          <w:szCs w:val="32"/>
          <w:highlight w:val="none"/>
          <w:u w:val="none"/>
          <w:shd w:val="clear" w:color="auto" w:fill="FFFFFF"/>
          <w:lang w:bidi="ar"/>
        </w:rPr>
        <w:t>产业集群。</w:t>
      </w:r>
      <w:r>
        <w:rPr>
          <w:rFonts w:hint="eastAsia" w:ascii="仿宋_GB2312" w:hAnsi="仿宋_GB2312" w:eastAsia="仿宋_GB2312" w:cs="仿宋_GB2312"/>
          <w:b/>
          <w:bCs/>
          <w:color w:val="auto"/>
          <w:spacing w:val="0"/>
          <w:kern w:val="2"/>
          <w:sz w:val="32"/>
          <w:szCs w:val="32"/>
          <w:u w:val="none"/>
          <w:lang w:val="en-US" w:eastAsia="zh-CN" w:bidi="ar-SA"/>
        </w:rPr>
        <w:t>四是</w:t>
      </w:r>
      <w:r>
        <w:rPr>
          <w:rFonts w:hint="eastAsia" w:ascii="仿宋_GB2312" w:hAnsi="仿宋_GB2312" w:eastAsia="仿宋_GB2312" w:cs="仿宋_GB2312"/>
          <w:b w:val="0"/>
          <w:bCs w:val="0"/>
          <w:color w:val="auto"/>
          <w:spacing w:val="0"/>
          <w:kern w:val="2"/>
          <w:sz w:val="32"/>
          <w:szCs w:val="32"/>
          <w:u w:val="none"/>
          <w:lang w:val="en-US" w:eastAsia="zh-CN" w:bidi="ar-SA"/>
        </w:rPr>
        <w:t>延长纺织特色产业链，实施总投资10.3亿元纺织特色产业链项目2个，</w:t>
      </w:r>
      <w:r>
        <w:rPr>
          <w:rFonts w:hint="eastAsia" w:ascii="仿宋_GB2312" w:hAnsi="仿宋_GB2312" w:eastAsia="仿宋_GB2312" w:cs="仿宋_GB2312"/>
          <w:b w:val="0"/>
          <w:bCs w:val="0"/>
          <w:color w:val="auto"/>
          <w:spacing w:val="0"/>
          <w:kern w:val="0"/>
          <w:sz w:val="32"/>
          <w:szCs w:val="32"/>
          <w:u w:val="none"/>
          <w:shd w:val="clear" w:color="auto" w:fill="FFFFFF"/>
          <w:lang w:bidi="ar"/>
        </w:rPr>
        <w:t>建成</w:t>
      </w:r>
      <w:r>
        <w:rPr>
          <w:rFonts w:hint="eastAsia" w:ascii="仿宋_GB2312" w:hAnsi="仿宋_GB2312" w:eastAsia="仿宋_GB2312" w:cs="仿宋_GB2312"/>
          <w:b w:val="0"/>
          <w:bCs w:val="0"/>
          <w:color w:val="auto"/>
          <w:spacing w:val="0"/>
          <w:kern w:val="2"/>
          <w:sz w:val="32"/>
          <w:szCs w:val="32"/>
          <w:u w:val="none"/>
          <w:lang w:val="en-US" w:eastAsia="zh-CN" w:bidi="ar-SA"/>
        </w:rPr>
        <w:t>投资1.5亿元</w:t>
      </w:r>
      <w:r>
        <w:rPr>
          <w:rFonts w:hint="eastAsia" w:ascii="仿宋_GB2312" w:hAnsi="仿宋_GB2312" w:eastAsia="仿宋_GB2312" w:cs="仿宋_GB2312"/>
          <w:b w:val="0"/>
          <w:bCs w:val="0"/>
          <w:color w:val="auto"/>
          <w:spacing w:val="0"/>
          <w:kern w:val="0"/>
          <w:sz w:val="32"/>
          <w:szCs w:val="32"/>
          <w:u w:val="none"/>
          <w:shd w:val="clear" w:color="auto" w:fill="FFFFFF"/>
          <w:lang w:val="en-US" w:eastAsia="zh-CN" w:bidi="ar"/>
        </w:rPr>
        <w:t>的</w:t>
      </w:r>
      <w:r>
        <w:rPr>
          <w:rFonts w:hint="eastAsia" w:ascii="仿宋_GB2312" w:hAnsi="仿宋_GB2312" w:eastAsia="仿宋_GB2312" w:cs="仿宋_GB2312"/>
          <w:b w:val="0"/>
          <w:bCs w:val="0"/>
          <w:color w:val="auto"/>
          <w:spacing w:val="0"/>
          <w:kern w:val="0"/>
          <w:sz w:val="32"/>
          <w:szCs w:val="32"/>
          <w:u w:val="none"/>
          <w:shd w:val="clear" w:color="auto" w:fill="FFFFFF"/>
          <w:lang w:bidi="ar"/>
        </w:rPr>
        <w:t>华纶高端工装面料生产线一期</w:t>
      </w:r>
      <w:r>
        <w:rPr>
          <w:rFonts w:hint="eastAsia" w:ascii="仿宋_GB2312" w:hAnsi="仿宋_GB2312" w:eastAsia="仿宋_GB2312" w:cs="仿宋_GB2312"/>
          <w:color w:val="auto"/>
          <w:spacing w:val="0"/>
          <w:kern w:val="0"/>
          <w:sz w:val="32"/>
          <w:szCs w:val="32"/>
          <w:u w:val="none"/>
          <w:shd w:val="clear" w:color="auto" w:fill="FFFFFF"/>
          <w:lang w:bidi="ar"/>
        </w:rPr>
        <w:t>项目</w:t>
      </w:r>
      <w:r>
        <w:rPr>
          <w:rFonts w:hint="eastAsia" w:ascii="仿宋_GB2312" w:hAnsi="仿宋_GB2312" w:eastAsia="仿宋_GB2312" w:cs="仿宋_GB2312"/>
          <w:color w:val="auto"/>
          <w:spacing w:val="0"/>
          <w:kern w:val="0"/>
          <w:sz w:val="32"/>
          <w:szCs w:val="32"/>
          <w:u w:val="none"/>
          <w:shd w:val="clear" w:color="auto" w:fill="FFFFFF"/>
          <w:lang w:eastAsia="zh-CN" w:bidi="ar"/>
        </w:rPr>
        <w:t>，</w:t>
      </w:r>
      <w:r>
        <w:rPr>
          <w:rFonts w:hint="eastAsia" w:ascii="仿宋_GB2312" w:hAnsi="仿宋_GB2312" w:eastAsia="仿宋_GB2312" w:cs="仿宋_GB2312"/>
          <w:color w:val="auto"/>
          <w:spacing w:val="0"/>
          <w:kern w:val="0"/>
          <w:sz w:val="32"/>
          <w:szCs w:val="32"/>
          <w:u w:val="none"/>
          <w:shd w:val="clear" w:color="auto" w:fill="FFFFFF"/>
          <w:lang w:val="en-US" w:eastAsia="zh-CN" w:bidi="ar"/>
        </w:rPr>
        <w:t>引领纺织企业迈向数字化、绿色化。</w:t>
      </w:r>
      <w:r>
        <w:rPr>
          <w:rFonts w:hint="eastAsia" w:ascii="仿宋_GB2312" w:hAnsi="Times New Roman" w:eastAsia="仿宋_GB2312" w:cs="仿宋_GB2312"/>
          <w:color w:val="000000"/>
          <w:sz w:val="32"/>
          <w:szCs w:val="32"/>
        </w:rPr>
        <w:t>〔</w:t>
      </w:r>
      <w:r>
        <w:rPr>
          <w:rFonts w:hint="eastAsia" w:ascii="仿宋_GB2312" w:hAnsi="Times New Roman" w:eastAsia="仿宋_GB2312" w:cs="仿宋_GB2312"/>
          <w:color w:val="000000"/>
          <w:sz w:val="32"/>
          <w:szCs w:val="32"/>
          <w:lang w:eastAsia="zh-CN"/>
        </w:rPr>
        <w:t>县</w:t>
      </w:r>
      <w:r>
        <w:rPr>
          <w:rFonts w:hint="eastAsia" w:ascii="楷体_GB2312" w:hAnsi="仿宋_GB2312" w:eastAsia="楷体_GB2312" w:cs="仿宋_GB2312"/>
          <w:b w:val="0"/>
          <w:bCs/>
          <w:color w:val="auto"/>
          <w:spacing w:val="0"/>
          <w:kern w:val="2"/>
          <w:sz w:val="32"/>
          <w:szCs w:val="32"/>
          <w:u w:val="none"/>
          <w:lang w:val="en-US" w:eastAsia="zh-CN" w:bidi="ar-SA"/>
        </w:rPr>
        <w:t>猕猴桃园区管委会、县经开区管委会，县农业农村局、县商信局、县发改局，相关镇街负责</w:t>
      </w:r>
      <w:r>
        <w:rPr>
          <w:rFonts w:hint="eastAsia" w:ascii="仿宋_GB2312" w:hAnsi="Times New Roman" w:eastAsia="仿宋_GB2312" w:cs="仿宋_GB2312"/>
          <w:color w:val="000000"/>
          <w:sz w:val="32"/>
          <w:szCs w:val="32"/>
        </w:rPr>
        <w:t>〕</w:t>
      </w:r>
    </w:p>
    <w:p>
      <w:pPr>
        <w:pStyle w:val="19"/>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0"/>
          <w:sz w:val="32"/>
          <w:szCs w:val="32"/>
          <w:u w:val="none"/>
          <w:lang w:val="en-US" w:eastAsia="zh-CN"/>
        </w:rPr>
        <w:t>5. 积极推动</w:t>
      </w:r>
      <w:r>
        <w:rPr>
          <w:rFonts w:hint="eastAsia" w:ascii="仿宋_GB2312" w:hAnsi="仿宋_GB2312" w:eastAsia="仿宋_GB2312" w:cs="仿宋_GB2312"/>
          <w:b/>
          <w:bCs/>
          <w:color w:val="auto"/>
          <w:spacing w:val="0"/>
          <w:kern w:val="0"/>
          <w:sz w:val="32"/>
          <w:szCs w:val="32"/>
          <w:u w:val="none"/>
        </w:rPr>
        <w:t>新型城镇化建设</w:t>
      </w:r>
      <w:r>
        <w:rPr>
          <w:rFonts w:hint="eastAsia" w:ascii="仿宋_GB2312" w:hAnsi="仿宋_GB2312" w:eastAsia="仿宋_GB2312" w:cs="仿宋_GB2312"/>
          <w:b/>
          <w:bCs/>
          <w:color w:val="auto"/>
          <w:spacing w:val="0"/>
          <w:kern w:val="0"/>
          <w:sz w:val="32"/>
          <w:szCs w:val="32"/>
          <w:u w:val="none"/>
          <w:lang w:eastAsia="zh-CN"/>
        </w:rPr>
        <w:t>。</w:t>
      </w:r>
      <w:r>
        <w:rPr>
          <w:rFonts w:hint="eastAsia" w:ascii="仿宋_GB2312" w:hAnsi="仿宋_GB2312" w:eastAsia="仿宋_GB2312" w:cs="仿宋_GB2312"/>
          <w:b w:val="0"/>
          <w:bCs w:val="0"/>
          <w:color w:val="auto"/>
          <w:spacing w:val="0"/>
          <w:kern w:val="0"/>
          <w:sz w:val="32"/>
          <w:szCs w:val="32"/>
          <w:u w:val="none"/>
          <w:lang w:val="en-US" w:eastAsia="zh-CN"/>
        </w:rPr>
        <w:t>实施总投资86亿元</w:t>
      </w:r>
      <w:r>
        <w:rPr>
          <w:rFonts w:hint="eastAsia" w:ascii="仿宋_GB2312" w:hAnsi="仿宋_GB2312" w:eastAsia="仿宋_GB2312" w:cs="仿宋_GB2312"/>
          <w:b w:val="0"/>
          <w:bCs w:val="0"/>
          <w:color w:val="auto"/>
          <w:spacing w:val="0"/>
          <w:kern w:val="0"/>
          <w:sz w:val="32"/>
          <w:szCs w:val="32"/>
          <w:u w:val="none"/>
        </w:rPr>
        <w:t>城镇化建设</w:t>
      </w:r>
      <w:r>
        <w:rPr>
          <w:rFonts w:hint="eastAsia" w:ascii="仿宋_GB2312" w:hAnsi="仿宋_GB2312" w:eastAsia="仿宋_GB2312" w:cs="仿宋_GB2312"/>
          <w:b w:val="0"/>
          <w:bCs w:val="0"/>
          <w:color w:val="auto"/>
          <w:spacing w:val="0"/>
          <w:kern w:val="0"/>
          <w:sz w:val="32"/>
          <w:szCs w:val="32"/>
          <w:u w:val="none"/>
          <w:lang w:val="en-US" w:eastAsia="zh-CN"/>
        </w:rPr>
        <w:t>项目55个，年度投资1.5亿元建成荣华路片区棚改安置区2栋安置楼。实施总投资1.2亿元的</w:t>
      </w:r>
      <w:r>
        <w:rPr>
          <w:rFonts w:hint="eastAsia" w:ascii="仿宋_GB2312" w:hAnsi="仿宋_GB2312" w:eastAsia="仿宋_GB2312" w:cs="仿宋_GB2312"/>
          <w:b w:val="0"/>
          <w:bCs w:val="0"/>
          <w:color w:val="auto"/>
          <w:spacing w:val="0"/>
          <w:kern w:val="0"/>
          <w:sz w:val="32"/>
          <w:szCs w:val="32"/>
          <w:u w:val="none"/>
          <w:lang w:val="en-US" w:eastAsia="zh-CN" w:bidi="ar-SA"/>
        </w:rPr>
        <w:t>县城</w:t>
      </w:r>
      <w:r>
        <w:rPr>
          <w:rFonts w:hint="eastAsia" w:ascii="仿宋_GB2312" w:hAnsi="仿宋_GB2312" w:eastAsia="仿宋_GB2312" w:cs="仿宋_GB2312"/>
          <w:b w:val="0"/>
          <w:bCs w:val="0"/>
          <w:color w:val="auto"/>
          <w:spacing w:val="0"/>
          <w:kern w:val="0"/>
          <w:sz w:val="32"/>
          <w:szCs w:val="32"/>
          <w:u w:val="none"/>
          <w:lang w:val="en-US" w:eastAsia="zh-CN"/>
        </w:rPr>
        <w:t>环城生态廊道建设项目，年度完成投资5000万元，完成4公里生态廊道建设。实施总投资1.5亿元的县城清洁化供热项目，年底前建成供热站2座，铺设供热管网12.5公里。</w:t>
      </w:r>
      <w:r>
        <w:rPr>
          <w:rFonts w:hint="eastAsia" w:ascii="仿宋_GB2312" w:hAnsi="仿宋_GB2312" w:eastAsia="仿宋_GB2312" w:cs="仿宋_GB2312"/>
          <w:color w:val="auto"/>
          <w:spacing w:val="0"/>
          <w:kern w:val="0"/>
          <w:sz w:val="32"/>
          <w:szCs w:val="32"/>
          <w:u w:val="none"/>
          <w:lang w:val="en-US" w:eastAsia="zh-CN" w:bidi="ar-SA"/>
        </w:rPr>
        <w:t>启动首善商业步行街、眉县大剧院和“四馆”（博物馆、图书馆、文化馆、科技馆）建设，</w:t>
      </w:r>
      <w:r>
        <w:rPr>
          <w:rFonts w:hint="eastAsia" w:ascii="仿宋_GB2312" w:hAnsi="仿宋_GB2312" w:eastAsia="仿宋_GB2312" w:cs="仿宋_GB2312"/>
          <w:color w:val="auto"/>
          <w:spacing w:val="0"/>
          <w:kern w:val="0"/>
          <w:sz w:val="32"/>
          <w:szCs w:val="32"/>
          <w:highlight w:val="none"/>
          <w:u w:val="none"/>
          <w:shd w:val="clear" w:color="auto" w:fill="FFFFFF"/>
          <w:lang w:val="en-US" w:eastAsia="zh-CN" w:bidi="ar"/>
        </w:rPr>
        <w:t>不断完善城市服务功能、提升承载力。</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县住建局、县教体局、县文旅局，首善街办负责</w:t>
      </w:r>
      <w:r>
        <w:rPr>
          <w:rFonts w:hint="eastAsia" w:ascii="仿宋_GB2312" w:hAnsi="Times New Roman"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0"/>
          <w:sz w:val="32"/>
          <w:szCs w:val="32"/>
          <w:u w:val="none"/>
          <w:shd w:val="clear" w:color="auto" w:fill="FFFFFF"/>
          <w:lang w:val="en-US" w:eastAsia="zh-CN" w:bidi="ar"/>
        </w:rPr>
        <w:t>6. 推动文旅商体融合</w:t>
      </w:r>
      <w:r>
        <w:rPr>
          <w:rFonts w:ascii="仿宋_GB2312" w:hAnsi="仿宋_GB2312" w:eastAsia="仿宋_GB2312" w:cs="仿宋_GB2312"/>
          <w:b/>
          <w:bCs/>
          <w:color w:val="auto"/>
          <w:spacing w:val="0"/>
          <w:kern w:val="0"/>
          <w:sz w:val="32"/>
          <w:szCs w:val="32"/>
          <w:u w:val="none"/>
          <w:shd w:val="clear" w:color="auto" w:fill="FFFFFF"/>
          <w:lang w:bidi="ar"/>
        </w:rPr>
        <w:t>发展</w:t>
      </w:r>
      <w:r>
        <w:rPr>
          <w:rFonts w:hint="eastAsia" w:ascii="仿宋_GB2312" w:hAnsi="仿宋_GB2312" w:eastAsia="仿宋_GB2312" w:cs="仿宋_GB2312"/>
          <w:b/>
          <w:bCs/>
          <w:color w:val="auto"/>
          <w:spacing w:val="0"/>
          <w:kern w:val="0"/>
          <w:sz w:val="32"/>
          <w:szCs w:val="32"/>
          <w:u w:val="none"/>
          <w:shd w:val="clear" w:color="auto" w:fill="FFFFFF"/>
          <w:lang w:eastAsia="zh-CN" w:bidi="ar"/>
        </w:rPr>
        <w:t>。</w:t>
      </w:r>
      <w:r>
        <w:rPr>
          <w:rFonts w:hint="eastAsia" w:ascii="仿宋_GB2312" w:hAnsi="仿宋_GB2312" w:eastAsia="仿宋_GB2312" w:cs="仿宋_GB2312"/>
          <w:b w:val="0"/>
          <w:bCs w:val="0"/>
          <w:color w:val="auto"/>
          <w:spacing w:val="0"/>
          <w:kern w:val="0"/>
          <w:sz w:val="32"/>
          <w:szCs w:val="32"/>
          <w:u w:val="none"/>
          <w:shd w:val="clear" w:color="auto" w:fill="FFFFFF"/>
          <w:lang w:val="en-US" w:eastAsia="zh-CN" w:bidi="ar"/>
        </w:rPr>
        <w:t>实施总投资138.4亿元的文旅商体融合发展项目37个，投资1亿元完成太白山唐镇唐文化沉浸式实景演艺项目主体建设。</w:t>
      </w:r>
      <w:r>
        <w:rPr>
          <w:rFonts w:hint="eastAsia" w:ascii="仿宋_GB2312" w:hAnsi="仿宋_GB2312" w:eastAsia="仿宋_GB2312" w:cs="仿宋_GB2312"/>
          <w:b w:val="0"/>
          <w:bCs w:val="0"/>
          <w:i w:val="0"/>
          <w:caps w:val="0"/>
          <w:color w:val="auto"/>
          <w:spacing w:val="0"/>
          <w:sz w:val="32"/>
          <w:szCs w:val="32"/>
          <w:u w:val="none"/>
          <w:lang w:val="en-US" w:eastAsia="zh-CN"/>
        </w:rPr>
        <w:t>启动横渠书院4A级景区、平阳湖3A级景区创建，</w:t>
      </w:r>
      <w:r>
        <w:rPr>
          <w:rFonts w:hint="eastAsia" w:ascii="仿宋_GB2312" w:hAnsi="仿宋_GB2312" w:eastAsia="仿宋_GB2312" w:cs="仿宋_GB2312"/>
          <w:color w:val="auto"/>
          <w:spacing w:val="0"/>
          <w:sz w:val="32"/>
          <w:szCs w:val="32"/>
          <w:u w:val="none"/>
        </w:rPr>
        <w:t>确保</w:t>
      </w:r>
      <w:r>
        <w:rPr>
          <w:rFonts w:hint="eastAsia" w:ascii="仿宋_GB2312" w:hAnsi="仿宋_GB2312" w:eastAsia="仿宋_GB2312" w:cs="仿宋_GB2312"/>
          <w:color w:val="auto"/>
          <w:spacing w:val="0"/>
          <w:sz w:val="32"/>
          <w:szCs w:val="32"/>
          <w:u w:val="none"/>
          <w:lang w:val="en-US" w:eastAsia="zh-CN"/>
        </w:rPr>
        <w:t>太白山旅游区</w:t>
      </w:r>
      <w:r>
        <w:rPr>
          <w:rFonts w:hint="eastAsia" w:ascii="仿宋_GB2312" w:hAnsi="仿宋_GB2312" w:eastAsia="仿宋_GB2312" w:cs="仿宋_GB2312"/>
          <w:color w:val="auto"/>
          <w:spacing w:val="0"/>
          <w:sz w:val="32"/>
          <w:szCs w:val="32"/>
          <w:u w:val="none"/>
        </w:rPr>
        <w:t>顺利通过5A级景区复审。</w:t>
      </w:r>
      <w:r>
        <w:rPr>
          <w:rFonts w:hint="eastAsia" w:ascii="仿宋_GB2312" w:hAnsi="仿宋_GB2312" w:eastAsia="仿宋_GB2312" w:cs="仿宋_GB2312"/>
          <w:color w:val="auto"/>
          <w:spacing w:val="0"/>
          <w:sz w:val="32"/>
          <w:szCs w:val="32"/>
          <w:u w:val="none"/>
          <w:lang w:val="en-US" w:eastAsia="zh-CN"/>
        </w:rPr>
        <w:t>投资</w:t>
      </w:r>
      <w:r>
        <w:rPr>
          <w:rFonts w:hint="eastAsia" w:ascii="仿宋_GB2312" w:hAnsi="仿宋_GB2312" w:eastAsia="仿宋_GB2312" w:cs="仿宋_GB2312"/>
          <w:color w:val="auto"/>
          <w:spacing w:val="0"/>
          <w:sz w:val="32"/>
          <w:szCs w:val="32"/>
          <w:u w:val="none"/>
        </w:rPr>
        <w:t>8600</w:t>
      </w:r>
      <w:r>
        <w:rPr>
          <w:rFonts w:hint="eastAsia" w:ascii="仿宋_GB2312" w:hAnsi="仿宋_GB2312" w:eastAsia="仿宋_GB2312" w:cs="仿宋_GB2312"/>
          <w:color w:val="auto"/>
          <w:spacing w:val="0"/>
          <w:sz w:val="32"/>
          <w:szCs w:val="32"/>
          <w:u w:val="none"/>
          <w:lang w:val="en-US" w:eastAsia="zh-CN"/>
        </w:rPr>
        <w:t>万元，年底前建成河滩村民俗村项目，进一步</w:t>
      </w:r>
      <w:r>
        <w:rPr>
          <w:rFonts w:hint="eastAsia" w:ascii="仿宋_GB2312" w:hAnsi="仿宋_GB2312" w:eastAsia="仿宋_GB2312" w:cs="仿宋_GB2312"/>
          <w:b w:val="0"/>
          <w:bCs w:val="0"/>
          <w:i w:val="0"/>
          <w:caps w:val="0"/>
          <w:color w:val="auto"/>
          <w:spacing w:val="0"/>
          <w:sz w:val="32"/>
          <w:szCs w:val="32"/>
          <w:u w:val="none"/>
          <w:lang w:val="en-US" w:eastAsia="zh-CN"/>
        </w:rPr>
        <w:t>完善丰富全域旅游要素。实现年接待游客1000万人次以上，旅游综合收入80亿元以上。</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县文旅局、太白山旅游区管委会，相关镇街负责</w:t>
      </w:r>
      <w:r>
        <w:rPr>
          <w:rFonts w:hint="eastAsia" w:ascii="仿宋_GB2312" w:hAnsi="Times New Roman"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default" w:ascii="仿宋_GB2312" w:hAnsi="仿宋_GB2312" w:eastAsia="仿宋_GB2312" w:cs="仿宋_GB2312"/>
          <w:b/>
          <w:bCs/>
          <w:color w:val="auto"/>
          <w:spacing w:val="0"/>
          <w:kern w:val="0"/>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7. 加快实施乡村振兴战略。</w:t>
      </w:r>
      <w:r>
        <w:rPr>
          <w:rFonts w:hint="eastAsia" w:ascii="仿宋_GB2312" w:hAnsi="仿宋_GB2312" w:eastAsia="仿宋_GB2312" w:cs="仿宋_GB2312"/>
          <w:color w:val="auto"/>
          <w:spacing w:val="0"/>
          <w:kern w:val="2"/>
          <w:sz w:val="32"/>
          <w:szCs w:val="32"/>
          <w:u w:val="none"/>
          <w:lang w:val="en-US" w:eastAsia="zh-CN" w:bidi="ar-SA"/>
        </w:rPr>
        <w:t>用好用足7800万元衔接资金，滚动实施总投资2.52亿元的233个村级项目，力争村集体经济收益50万元以上的村达到10个。完成总投资8.6亿元的33个农村水、电、路、气等基础设施建设项目。推进农村人居环境整治提升五年行动，常态化开展村庄清洁行动，年内新增改厕整村推进村8个，打造省级美丽宜居示范村5个。全面落实“田长制”，深入实施“藏粮于地、藏粮于技”战略，年内新建高标准农田1万亩。</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县乡村振兴局、县农业农村局牵头，各镇街负责</w:t>
      </w:r>
      <w:r>
        <w:rPr>
          <w:rFonts w:hint="eastAsia" w:ascii="仿宋_GB2312" w:hAnsi="Times New Roman"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default" w:ascii="仿宋_GB2312" w:hAnsi="仿宋_GB2312" w:eastAsia="仿宋_GB2312" w:cs="仿宋_GB2312"/>
          <w:b/>
          <w:bCs/>
          <w:color w:val="auto"/>
          <w:spacing w:val="0"/>
          <w:kern w:val="0"/>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8. 加速工业技改创新扩能。</w:t>
      </w:r>
      <w:r>
        <w:rPr>
          <w:rFonts w:hint="eastAsia" w:ascii="仿宋_GB2312" w:hAnsi="仿宋_GB2312" w:eastAsia="仿宋_GB2312" w:cs="仿宋_GB2312"/>
          <w:b w:val="0"/>
          <w:bCs w:val="0"/>
          <w:color w:val="auto"/>
          <w:spacing w:val="0"/>
          <w:kern w:val="2"/>
          <w:sz w:val="32"/>
          <w:szCs w:val="32"/>
          <w:u w:val="none"/>
          <w:lang w:val="en-US" w:eastAsia="zh-CN" w:bidi="ar-SA"/>
        </w:rPr>
        <w:t>实施总投资19.06亿元的工业技改项目24个，建成投资1.3亿元的聚羧酸高性能减水剂二期项目。</w:t>
      </w:r>
      <w:r>
        <w:rPr>
          <w:rFonts w:hint="eastAsia" w:ascii="仿宋_GB2312" w:hAnsi="仿宋_GB2312" w:eastAsia="仿宋_GB2312" w:cs="仿宋_GB2312"/>
          <w:color w:val="auto"/>
          <w:spacing w:val="0"/>
          <w:sz w:val="32"/>
          <w:szCs w:val="32"/>
          <w:u w:val="none"/>
          <w:lang w:val="en-US" w:eastAsia="zh-CN"/>
        </w:rPr>
        <w:t>实施“工业倍增”计划，深入开展联企帮扶，做实企业服务专员制度。持续更新重点培育企业名录，加强“小升规”培育指导，年内新培育规上工业企业5户以上。依托秦创原宝鸡创新港建设，加快实施科技企业培育计划，年内新培育“专精特新”企业5户以上，高新技术企业和科技型中小企业10户以上。</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县商信局牵头，各镇街、园区负责</w:t>
      </w:r>
      <w:r>
        <w:rPr>
          <w:rFonts w:hint="eastAsia" w:ascii="仿宋_GB2312" w:hAnsi="Times New Roman"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pacing w:val="0"/>
          <w:kern w:val="0"/>
          <w:sz w:val="32"/>
          <w:szCs w:val="32"/>
          <w:u w:val="none"/>
          <w:lang w:val="en-US" w:eastAsia="zh-CN" w:bidi="ar-SA"/>
        </w:rPr>
      </w:pPr>
      <w:r>
        <w:rPr>
          <w:rFonts w:hint="eastAsia" w:ascii="仿宋_GB2312" w:hAnsi="仿宋_GB2312" w:eastAsia="仿宋_GB2312" w:cs="仿宋_GB2312"/>
          <w:b/>
          <w:bCs/>
          <w:color w:val="auto"/>
          <w:spacing w:val="0"/>
          <w:kern w:val="0"/>
          <w:sz w:val="32"/>
          <w:szCs w:val="32"/>
          <w:u w:val="none"/>
          <w:lang w:val="en-US" w:eastAsia="zh-CN"/>
        </w:rPr>
        <w:t>9. 加快</w:t>
      </w:r>
      <w:r>
        <w:rPr>
          <w:rFonts w:hint="eastAsia" w:ascii="仿宋_GB2312" w:hAnsi="仿宋_GB2312" w:eastAsia="仿宋_GB2312" w:cs="仿宋_GB2312"/>
          <w:b/>
          <w:bCs/>
          <w:color w:val="auto"/>
          <w:spacing w:val="0"/>
          <w:kern w:val="0"/>
          <w:sz w:val="32"/>
          <w:szCs w:val="32"/>
          <w:u w:val="none"/>
        </w:rPr>
        <w:t>重大基础设施</w:t>
      </w:r>
      <w:r>
        <w:rPr>
          <w:rFonts w:hint="eastAsia" w:ascii="仿宋_GB2312" w:hAnsi="仿宋_GB2312" w:eastAsia="仿宋_GB2312" w:cs="仿宋_GB2312"/>
          <w:b/>
          <w:bCs/>
          <w:color w:val="auto"/>
          <w:spacing w:val="0"/>
          <w:kern w:val="0"/>
          <w:sz w:val="32"/>
          <w:szCs w:val="32"/>
          <w:u w:val="none"/>
          <w:lang w:val="en-US" w:eastAsia="zh-CN"/>
        </w:rPr>
        <w:t>建设</w:t>
      </w:r>
      <w:r>
        <w:rPr>
          <w:rFonts w:hint="eastAsia" w:ascii="仿宋_GB2312" w:hAnsi="仿宋_GB2312" w:eastAsia="仿宋_GB2312" w:cs="仿宋_GB2312"/>
          <w:b/>
          <w:bCs/>
          <w:color w:val="auto"/>
          <w:spacing w:val="0"/>
          <w:kern w:val="0"/>
          <w:sz w:val="32"/>
          <w:szCs w:val="32"/>
          <w:u w:val="none"/>
          <w:lang w:eastAsia="zh-CN"/>
        </w:rPr>
        <w:t>。</w:t>
      </w:r>
      <w:r>
        <w:rPr>
          <w:rFonts w:hint="eastAsia" w:ascii="仿宋_GB2312" w:hAnsi="仿宋_GB2312" w:eastAsia="仿宋_GB2312" w:cs="仿宋_GB2312"/>
          <w:color w:val="auto"/>
          <w:spacing w:val="0"/>
          <w:kern w:val="0"/>
          <w:sz w:val="32"/>
          <w:szCs w:val="32"/>
          <w:u w:val="none"/>
          <w:lang w:val="en-US" w:eastAsia="zh-CN" w:bidi="ar-SA"/>
        </w:rPr>
        <w:t>以创建全国第二批城乡交通运输一体化示范县为抓手，实施总投资83.32亿元的交通基础设施项目10个，6月底前，完成</w:t>
      </w:r>
      <w:r>
        <w:rPr>
          <w:rFonts w:hint="eastAsia" w:ascii="仿宋_GB2312" w:hAnsi="仿宋_GB2312" w:eastAsia="仿宋_GB2312" w:cs="仿宋_GB2312"/>
          <w:b w:val="0"/>
          <w:bCs w:val="0"/>
          <w:color w:val="auto"/>
          <w:sz w:val="32"/>
          <w:szCs w:val="32"/>
          <w:lang w:val="en-US" w:eastAsia="zh-CN"/>
        </w:rPr>
        <w:t>眉太高速</w:t>
      </w:r>
      <w:r>
        <w:rPr>
          <w:rFonts w:hint="eastAsia" w:ascii="仿宋_GB2312" w:hAnsi="仿宋_GB2312" w:eastAsia="仿宋_GB2312" w:cs="仿宋_GB2312"/>
          <w:b w:val="0"/>
          <w:bCs w:val="0"/>
          <w:color w:val="auto"/>
          <w:sz w:val="32"/>
          <w:szCs w:val="32"/>
          <w:u w:val="none"/>
          <w:lang w:val="en-US" w:eastAsia="zh-CN"/>
        </w:rPr>
        <w:t>“三线”迁改，为</w:t>
      </w:r>
      <w:r>
        <w:rPr>
          <w:rFonts w:hint="eastAsia" w:ascii="仿宋_GB2312" w:hAnsi="仿宋_GB2312" w:eastAsia="仿宋_GB2312" w:cs="仿宋_GB2312"/>
          <w:color w:val="auto"/>
          <w:spacing w:val="0"/>
          <w:kern w:val="0"/>
          <w:sz w:val="32"/>
          <w:szCs w:val="32"/>
          <w:u w:val="none"/>
          <w:shd w:val="clear" w:color="auto" w:fill="FFFFFF"/>
          <w:lang w:bidi="ar"/>
        </w:rPr>
        <w:t>眉太高速</w:t>
      </w:r>
      <w:r>
        <w:rPr>
          <w:rFonts w:hint="eastAsia" w:ascii="仿宋_GB2312" w:hAnsi="仿宋_GB2312" w:eastAsia="仿宋_GB2312" w:cs="仿宋_GB2312"/>
          <w:color w:val="auto"/>
          <w:spacing w:val="0"/>
          <w:kern w:val="0"/>
          <w:sz w:val="32"/>
          <w:szCs w:val="32"/>
          <w:u w:val="none"/>
          <w:shd w:val="clear" w:color="auto" w:fill="FFFFFF"/>
          <w:lang w:val="en-US" w:eastAsia="zh-CN" w:bidi="ar"/>
        </w:rPr>
        <w:t>快速推进提供良好环境保障</w:t>
      </w:r>
      <w:r>
        <w:rPr>
          <w:rFonts w:hint="eastAsia" w:ascii="仿宋_GB2312" w:hAnsi="仿宋_GB2312" w:eastAsia="仿宋_GB2312" w:cs="仿宋_GB2312"/>
          <w:color w:val="auto"/>
          <w:spacing w:val="0"/>
          <w:kern w:val="0"/>
          <w:sz w:val="32"/>
          <w:szCs w:val="32"/>
          <w:u w:val="none"/>
          <w:shd w:val="clear" w:color="auto" w:fill="FFFFFF"/>
          <w:lang w:eastAsia="zh-CN" w:bidi="ar"/>
        </w:rPr>
        <w:t>；</w:t>
      </w:r>
      <w:r>
        <w:rPr>
          <w:rFonts w:hint="eastAsia" w:ascii="仿宋_GB2312" w:hAnsi="仿宋_GB2312" w:eastAsia="仿宋_GB2312" w:cs="仿宋_GB2312"/>
          <w:color w:val="auto"/>
          <w:spacing w:val="0"/>
          <w:kern w:val="0"/>
          <w:sz w:val="32"/>
          <w:szCs w:val="32"/>
          <w:u w:val="none"/>
          <w:lang w:val="en-US" w:eastAsia="zh-CN" w:bidi="ar-SA"/>
        </w:rPr>
        <w:t>年内完成鄠周眉高速、关环高速和G310控制性工程房屋拆迁、坟墓迁移及地表附着物清理等工作，保障全线开工。大力发展物流枢纽经济，加快推进县域商业体系建设，投资1200万元，建成明润农产品物流园粮油（肉蛋）储备设施建设项目，着力把交通区位优势转化为经济发展优势。</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县交通局、县商信局牵头，各镇街、园区负责</w:t>
      </w:r>
      <w:r>
        <w:rPr>
          <w:rFonts w:hint="eastAsia" w:ascii="仿宋_GB2312" w:hAnsi="Times New Roman" w:eastAsia="仿宋_GB2312" w:cs="仿宋_GB2312"/>
          <w:color w:val="000000"/>
          <w:sz w:val="32"/>
          <w:szCs w:val="32"/>
        </w:rPr>
        <w:t>〕</w:t>
      </w:r>
    </w:p>
    <w:p>
      <w:pPr>
        <w:pStyle w:val="19"/>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outlineLvl w:val="9"/>
        <w:rPr>
          <w:rFonts w:hint="default"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0"/>
          <w:sz w:val="32"/>
          <w:szCs w:val="32"/>
          <w:u w:val="none"/>
          <w:shd w:val="clear" w:color="auto" w:fill="FFFFFF"/>
          <w:lang w:val="en-US" w:eastAsia="zh-CN" w:bidi="ar"/>
        </w:rPr>
        <w:t>10.全力保障民生增福祉。</w:t>
      </w:r>
      <w:r>
        <w:rPr>
          <w:rFonts w:hint="eastAsia" w:ascii="仿宋_GB2312" w:hAnsi="仿宋_GB2312" w:eastAsia="仿宋_GB2312" w:cs="仿宋_GB2312"/>
          <w:color w:val="auto"/>
          <w:spacing w:val="0"/>
          <w:kern w:val="2"/>
          <w:sz w:val="32"/>
          <w:szCs w:val="32"/>
          <w:u w:val="none"/>
          <w:lang w:val="en-US" w:eastAsia="zh-CN" w:bidi="ar-SA"/>
        </w:rPr>
        <w:t>着力发展优质均衡教育、深化健康眉县建设、兜牢民生保障底线。</w:t>
      </w:r>
      <w:r>
        <w:rPr>
          <w:rFonts w:hint="eastAsia" w:ascii="仿宋_GB2312" w:hAnsi="仿宋_GB2312" w:eastAsia="仿宋_GB2312" w:cs="仿宋_GB2312"/>
          <w:b/>
          <w:bCs/>
          <w:color w:val="auto"/>
          <w:spacing w:val="0"/>
          <w:kern w:val="2"/>
          <w:sz w:val="32"/>
          <w:szCs w:val="32"/>
          <w:u w:val="none"/>
          <w:lang w:val="en-US" w:eastAsia="zh-CN" w:bidi="ar-SA"/>
        </w:rPr>
        <w:t>一是</w:t>
      </w:r>
      <w:r>
        <w:rPr>
          <w:rFonts w:hint="eastAsia" w:ascii="仿宋_GB2312" w:hAnsi="仿宋_GB2312" w:eastAsia="仿宋_GB2312" w:cs="仿宋_GB2312"/>
          <w:color w:val="auto"/>
          <w:spacing w:val="0"/>
          <w:kern w:val="2"/>
          <w:sz w:val="32"/>
          <w:szCs w:val="32"/>
          <w:u w:val="none"/>
          <w:lang w:val="en-US" w:eastAsia="zh-CN" w:bidi="ar-SA"/>
        </w:rPr>
        <w:t>实施总投资6.74亿元的教育基础设施建设项目9个，建成县城第五幼儿园，完成县城第四幼儿园保育楼主体建设，启动第六小学、第三初级中学建设，全面改善县域学校办学条件，实现教育资源、人口向县城聚集。投资1.39亿元完成县文体中心体育馆建设及相关配套相关设施。</w:t>
      </w:r>
      <w:r>
        <w:rPr>
          <w:rFonts w:hint="eastAsia" w:ascii="仿宋_GB2312" w:hAnsi="仿宋_GB2312" w:eastAsia="仿宋_GB2312" w:cs="仿宋_GB2312"/>
          <w:b/>
          <w:bCs/>
          <w:color w:val="auto"/>
          <w:spacing w:val="0"/>
          <w:kern w:val="2"/>
          <w:sz w:val="32"/>
          <w:szCs w:val="32"/>
          <w:u w:val="none"/>
          <w:lang w:val="en-US" w:eastAsia="zh-CN" w:bidi="ar-SA"/>
        </w:rPr>
        <w:t>二是</w:t>
      </w:r>
      <w:r>
        <w:rPr>
          <w:rFonts w:hint="eastAsia" w:ascii="仿宋_GB2312" w:hAnsi="仿宋_GB2312" w:eastAsia="仿宋_GB2312" w:cs="仿宋_GB2312"/>
          <w:b w:val="0"/>
          <w:bCs w:val="0"/>
          <w:color w:val="auto"/>
          <w:spacing w:val="0"/>
          <w:kern w:val="2"/>
          <w:sz w:val="32"/>
          <w:szCs w:val="32"/>
          <w:u w:val="none"/>
          <w:lang w:val="en-US" w:eastAsia="zh-CN" w:bidi="ar-SA"/>
        </w:rPr>
        <w:t>实施总投资2.36亿元的县人民医院二期工程建设项目，年底前完成部分主体建设。3月底前，启动横渠镇卫生院创建二级医院工作</w:t>
      </w:r>
      <w:r>
        <w:rPr>
          <w:rFonts w:hint="eastAsia" w:ascii="仿宋_GB2312" w:hAnsi="仿宋_GB2312" w:eastAsia="仿宋_GB2312" w:cs="仿宋_GB2312"/>
          <w:color w:val="auto"/>
          <w:spacing w:val="0"/>
          <w:kern w:val="2"/>
          <w:sz w:val="32"/>
          <w:szCs w:val="32"/>
          <w:u w:val="none"/>
          <w:lang w:val="en-US" w:eastAsia="zh-CN" w:bidi="ar-SA"/>
        </w:rPr>
        <w:t>。</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县教体局、县卫健局负责</w:t>
      </w:r>
      <w:r>
        <w:rPr>
          <w:rFonts w:hint="eastAsia" w:ascii="仿宋_GB2312" w:hAnsi="Times New Roman" w:eastAsia="仿宋_GB2312" w:cs="仿宋_GB2312"/>
          <w:color w:val="000000"/>
          <w:sz w:val="32"/>
          <w:szCs w:val="32"/>
        </w:rPr>
        <w:t>〕</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42" w:firstLineChars="200"/>
        <w:jc w:val="both"/>
        <w:rPr>
          <w:rFonts w:hint="default" w:ascii="楷体_GB2312" w:hAnsi="楷体_GB2312" w:eastAsia="楷体_GB2312" w:cs="楷体_GB2312"/>
          <w:b/>
          <w:bCs/>
          <w:color w:val="auto"/>
          <w:spacing w:val="0"/>
          <w:sz w:val="32"/>
          <w:szCs w:val="32"/>
          <w:u w:val="none"/>
          <w:lang w:val="en-US" w:eastAsia="zh-CN"/>
        </w:rPr>
      </w:pPr>
      <w:r>
        <w:rPr>
          <w:rFonts w:hint="eastAsia" w:ascii="楷体_GB2312" w:hAnsi="楷体_GB2312" w:eastAsia="楷体_GB2312" w:cs="楷体_GB2312"/>
          <w:b/>
          <w:bCs/>
          <w:color w:val="auto"/>
          <w:spacing w:val="0"/>
          <w:sz w:val="32"/>
          <w:szCs w:val="32"/>
          <w:u w:val="none"/>
          <w:lang w:val="en-US" w:eastAsia="zh-CN"/>
        </w:rPr>
        <w:t>（三）高质量招引项目落地</w:t>
      </w:r>
    </w:p>
    <w:p>
      <w:pPr>
        <w:pStyle w:val="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11.突出招大引强。</w:t>
      </w:r>
      <w:r>
        <w:rPr>
          <w:rFonts w:hint="eastAsia" w:ascii="仿宋_GB2312" w:hAnsi="仿宋_GB2312" w:eastAsia="仿宋_GB2312" w:cs="仿宋_GB2312"/>
          <w:color w:val="auto"/>
          <w:spacing w:val="0"/>
          <w:sz w:val="32"/>
          <w:szCs w:val="32"/>
          <w:u w:val="none"/>
        </w:rPr>
        <w:t>按照“强龙头、补链条、聚集群”的思路，</w:t>
      </w:r>
      <w:r>
        <w:rPr>
          <w:rFonts w:hint="eastAsia" w:ascii="仿宋_GB2312" w:hAnsi="仿宋_GB2312" w:eastAsia="仿宋_GB2312" w:cs="仿宋_GB2312"/>
          <w:color w:val="auto"/>
          <w:spacing w:val="0"/>
          <w:sz w:val="32"/>
          <w:szCs w:val="32"/>
          <w:u w:val="none"/>
          <w:lang w:val="en-US" w:eastAsia="zh-CN"/>
        </w:rPr>
        <w:t>围绕钛及钛合金、汽车配件制造、装备制造、纺织服装、食品饮料等6条产业链，引进一批高质量、大投资项目。</w:t>
      </w:r>
      <w:r>
        <w:rPr>
          <w:rFonts w:hint="eastAsia" w:ascii="仿宋_GB2312" w:hAnsi="仿宋_GB2312" w:eastAsia="仿宋_GB2312" w:cs="仿宋_GB2312"/>
          <w:color w:val="auto"/>
          <w:spacing w:val="0"/>
          <w:kern w:val="2"/>
          <w:sz w:val="32"/>
          <w:szCs w:val="32"/>
          <w:u w:val="none"/>
          <w:lang w:val="en-US" w:eastAsia="zh-CN" w:bidi="ar-SA"/>
        </w:rPr>
        <w:t>县级领导结合分工每月外出招商不少于1次，各镇街、部门一把手每两月开展1次外出招商活动。年内</w:t>
      </w:r>
      <w:r>
        <w:rPr>
          <w:rFonts w:hint="eastAsia" w:ascii="仿宋_GB2312" w:hAnsi="仿宋_GB2312" w:eastAsia="仿宋_GB2312" w:cs="仿宋_GB2312"/>
          <w:color w:val="auto"/>
          <w:spacing w:val="0"/>
          <w:sz w:val="32"/>
          <w:szCs w:val="32"/>
          <w:u w:val="none"/>
          <w:lang w:val="en-US" w:eastAsia="zh-CN"/>
        </w:rPr>
        <w:t>每名县级领导至少招引1个亿元以上产业化项目或外资项目，镇街、部门、园区“一把手”至少招引1个投资5000万元以上的产业化项目。</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县招商局牵头，县级各行业主管部门，各镇街、园区负责</w:t>
      </w:r>
      <w:r>
        <w:rPr>
          <w:rFonts w:hint="eastAsia" w:ascii="仿宋_GB2312" w:hAnsi="Times New Roman" w:eastAsia="仿宋_GB2312" w:cs="仿宋_GB2312"/>
          <w:color w:val="000000"/>
          <w:sz w:val="32"/>
          <w:szCs w:val="32"/>
        </w:rPr>
        <w:t>〕</w:t>
      </w:r>
    </w:p>
    <w:p>
      <w:pPr>
        <w:pStyle w:val="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outlineLvl w:val="9"/>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kern w:val="2"/>
          <w:sz w:val="32"/>
          <w:szCs w:val="32"/>
          <w:u w:val="none"/>
          <w:lang w:val="en-US" w:eastAsia="zh-CN" w:bidi="ar-SA"/>
        </w:rPr>
        <w:t>12.提升招商成效。</w:t>
      </w:r>
      <w:r>
        <w:rPr>
          <w:rFonts w:hint="eastAsia" w:ascii="仿宋_GB2312" w:hAnsi="仿宋_GB2312" w:eastAsia="仿宋_GB2312" w:cs="仿宋_GB2312"/>
          <w:color w:val="auto"/>
          <w:spacing w:val="0"/>
          <w:kern w:val="2"/>
          <w:sz w:val="32"/>
          <w:szCs w:val="32"/>
          <w:u w:val="none"/>
          <w:lang w:val="en-US" w:eastAsia="zh-CN" w:bidi="ar-SA"/>
        </w:rPr>
        <w:t>抢抓东部产业转移机遇，精准招商，</w:t>
      </w:r>
      <w:r>
        <w:rPr>
          <w:rFonts w:hint="eastAsia" w:ascii="仿宋_GB2312" w:hAnsi="仿宋_GB2312" w:eastAsia="仿宋_GB2312" w:cs="仿宋_GB2312"/>
          <w:color w:val="auto"/>
          <w:spacing w:val="0"/>
          <w:kern w:val="0"/>
          <w:sz w:val="32"/>
          <w:szCs w:val="32"/>
          <w:u w:val="none"/>
          <w:lang w:val="en-US" w:eastAsia="zh-CN" w:bidi="ar-SA"/>
        </w:rPr>
        <w:t>精心筹办好2023陕西—“京津冀”、第七届“丝博会”等平台招商活动，做实展会招商、小分队招商、</w:t>
      </w:r>
      <w:r>
        <w:rPr>
          <w:rFonts w:hint="eastAsia" w:ascii="仿宋_GB2312" w:hAnsi="仿宋_GB2312" w:eastAsia="仿宋_GB2312" w:cs="仿宋_GB2312"/>
          <w:color w:val="auto"/>
          <w:spacing w:val="0"/>
          <w:kern w:val="2"/>
          <w:sz w:val="32"/>
          <w:szCs w:val="32"/>
          <w:u w:val="none"/>
          <w:lang w:val="en-US" w:eastAsia="zh-CN" w:bidi="ar-SA"/>
        </w:rPr>
        <w:t>驻点招商、以企招商、以侨引外。县招商局每季度开展1次集中签约和2次专题招商，签约亿元项目50个以上，引进外资2000万美元以上。招商引资到位资金161亿元，省际到位资金148亿元，其中，太白山旅游区招商引资到位资金28亿元，省际资金25亿元；县经开区招商引资到位资金23亿元，省际资金20亿元。</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县招商局牵头，县级各行业主管部门，各镇街、园区负责</w:t>
      </w:r>
      <w:r>
        <w:rPr>
          <w:rFonts w:hint="eastAsia" w:ascii="仿宋_GB2312" w:hAnsi="Times New Roman" w:eastAsia="仿宋_GB2312" w:cs="仿宋_GB2312"/>
          <w:color w:val="000000"/>
          <w:sz w:val="32"/>
          <w:szCs w:val="32"/>
        </w:rPr>
        <w:t>〕</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42" w:firstLineChars="200"/>
        <w:jc w:val="both"/>
        <w:rPr>
          <w:rFonts w:hint="eastAsia" w:ascii="楷体_GB2312" w:hAnsi="楷体_GB2312" w:eastAsia="楷体_GB2312" w:cs="楷体_GB2312"/>
          <w:b/>
          <w:bCs/>
          <w:color w:val="auto"/>
          <w:spacing w:val="0"/>
          <w:sz w:val="32"/>
          <w:szCs w:val="32"/>
          <w:u w:val="none"/>
          <w:lang w:val="en-US" w:eastAsia="zh-CN"/>
        </w:rPr>
      </w:pPr>
      <w:r>
        <w:rPr>
          <w:rFonts w:hint="eastAsia" w:ascii="楷体_GB2312" w:hAnsi="楷体_GB2312" w:eastAsia="楷体_GB2312" w:cs="楷体_GB2312"/>
          <w:b/>
          <w:bCs/>
          <w:color w:val="auto"/>
          <w:spacing w:val="0"/>
          <w:sz w:val="32"/>
          <w:szCs w:val="32"/>
          <w:u w:val="none"/>
          <w:lang w:val="en-US" w:eastAsia="zh-CN"/>
        </w:rPr>
        <w:t>（四）高水平保障项目要素</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leftChars="0" w:right="0" w:rightChars="0" w:firstLine="642" w:firstLineChars="200"/>
        <w:jc w:val="both"/>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sz w:val="32"/>
          <w:szCs w:val="32"/>
          <w:u w:val="none"/>
          <w:lang w:val="en-US" w:eastAsia="zh-CN"/>
        </w:rPr>
        <w:t>13.</w:t>
      </w:r>
      <w:r>
        <w:rPr>
          <w:rFonts w:hint="eastAsia" w:ascii="仿宋_GB2312" w:hAnsi="仿宋_GB2312" w:eastAsia="仿宋_GB2312" w:cs="仿宋_GB2312"/>
          <w:b/>
          <w:bCs/>
          <w:color w:val="auto"/>
          <w:spacing w:val="0"/>
          <w:sz w:val="32"/>
          <w:szCs w:val="32"/>
          <w:u w:val="none"/>
        </w:rPr>
        <w:t>加强用地用能保障。</w:t>
      </w:r>
      <w:r>
        <w:rPr>
          <w:rFonts w:hint="eastAsia" w:ascii="仿宋_GB2312" w:hAnsi="仿宋_GB2312" w:eastAsia="仿宋_GB2312" w:cs="仿宋_GB2312"/>
          <w:color w:val="auto"/>
          <w:spacing w:val="0"/>
          <w:sz w:val="32"/>
          <w:szCs w:val="32"/>
          <w:u w:val="none"/>
        </w:rPr>
        <w:t>建立重点项目用地保障机制，</w:t>
      </w:r>
      <w:r>
        <w:rPr>
          <w:rFonts w:hint="eastAsia" w:ascii="仿宋_GB2312" w:hAnsi="仿宋_GB2312" w:eastAsia="仿宋_GB2312" w:cs="仿宋_GB2312"/>
          <w:color w:val="auto"/>
          <w:spacing w:val="0"/>
          <w:sz w:val="32"/>
          <w:szCs w:val="32"/>
          <w:u w:val="none"/>
          <w:lang w:val="en-US" w:eastAsia="zh-CN"/>
        </w:rPr>
        <w:t>用好</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县域平衡为主、市域调剂为辅、省级统筹保重点</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的耕地占补平衡机制。加大与</w:t>
      </w:r>
      <w:r>
        <w:rPr>
          <w:rFonts w:hint="eastAsia" w:ascii="仿宋_GB2312" w:hAnsi="仿宋_GB2312" w:eastAsia="仿宋_GB2312" w:cs="仿宋_GB2312"/>
          <w:color w:val="auto"/>
          <w:spacing w:val="0"/>
          <w:sz w:val="32"/>
          <w:szCs w:val="32"/>
          <w:u w:val="none"/>
          <w:lang w:val="en-US" w:eastAsia="zh-CN"/>
        </w:rPr>
        <w:t>省市</w:t>
      </w:r>
      <w:r>
        <w:rPr>
          <w:rFonts w:hint="eastAsia" w:ascii="仿宋_GB2312" w:hAnsi="仿宋_GB2312" w:eastAsia="仿宋_GB2312" w:cs="仿宋_GB2312"/>
          <w:color w:val="auto"/>
          <w:spacing w:val="0"/>
          <w:sz w:val="32"/>
          <w:szCs w:val="32"/>
          <w:u w:val="none"/>
        </w:rPr>
        <w:t>部门对接，畅通用地报批绿色通道，全年新增土地指标用于重点项目不低于50%。推进“标准地+承诺制”改革</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动态储备建设用地1000亩、标准化厂房10万平方米，</w:t>
      </w:r>
      <w:r>
        <w:rPr>
          <w:rFonts w:hint="eastAsia" w:ascii="仿宋_GB2312" w:hAnsi="仿宋_GB2312" w:eastAsia="仿宋_GB2312" w:cs="仿宋_GB2312"/>
          <w:color w:val="auto"/>
          <w:spacing w:val="0"/>
          <w:sz w:val="32"/>
          <w:szCs w:val="32"/>
          <w:u w:val="none"/>
        </w:rPr>
        <w:t>推动</w:t>
      </w:r>
      <w:r>
        <w:rPr>
          <w:rFonts w:hint="eastAsia" w:ascii="仿宋_GB2312" w:hAnsi="仿宋_GB2312" w:eastAsia="仿宋_GB2312" w:cs="仿宋_GB2312"/>
          <w:color w:val="auto"/>
          <w:spacing w:val="0"/>
          <w:sz w:val="32"/>
          <w:szCs w:val="32"/>
          <w:u w:val="none"/>
          <w:lang w:val="en-US" w:eastAsia="zh-CN"/>
        </w:rPr>
        <w:t>招商引资、</w:t>
      </w:r>
      <w:r>
        <w:rPr>
          <w:rFonts w:hint="eastAsia" w:ascii="仿宋_GB2312" w:hAnsi="仿宋_GB2312" w:eastAsia="仿宋_GB2312" w:cs="仿宋_GB2312"/>
          <w:color w:val="auto"/>
          <w:spacing w:val="0"/>
          <w:sz w:val="32"/>
          <w:szCs w:val="32"/>
          <w:u w:val="none"/>
        </w:rPr>
        <w:t>重点项目即落即办。用足用好</w:t>
      </w:r>
      <w:r>
        <w:rPr>
          <w:rFonts w:hint="eastAsia" w:ascii="仿宋_GB2312" w:hAnsi="仿宋_GB2312" w:eastAsia="仿宋_GB2312" w:cs="仿宋_GB2312"/>
          <w:color w:val="auto"/>
          <w:spacing w:val="0"/>
          <w:sz w:val="32"/>
          <w:szCs w:val="32"/>
          <w:u w:val="none"/>
          <w:lang w:val="en-US" w:eastAsia="zh-CN"/>
        </w:rPr>
        <w:t>中省市</w:t>
      </w:r>
      <w:r>
        <w:rPr>
          <w:rFonts w:hint="eastAsia" w:ascii="仿宋_GB2312" w:hAnsi="仿宋_GB2312" w:eastAsia="仿宋_GB2312" w:cs="仿宋_GB2312"/>
          <w:color w:val="auto"/>
          <w:spacing w:val="0"/>
          <w:sz w:val="32"/>
          <w:szCs w:val="32"/>
          <w:u w:val="none"/>
        </w:rPr>
        <w:t>能耗政策</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实行用能预算管理，优化能源要素合理配置。</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县自然资源局牵头，县发改局，各镇街、园区负责</w:t>
      </w:r>
      <w:r>
        <w:rPr>
          <w:rFonts w:hint="eastAsia" w:ascii="仿宋_GB2312" w:hAnsi="Times New Roman" w:eastAsia="仿宋_GB2312" w:cs="仿宋_GB2312"/>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sz w:val="32"/>
          <w:szCs w:val="32"/>
          <w:u w:val="none"/>
          <w:lang w:val="en-US" w:eastAsia="zh-CN"/>
        </w:rPr>
        <w:t>14.用足财政投资政策。</w:t>
      </w:r>
      <w:r>
        <w:rPr>
          <w:rFonts w:hint="eastAsia" w:ascii="仿宋_GB2312" w:hAnsi="仿宋_GB2312" w:eastAsia="仿宋_GB2312" w:cs="仿宋_GB2312"/>
          <w:color w:val="auto"/>
          <w:spacing w:val="0"/>
          <w:sz w:val="32"/>
          <w:szCs w:val="32"/>
          <w:u w:val="none"/>
        </w:rPr>
        <w:t>加大中省投资和专项债券资金争取力度，加快中省投资和专项债券项目建设进度</w:t>
      </w:r>
      <w:r>
        <w:rPr>
          <w:rFonts w:hint="eastAsia" w:ascii="仿宋_GB2312" w:hAnsi="仿宋_GB2312" w:eastAsia="仿宋_GB2312" w:cs="仿宋_GB2312"/>
          <w:color w:val="auto"/>
          <w:spacing w:val="0"/>
          <w:sz w:val="32"/>
          <w:szCs w:val="32"/>
          <w:u w:val="none"/>
          <w:lang w:val="en-US" w:eastAsia="zh-CN"/>
        </w:rPr>
        <w:t>及到位资金拨付进度，用于产业发展和项目建设的省级财政资金，原则上6月底前，下达完毕。专项债券一季度发行65%以上，上半年资金支付率达到100%。中央预算内投资项目，一季度开工率达到100%，中央资金支付率达到50%，上半年支付率达到80%以上。</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县发改局、县财政局、县金融办，县人民银行按职责分工负责</w:t>
      </w:r>
      <w:r>
        <w:rPr>
          <w:rFonts w:hint="eastAsia" w:ascii="仿宋_GB2312" w:hAnsi="Times New Roman" w:eastAsia="仿宋_GB2312" w:cs="仿宋_GB2312"/>
          <w:color w:val="000000"/>
          <w:sz w:val="32"/>
          <w:szCs w:val="32"/>
        </w:rPr>
        <w:t>〕</w:t>
      </w:r>
    </w:p>
    <w:p>
      <w:pPr>
        <w:pStyle w:val="5"/>
        <w:keepNext w:val="0"/>
        <w:keepLines w:val="0"/>
        <w:pageBreakBefore w:val="0"/>
        <w:widowControl w:val="0"/>
        <w:kinsoku/>
        <w:wordWrap/>
        <w:overflowPunct w:val="0"/>
        <w:topLinePunct w:val="0"/>
        <w:autoSpaceDE/>
        <w:autoSpaceDN/>
        <w:bidi w:val="0"/>
        <w:adjustRightInd/>
        <w:spacing w:after="0" w:line="560" w:lineRule="exact"/>
        <w:ind w:left="0" w:leftChars="0" w:right="0" w:rightChars="0" w:firstLine="642" w:firstLineChars="200"/>
        <w:jc w:val="both"/>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sz w:val="32"/>
          <w:szCs w:val="32"/>
          <w:u w:val="none"/>
          <w:lang w:val="en-US" w:eastAsia="zh-CN"/>
        </w:rPr>
        <w:t>15.</w:t>
      </w:r>
      <w:r>
        <w:rPr>
          <w:rFonts w:hint="eastAsia" w:ascii="仿宋_GB2312" w:hAnsi="仿宋_GB2312" w:eastAsia="仿宋_GB2312" w:cs="仿宋_GB2312"/>
          <w:b/>
          <w:bCs/>
          <w:color w:val="auto"/>
          <w:spacing w:val="0"/>
          <w:kern w:val="2"/>
          <w:sz w:val="32"/>
          <w:szCs w:val="40"/>
          <w:u w:val="none"/>
          <w:lang w:val="en-US" w:eastAsia="zh-CN" w:bidi="ar-SA"/>
        </w:rPr>
        <w:t>盘活国有资产。</w:t>
      </w:r>
      <w:r>
        <w:rPr>
          <w:rFonts w:hint="eastAsia" w:ascii="仿宋_GB2312" w:hAnsi="仿宋_GB2312" w:eastAsia="仿宋_GB2312" w:cs="仿宋_GB2312"/>
          <w:color w:val="auto"/>
          <w:spacing w:val="0"/>
          <w:kern w:val="2"/>
          <w:sz w:val="32"/>
          <w:szCs w:val="32"/>
          <w:u w:val="none"/>
          <w:lang w:val="en-US" w:eastAsia="zh-CN" w:bidi="ar-SA"/>
        </w:rPr>
        <w:t>县住建局、文旅局、滨河新区管委会、猕猴桃园区管委会、经开区管委会与中国农业发展银行眉县支行对接争取政策性贷款，充分挖掘现有资产价值，分别盘活县城区（包括滨河新区）机动车停车位、横渠书院、平阳阁、猕猴桃会展中心和经开区霸王河工业园机动车停车位资产，争取政策性贷款3亿元以上。县发改局积极对接，争取我县谋划的盘活国有资产扩大有效投资项目纳入省级以上发改委盘活存量资产台账。</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县住建局、县发改局、县财政局，县滨河新区管委会、县猕猴桃园区管委会、县经开区管委会，县农发行按职责分工负责</w:t>
      </w:r>
      <w:r>
        <w:rPr>
          <w:rFonts w:hint="eastAsia" w:ascii="仿宋_GB2312" w:hAnsi="Times New Roman" w:eastAsia="仿宋_GB2312" w:cs="仿宋_GB2312"/>
          <w:color w:val="000000"/>
          <w:sz w:val="32"/>
          <w:szCs w:val="32"/>
        </w:rPr>
        <w:t>〕</w:t>
      </w:r>
    </w:p>
    <w:p>
      <w:pPr>
        <w:pStyle w:val="5"/>
        <w:keepNext w:val="0"/>
        <w:keepLines w:val="0"/>
        <w:pageBreakBefore w:val="0"/>
        <w:widowControl w:val="0"/>
        <w:kinsoku/>
        <w:wordWrap/>
        <w:overflowPunct w:val="0"/>
        <w:topLinePunct w:val="0"/>
        <w:autoSpaceDE/>
        <w:autoSpaceDN/>
        <w:bidi w:val="0"/>
        <w:adjustRightInd/>
        <w:spacing w:after="0" w:line="560" w:lineRule="exact"/>
        <w:ind w:left="0" w:leftChars="0" w:right="0" w:rightChars="0" w:firstLine="642" w:firstLineChars="200"/>
        <w:jc w:val="both"/>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sz w:val="32"/>
          <w:szCs w:val="32"/>
          <w:u w:val="none"/>
          <w:lang w:val="en-US" w:eastAsia="zh-CN"/>
        </w:rPr>
        <w:t>16.推进市场化融资机制。</w:t>
      </w:r>
      <w:r>
        <w:rPr>
          <w:rFonts w:hint="eastAsia" w:ascii="仿宋_GB2312" w:hAnsi="仿宋_GB2312" w:eastAsia="仿宋_GB2312" w:cs="仿宋_GB2312"/>
          <w:color w:val="auto"/>
          <w:spacing w:val="0"/>
          <w:sz w:val="32"/>
          <w:szCs w:val="32"/>
          <w:u w:val="none"/>
          <w:lang w:val="en-US" w:eastAsia="zh-CN"/>
        </w:rPr>
        <w:t>完善金融机构和重点项目常态化对接机制，建立“一链一行”融资服务机制，</w:t>
      </w:r>
      <w:r>
        <w:rPr>
          <w:rFonts w:hint="eastAsia" w:ascii="仿宋_GB2312" w:hAnsi="仿宋_GB2312" w:eastAsia="仿宋_GB2312" w:cs="仿宋_GB2312"/>
          <w:color w:val="auto"/>
          <w:spacing w:val="0"/>
          <w:sz w:val="32"/>
          <w:szCs w:val="32"/>
          <w:u w:val="none"/>
        </w:rPr>
        <w:t>定期向金融机构推送项目清单</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每季度</w:t>
      </w:r>
      <w:r>
        <w:rPr>
          <w:rFonts w:hint="eastAsia" w:ascii="仿宋_GB2312" w:hAnsi="仿宋_GB2312" w:eastAsia="仿宋_GB2312" w:cs="仿宋_GB2312"/>
          <w:color w:val="auto"/>
          <w:spacing w:val="0"/>
          <w:sz w:val="32"/>
          <w:szCs w:val="32"/>
          <w:u w:val="none"/>
        </w:rPr>
        <w:t>开展政银企合作，引导金融机构加大对重点项目和企业贷款额度，</w:t>
      </w:r>
      <w:r>
        <w:rPr>
          <w:rFonts w:hint="eastAsia" w:ascii="仿宋_GB2312" w:hAnsi="仿宋_GB2312" w:eastAsia="仿宋_GB2312" w:cs="仿宋_GB2312"/>
          <w:color w:val="auto"/>
          <w:spacing w:val="0"/>
          <w:sz w:val="32"/>
          <w:szCs w:val="32"/>
          <w:u w:val="none"/>
          <w:lang w:val="en-US" w:eastAsia="zh-CN"/>
        </w:rPr>
        <w:t>切实解决企业融资问题。</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县发改局、县财政局、县金融办，县人民银行按职责分工负责</w:t>
      </w:r>
      <w:r>
        <w:rPr>
          <w:rFonts w:hint="eastAsia" w:ascii="仿宋_GB2312" w:hAnsi="Times New Roman" w:eastAsia="仿宋_GB2312" w:cs="仿宋_GB2312"/>
          <w:color w:val="000000"/>
          <w:sz w:val="32"/>
          <w:szCs w:val="32"/>
        </w:rPr>
        <w:t>〕</w:t>
      </w:r>
    </w:p>
    <w:p>
      <w:pPr>
        <w:pStyle w:val="19"/>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jc w:val="both"/>
        <w:textAlignment w:val="auto"/>
        <w:outlineLvl w:val="9"/>
        <w:rPr>
          <w:rFonts w:hint="eastAsia" w:ascii="楷体_GB2312" w:hAnsi="仿宋_GB2312" w:eastAsia="楷体_GB2312" w:cs="仿宋_GB2312"/>
          <w:b w:val="0"/>
          <w:bCs/>
          <w:color w:val="auto"/>
          <w:spacing w:val="0"/>
          <w:kern w:val="2"/>
          <w:sz w:val="32"/>
          <w:szCs w:val="32"/>
          <w:u w:val="none"/>
          <w:lang w:val="en-US" w:eastAsia="zh-CN" w:bidi="ar-SA"/>
        </w:rPr>
      </w:pPr>
      <w:r>
        <w:rPr>
          <w:rFonts w:hint="eastAsia" w:ascii="仿宋_GB2312" w:hAnsi="仿宋_GB2312" w:eastAsia="仿宋_GB2312" w:cs="仿宋_GB2312"/>
          <w:b/>
          <w:bCs/>
          <w:color w:val="auto"/>
          <w:spacing w:val="0"/>
          <w:sz w:val="32"/>
          <w:szCs w:val="32"/>
          <w:u w:val="none"/>
          <w:lang w:val="en-US" w:eastAsia="zh-CN"/>
        </w:rPr>
        <w:t>17.</w:t>
      </w:r>
      <w:r>
        <w:rPr>
          <w:rFonts w:hint="eastAsia" w:ascii="仿宋_GB2312" w:hAnsi="仿宋_GB2312" w:eastAsia="仿宋_GB2312" w:cs="仿宋_GB2312"/>
          <w:b/>
          <w:bCs/>
          <w:color w:val="auto"/>
          <w:spacing w:val="0"/>
          <w:sz w:val="32"/>
          <w:szCs w:val="32"/>
          <w:u w:val="none"/>
        </w:rPr>
        <w:t>提升服务</w:t>
      </w:r>
      <w:r>
        <w:rPr>
          <w:rFonts w:hint="eastAsia" w:ascii="仿宋_GB2312" w:hAnsi="仿宋_GB2312" w:eastAsia="仿宋_GB2312" w:cs="仿宋_GB2312"/>
          <w:b/>
          <w:bCs/>
          <w:color w:val="auto"/>
          <w:spacing w:val="0"/>
          <w:sz w:val="32"/>
          <w:szCs w:val="32"/>
          <w:u w:val="none"/>
          <w:lang w:val="en-US" w:eastAsia="zh-CN"/>
        </w:rPr>
        <w:t>保障</w:t>
      </w:r>
      <w:r>
        <w:rPr>
          <w:rFonts w:hint="eastAsia" w:ascii="仿宋_GB2312" w:hAnsi="仿宋_GB2312" w:eastAsia="仿宋_GB2312" w:cs="仿宋_GB2312"/>
          <w:b/>
          <w:bCs/>
          <w:color w:val="auto"/>
          <w:spacing w:val="0"/>
          <w:sz w:val="32"/>
          <w:szCs w:val="32"/>
          <w:u w:val="none"/>
        </w:rPr>
        <w:t>效能。</w:t>
      </w:r>
      <w:r>
        <w:rPr>
          <w:rFonts w:hint="eastAsia" w:ascii="仿宋_GB2312" w:hAnsi="仿宋_GB2312" w:eastAsia="仿宋_GB2312" w:cs="仿宋_GB2312"/>
          <w:color w:val="auto"/>
          <w:spacing w:val="0"/>
          <w:sz w:val="32"/>
          <w:szCs w:val="32"/>
          <w:u w:val="none"/>
        </w:rPr>
        <w:t>完善项目审批手续办理会商机制，定期集中研究解决堵点难点问题，项目单位按规定及时申报审批资料，</w:t>
      </w:r>
      <w:r>
        <w:rPr>
          <w:rFonts w:hint="eastAsia" w:ascii="仿宋_GB2312" w:hAnsi="仿宋_GB2312" w:eastAsia="仿宋_GB2312" w:cs="仿宋_GB2312"/>
          <w:b w:val="0"/>
          <w:bCs w:val="0"/>
          <w:color w:val="auto"/>
          <w:spacing w:val="0"/>
          <w:sz w:val="32"/>
          <w:szCs w:val="32"/>
          <w:u w:val="none"/>
          <w:lang w:val="en-US" w:eastAsia="zh-CN"/>
        </w:rPr>
        <w:t>相关部门于3个工作日之内完成相关手续办理，</w:t>
      </w:r>
      <w:r>
        <w:rPr>
          <w:rFonts w:hint="eastAsia" w:ascii="仿宋_GB2312" w:hAnsi="仿宋_GB2312" w:eastAsia="仿宋_GB2312" w:cs="仿宋_GB2312"/>
          <w:color w:val="auto"/>
          <w:spacing w:val="0"/>
          <w:sz w:val="32"/>
          <w:szCs w:val="32"/>
          <w:u w:val="none"/>
        </w:rPr>
        <w:t>确保</w:t>
      </w:r>
      <w:r>
        <w:rPr>
          <w:rFonts w:hint="eastAsia" w:ascii="仿宋_GB2312" w:hAnsi="仿宋_GB2312" w:eastAsia="仿宋_GB2312" w:cs="仿宋_GB2312"/>
          <w:color w:val="auto"/>
          <w:spacing w:val="0"/>
          <w:sz w:val="32"/>
          <w:szCs w:val="32"/>
          <w:u w:val="none"/>
          <w:lang w:val="en-US" w:eastAsia="zh-CN"/>
        </w:rPr>
        <w:t>上半年全县</w:t>
      </w:r>
      <w:r>
        <w:rPr>
          <w:rFonts w:hint="eastAsia" w:ascii="仿宋_GB2312" w:hAnsi="仿宋_GB2312" w:eastAsia="仿宋_GB2312" w:cs="仿宋_GB2312"/>
          <w:color w:val="auto"/>
          <w:spacing w:val="0"/>
          <w:sz w:val="32"/>
          <w:szCs w:val="32"/>
          <w:u w:val="none"/>
        </w:rPr>
        <w:t>重点项目规划、土地、环评、能评等主要手续办结率达到80%</w:t>
      </w:r>
      <w:r>
        <w:rPr>
          <w:rFonts w:hint="eastAsia" w:ascii="仿宋_GB2312" w:hAnsi="仿宋_GB2312" w:eastAsia="仿宋_GB2312" w:cs="仿宋_GB2312"/>
          <w:color w:val="auto"/>
          <w:spacing w:val="0"/>
          <w:sz w:val="32"/>
          <w:szCs w:val="32"/>
          <w:u w:val="none"/>
          <w:lang w:val="en-US" w:eastAsia="zh-CN"/>
        </w:rPr>
        <w:t>以上</w:t>
      </w:r>
      <w:r>
        <w:rPr>
          <w:rFonts w:hint="eastAsia" w:ascii="仿宋_GB2312" w:hAnsi="仿宋_GB2312" w:eastAsia="仿宋_GB2312" w:cs="仿宋_GB2312"/>
          <w:color w:val="auto"/>
          <w:spacing w:val="0"/>
          <w:sz w:val="32"/>
          <w:szCs w:val="32"/>
          <w:u w:val="none"/>
        </w:rPr>
        <w:t>。深化投资项目审批制度改革，简化建设内容单一、投资规模较小、技术方案简单的政府投资项目审批程序，规范有序实施企业投资项目承诺制改革。</w:t>
      </w:r>
      <w:r>
        <w:rPr>
          <w:rFonts w:hint="eastAsia" w:ascii="仿宋_GB2312" w:hAnsi="仿宋_GB2312" w:eastAsia="仿宋_GB2312" w:cs="仿宋_GB2312"/>
          <w:color w:val="auto"/>
          <w:spacing w:val="0"/>
          <w:sz w:val="32"/>
          <w:szCs w:val="32"/>
          <w:u w:val="none"/>
          <w:lang w:val="en-US" w:eastAsia="zh-CN"/>
        </w:rPr>
        <w:t>实行</w:t>
      </w:r>
      <w:r>
        <w:rPr>
          <w:rFonts w:hint="eastAsia" w:ascii="仿宋_GB2312" w:hAnsi="仿宋_GB2312" w:eastAsia="仿宋_GB2312" w:cs="仿宋_GB2312"/>
          <w:color w:val="auto"/>
          <w:spacing w:val="0"/>
          <w:sz w:val="32"/>
          <w:szCs w:val="32"/>
          <w:u w:val="none"/>
        </w:rPr>
        <w:t>重点项目</w:t>
      </w:r>
      <w:r>
        <w:rPr>
          <w:rFonts w:hint="eastAsia" w:ascii="仿宋_GB2312" w:hAnsi="仿宋_GB2312" w:eastAsia="仿宋_GB2312" w:cs="仿宋_GB2312"/>
          <w:color w:val="auto"/>
          <w:spacing w:val="0"/>
          <w:sz w:val="32"/>
          <w:szCs w:val="32"/>
          <w:u w:val="none"/>
          <w:lang w:val="en-US" w:eastAsia="zh-CN"/>
        </w:rPr>
        <w:t>审批</w:t>
      </w:r>
      <w:r>
        <w:rPr>
          <w:rFonts w:hint="eastAsia" w:ascii="仿宋_GB2312" w:hAnsi="仿宋_GB2312" w:eastAsia="仿宋_GB2312" w:cs="仿宋_GB2312"/>
          <w:color w:val="auto"/>
          <w:spacing w:val="0"/>
          <w:sz w:val="32"/>
          <w:szCs w:val="32"/>
          <w:u w:val="none"/>
        </w:rPr>
        <w:t>分类管理，开展</w:t>
      </w:r>
      <w:r>
        <w:rPr>
          <w:rFonts w:hint="eastAsia" w:ascii="仿宋_GB2312" w:hAnsi="仿宋_GB2312" w:eastAsia="仿宋_GB2312" w:cs="仿宋_GB2312"/>
          <w:color w:val="auto"/>
          <w:spacing w:val="0"/>
          <w:sz w:val="32"/>
          <w:szCs w:val="32"/>
          <w:u w:val="none"/>
          <w:lang w:val="en-US" w:eastAsia="zh-CN"/>
        </w:rPr>
        <w:t>项目</w:t>
      </w:r>
      <w:r>
        <w:rPr>
          <w:rFonts w:hint="eastAsia" w:ascii="仿宋_GB2312" w:hAnsi="仿宋_GB2312" w:eastAsia="仿宋_GB2312" w:cs="仿宋_GB2312"/>
          <w:color w:val="auto"/>
          <w:spacing w:val="0"/>
          <w:sz w:val="32"/>
          <w:szCs w:val="32"/>
          <w:u w:val="none"/>
        </w:rPr>
        <w:t>审批业务辅导，实行“联办、联变、联销”</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保姆式</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全链条服务</w:t>
      </w:r>
      <w:r>
        <w:rPr>
          <w:rFonts w:hint="eastAsia" w:ascii="仿宋_GB2312"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color w:val="auto"/>
          <w:spacing w:val="0"/>
          <w:sz w:val="32"/>
          <w:szCs w:val="32"/>
          <w:u w:val="none"/>
        </w:rPr>
        <w:t>降低企业准入门槛</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加速</w:t>
      </w:r>
      <w:r>
        <w:rPr>
          <w:rFonts w:hint="eastAsia" w:ascii="仿宋_GB2312" w:hAnsi="仿宋_GB2312" w:eastAsia="仿宋_GB2312" w:cs="仿宋_GB2312"/>
          <w:color w:val="auto"/>
          <w:spacing w:val="0"/>
          <w:sz w:val="32"/>
          <w:szCs w:val="32"/>
          <w:u w:val="none"/>
        </w:rPr>
        <w:t>项目落地建设。</w:t>
      </w:r>
      <w:r>
        <w:rPr>
          <w:rFonts w:hint="eastAsia" w:ascii="仿宋_GB2312" w:hAnsi="Times New Roman" w:eastAsia="仿宋_GB2312" w:cs="仿宋_GB2312"/>
          <w:color w:val="000000"/>
          <w:sz w:val="32"/>
          <w:szCs w:val="32"/>
        </w:rPr>
        <w:t>〔</w:t>
      </w:r>
      <w:r>
        <w:rPr>
          <w:rFonts w:hint="eastAsia" w:ascii="楷体_GB2312" w:hAnsi="仿宋_GB2312" w:eastAsia="楷体_GB2312" w:cs="仿宋_GB2312"/>
          <w:b w:val="0"/>
          <w:bCs/>
          <w:color w:val="auto"/>
          <w:spacing w:val="0"/>
          <w:kern w:val="2"/>
          <w:sz w:val="32"/>
          <w:szCs w:val="32"/>
          <w:u w:val="none"/>
          <w:lang w:val="en-US" w:eastAsia="zh-CN" w:bidi="ar-SA"/>
        </w:rPr>
        <w:t>县行政审批局牵头，县发改局、县自然资源局、县生态环境局，各镇街、园区负责</w:t>
      </w:r>
      <w:r>
        <w:rPr>
          <w:rFonts w:hint="eastAsia" w:ascii="仿宋_GB2312" w:hAnsi="Times New Roman" w:eastAsia="仿宋_GB2312" w:cs="仿宋_GB2312"/>
          <w:color w:val="000000"/>
          <w:sz w:val="32"/>
          <w:szCs w:val="32"/>
        </w:rPr>
        <w:t>〕</w:t>
      </w:r>
    </w:p>
    <w:p>
      <w:pPr>
        <w:pStyle w:val="7"/>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pacing w:val="0"/>
          <w:kern w:val="2"/>
          <w:sz w:val="32"/>
          <w:szCs w:val="32"/>
          <w:u w:val="none"/>
          <w:lang w:val="en-US" w:eastAsia="zh-CN" w:bidi="ar-SA"/>
        </w:rPr>
      </w:pPr>
      <w:r>
        <w:rPr>
          <w:rFonts w:hint="eastAsia" w:ascii="黑体" w:hAnsi="黑体" w:eastAsia="黑体" w:cs="黑体"/>
          <w:color w:val="auto"/>
          <w:spacing w:val="0"/>
          <w:kern w:val="2"/>
          <w:sz w:val="32"/>
          <w:szCs w:val="32"/>
          <w:u w:val="none"/>
          <w:lang w:val="en-US" w:eastAsia="zh-CN" w:bidi="ar-SA"/>
        </w:rPr>
        <w:t>三、保障措施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baseline"/>
        <w:rPr>
          <w:rFonts w:hint="eastAsia" w:ascii="楷体_GB2312" w:hAnsi="楷体_GB2312" w:eastAsia="楷体_GB2312" w:cs="楷体_GB2312"/>
          <w:b/>
          <w:bCs/>
          <w:color w:val="auto"/>
          <w:spacing w:val="0"/>
          <w:sz w:val="32"/>
          <w:szCs w:val="32"/>
          <w:u w:val="none"/>
          <w:lang w:eastAsia="zh-CN"/>
        </w:rPr>
      </w:pPr>
      <w:r>
        <w:rPr>
          <w:rFonts w:hint="eastAsia" w:ascii="楷体_GB2312" w:hAnsi="楷体_GB2312" w:eastAsia="楷体_GB2312" w:cs="楷体_GB2312"/>
          <w:b/>
          <w:bCs/>
          <w:color w:val="auto"/>
          <w:spacing w:val="0"/>
          <w:kern w:val="2"/>
          <w:sz w:val="32"/>
          <w:szCs w:val="32"/>
          <w:u w:val="none"/>
          <w:lang w:val="en-US" w:eastAsia="zh-CN" w:bidi="ar-SA"/>
        </w:rPr>
        <w:t>（一）强化统筹协调机制。</w:t>
      </w:r>
      <w:r>
        <w:rPr>
          <w:rFonts w:hint="eastAsia" w:ascii="仿宋_GB2312" w:hAnsi="仿宋_GB2312" w:eastAsia="仿宋_GB2312" w:cs="仿宋_GB2312"/>
          <w:color w:val="auto"/>
          <w:spacing w:val="0"/>
          <w:sz w:val="32"/>
          <w:szCs w:val="32"/>
          <w:u w:val="none"/>
        </w:rPr>
        <w:t>成立高质量项目推进年</w:t>
      </w:r>
      <w:r>
        <w:rPr>
          <w:rFonts w:hint="eastAsia" w:ascii="仿宋_GB2312" w:hAnsi="仿宋_GB2312" w:eastAsia="仿宋_GB2312" w:cs="仿宋_GB2312"/>
          <w:color w:val="auto"/>
          <w:spacing w:val="0"/>
          <w:sz w:val="32"/>
          <w:szCs w:val="32"/>
          <w:u w:val="none"/>
          <w:lang w:val="en-US" w:eastAsia="zh-CN"/>
        </w:rPr>
        <w:t>行动</w:t>
      </w:r>
      <w:r>
        <w:rPr>
          <w:rFonts w:hint="eastAsia" w:ascii="仿宋_GB2312" w:hAnsi="仿宋_GB2312" w:eastAsia="仿宋_GB2312" w:cs="仿宋_GB2312"/>
          <w:color w:val="auto"/>
          <w:spacing w:val="0"/>
          <w:sz w:val="32"/>
          <w:szCs w:val="32"/>
          <w:u w:val="none"/>
        </w:rPr>
        <w:t>工作专班，</w:t>
      </w:r>
      <w:r>
        <w:rPr>
          <w:rFonts w:hint="eastAsia" w:ascii="仿宋_GB2312" w:hAnsi="仿宋_GB2312" w:eastAsia="仿宋_GB2312" w:cs="仿宋_GB2312"/>
          <w:color w:val="auto"/>
          <w:spacing w:val="0"/>
          <w:kern w:val="2"/>
          <w:sz w:val="32"/>
          <w:szCs w:val="32"/>
          <w:u w:val="none"/>
          <w:lang w:val="en-US" w:eastAsia="zh-CN" w:bidi="ar-SA"/>
        </w:rPr>
        <w:t>建立高质量项目推进年行动调度会制度，</w:t>
      </w:r>
      <w:r>
        <w:rPr>
          <w:rFonts w:hint="eastAsia" w:ascii="仿宋_GB2312" w:hAnsi="仿宋_GB2312" w:eastAsia="仿宋_GB2312" w:cs="仿宋_GB2312"/>
          <w:color w:val="auto"/>
          <w:spacing w:val="0"/>
          <w:sz w:val="32"/>
          <w:szCs w:val="32"/>
          <w:u w:val="none"/>
        </w:rPr>
        <w:t>完善全县重大项目推进联席会议制度，夯实工作责任，强化协同联动。建立完善项目推进清单和要素保障清单，出台落实措施、细化任务目标</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kern w:val="0"/>
          <w:sz w:val="32"/>
          <w:szCs w:val="32"/>
          <w:highlight w:val="none"/>
          <w:u w:val="none"/>
          <w:shd w:val="clear" w:color="auto" w:fill="FFFFFF"/>
          <w:lang w:val="en-US" w:eastAsia="zh-CN" w:bidi="ar"/>
        </w:rPr>
        <w:t>形成推进项目谋划储备、开工建设、投产达效的良性循环。对标县域经济高质量发展指标任务、高质量项目建设成效评价指标，扎实开展指标监测分析，做到</w:t>
      </w:r>
      <w:r>
        <w:rPr>
          <w:rFonts w:hint="eastAsia" w:ascii="仿宋_GB2312" w:hAnsi="仿宋_GB2312" w:eastAsia="仿宋_GB2312" w:cs="仿宋_GB2312"/>
          <w:color w:val="auto"/>
          <w:spacing w:val="0"/>
          <w:sz w:val="32"/>
          <w:szCs w:val="32"/>
          <w:u w:val="none"/>
        </w:rPr>
        <w:t>提前预判预警，</w:t>
      </w:r>
      <w:r>
        <w:rPr>
          <w:rFonts w:hint="eastAsia" w:ascii="仿宋_GB2312" w:hAnsi="仿宋_GB2312" w:eastAsia="仿宋_GB2312" w:cs="仿宋_GB2312"/>
          <w:color w:val="auto"/>
          <w:spacing w:val="0"/>
          <w:kern w:val="0"/>
          <w:sz w:val="32"/>
          <w:szCs w:val="32"/>
          <w:highlight w:val="none"/>
          <w:u w:val="none"/>
          <w:shd w:val="clear" w:color="auto" w:fill="FFFFFF"/>
          <w:lang w:val="en-US" w:eastAsia="zh-CN" w:bidi="ar"/>
        </w:rPr>
        <w:t>确保项目规模总量增长、投资效率提升。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楷体_GB2312" w:hAnsi="楷体_GB2312" w:eastAsia="楷体_GB2312" w:cs="楷体_GB2312"/>
          <w:b/>
          <w:bCs/>
          <w:color w:val="auto"/>
          <w:spacing w:val="0"/>
          <w:kern w:val="2"/>
          <w:sz w:val="32"/>
          <w:szCs w:val="32"/>
          <w:u w:val="none"/>
          <w:lang w:val="en-US" w:eastAsia="zh-CN" w:bidi="ar-SA"/>
        </w:rPr>
        <w:t>（二）强化项目包抓机制。</w:t>
      </w:r>
      <w:r>
        <w:rPr>
          <w:rFonts w:hint="eastAsia" w:ascii="仿宋_GB2312" w:hAnsi="仿宋_GB2312" w:eastAsia="仿宋_GB2312" w:cs="仿宋_GB2312"/>
          <w:color w:val="auto"/>
          <w:spacing w:val="0"/>
          <w:sz w:val="32"/>
          <w:szCs w:val="32"/>
          <w:u w:val="none"/>
        </w:rPr>
        <w:t>做实县级领导联系包抓重点项目机制，包抓领导每月至少进行一次现场办公，为重点项目一对一做好协调服务</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确保259个新建项目6月底前全部开工建设，56个续建项目加大投资，形成更多实物量</w:t>
      </w:r>
      <w:r>
        <w:rPr>
          <w:rFonts w:hint="eastAsia" w:ascii="仿宋_GB2312" w:hAnsi="仿宋_GB2312" w:eastAsia="仿宋_GB2312" w:cs="仿宋_GB2312"/>
          <w:color w:val="auto"/>
          <w:spacing w:val="0"/>
          <w:sz w:val="32"/>
          <w:szCs w:val="32"/>
          <w:u w:val="none"/>
        </w:rPr>
        <w:t>。坚持重点项目“月通报、季考评”机制，对开工率不足、时序进度不达标的单位进行通报</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指定专人限时解决</w:t>
      </w:r>
      <w:r>
        <w:rPr>
          <w:rFonts w:hint="eastAsia" w:ascii="仿宋_GB2312" w:hAnsi="仿宋_GB2312" w:eastAsia="仿宋_GB2312" w:cs="仿宋_GB2312"/>
          <w:color w:val="auto"/>
          <w:spacing w:val="0"/>
          <w:sz w:val="32"/>
          <w:szCs w:val="32"/>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baseline"/>
        <w:rPr>
          <w:rFonts w:hint="default" w:ascii="仿宋_GB2312" w:hAnsi="仿宋_GB2312" w:eastAsia="仿宋_GB2312" w:cs="仿宋_GB2312"/>
          <w:color w:val="auto"/>
          <w:spacing w:val="0"/>
          <w:sz w:val="32"/>
          <w:szCs w:val="32"/>
          <w:u w:val="none"/>
          <w:lang w:val="en-US" w:eastAsia="zh-CN"/>
        </w:rPr>
      </w:pPr>
      <w:r>
        <w:rPr>
          <w:rFonts w:hint="eastAsia" w:ascii="楷体_GB2312" w:hAnsi="楷体_GB2312" w:eastAsia="楷体_GB2312" w:cs="楷体_GB2312"/>
          <w:b/>
          <w:bCs/>
          <w:color w:val="auto"/>
          <w:spacing w:val="0"/>
          <w:kern w:val="2"/>
          <w:sz w:val="32"/>
          <w:szCs w:val="32"/>
          <w:u w:val="none"/>
          <w:lang w:val="en-US" w:eastAsia="zh-CN" w:bidi="ar-SA"/>
        </w:rPr>
        <w:t>（三）强化月度调度机制。</w:t>
      </w:r>
      <w:r>
        <w:rPr>
          <w:rFonts w:hint="eastAsia" w:ascii="仿宋_GB2312" w:hAnsi="仿宋_GB2312" w:eastAsia="仿宋_GB2312" w:cs="仿宋_GB2312"/>
          <w:color w:val="auto"/>
          <w:spacing w:val="0"/>
          <w:sz w:val="32"/>
          <w:szCs w:val="32"/>
          <w:u w:val="none"/>
        </w:rPr>
        <w:t>按照省上</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一季度抓开工、二季度抓观摩、三季度抓推进、四季度论成效</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的总体要求，坚持重点项目“四看四比”工作机制，</w:t>
      </w:r>
      <w:r>
        <w:rPr>
          <w:rFonts w:hint="eastAsia" w:ascii="仿宋_GB2312" w:hAnsi="仿宋_GB2312" w:eastAsia="仿宋_GB2312" w:cs="仿宋_GB2312"/>
          <w:b w:val="0"/>
          <w:bCs w:val="0"/>
          <w:color w:val="auto"/>
          <w:spacing w:val="0"/>
          <w:sz w:val="32"/>
          <w:szCs w:val="32"/>
          <w:u w:val="none"/>
          <w:lang w:val="en-US" w:eastAsia="zh-CN"/>
        </w:rPr>
        <w:t>实行项目“1+4”清单化管理，</w:t>
      </w:r>
      <w:r>
        <w:rPr>
          <w:rFonts w:hint="eastAsia" w:ascii="仿宋_GB2312" w:hAnsi="仿宋_GB2312" w:eastAsia="仿宋_GB2312" w:cs="仿宋_GB2312"/>
          <w:color w:val="auto"/>
          <w:spacing w:val="0"/>
          <w:sz w:val="32"/>
          <w:szCs w:val="32"/>
          <w:u w:val="none"/>
        </w:rPr>
        <w:t>坚持重点项目“周统计、月调度通报、季考评”和“红黑榜”通报等工作机制</w:t>
      </w:r>
      <w:r>
        <w:rPr>
          <w:rFonts w:hint="eastAsia" w:ascii="仿宋_GB2312" w:hAnsi="仿宋_GB2312" w:eastAsia="仿宋_GB2312" w:cs="仿宋_GB2312"/>
          <w:color w:val="auto"/>
          <w:spacing w:val="0"/>
          <w:sz w:val="32"/>
          <w:szCs w:val="32"/>
          <w:u w:val="none"/>
          <w:lang w:eastAsia="zh-CN"/>
        </w:rPr>
        <w:t>，争取项目开工率</w:t>
      </w:r>
      <w:r>
        <w:rPr>
          <w:rFonts w:hint="eastAsia" w:ascii="仿宋_GB2312" w:hAnsi="仿宋_GB2312" w:eastAsia="仿宋_GB2312" w:cs="仿宋_GB2312"/>
          <w:color w:val="auto"/>
          <w:spacing w:val="0"/>
          <w:sz w:val="32"/>
          <w:szCs w:val="32"/>
          <w:u w:val="none"/>
          <w:lang w:val="en-US" w:eastAsia="zh-CN"/>
        </w:rPr>
        <w:t>赶超预期目标</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项目建设</w:t>
      </w:r>
      <w:r>
        <w:rPr>
          <w:rFonts w:hint="eastAsia" w:ascii="仿宋_GB2312" w:hAnsi="仿宋_GB2312" w:eastAsia="仿宋_GB2312" w:cs="仿宋_GB2312"/>
          <w:color w:val="auto"/>
          <w:spacing w:val="0"/>
          <w:sz w:val="32"/>
          <w:szCs w:val="32"/>
          <w:u w:val="none"/>
          <w:lang w:eastAsia="zh-CN"/>
        </w:rPr>
        <w:t>形成更多实物工程量、</w:t>
      </w:r>
      <w:r>
        <w:rPr>
          <w:rFonts w:hint="eastAsia" w:ascii="仿宋_GB2312" w:hAnsi="仿宋_GB2312" w:eastAsia="仿宋_GB2312" w:cs="仿宋_GB2312"/>
          <w:color w:val="auto"/>
          <w:spacing w:val="0"/>
          <w:sz w:val="32"/>
          <w:szCs w:val="32"/>
          <w:u w:val="none"/>
          <w:lang w:val="en-US" w:eastAsia="zh-CN"/>
        </w:rPr>
        <w:t>投资规模稳定增长。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baseline"/>
        <w:rPr>
          <w:rFonts w:hint="eastAsia" w:ascii="仿宋_GB2312" w:hAnsi="仿宋_GB2312" w:eastAsia="仿宋_GB2312" w:cs="仿宋_GB2312"/>
          <w:color w:val="auto"/>
          <w:spacing w:val="0"/>
          <w:sz w:val="32"/>
          <w:szCs w:val="32"/>
          <w:u w:val="none"/>
        </w:rPr>
      </w:pPr>
      <w:r>
        <w:rPr>
          <w:rFonts w:hint="eastAsia" w:ascii="楷体_GB2312" w:hAnsi="楷体_GB2312" w:eastAsia="楷体_GB2312" w:cs="楷体_GB2312"/>
          <w:b/>
          <w:bCs/>
          <w:color w:val="auto"/>
          <w:spacing w:val="0"/>
          <w:kern w:val="2"/>
          <w:sz w:val="32"/>
          <w:szCs w:val="32"/>
          <w:u w:val="none"/>
          <w:lang w:val="en-US" w:eastAsia="zh-CN" w:bidi="ar-SA"/>
        </w:rPr>
        <w:t>（四）强化督导检查机制。</w:t>
      </w:r>
      <w:r>
        <w:rPr>
          <w:rFonts w:hint="eastAsia" w:ascii="仿宋_GB2312" w:hAnsi="仿宋_GB2312" w:eastAsia="仿宋_GB2312" w:cs="仿宋_GB2312"/>
          <w:color w:val="auto"/>
          <w:spacing w:val="0"/>
          <w:sz w:val="32"/>
          <w:szCs w:val="32"/>
          <w:u w:val="none"/>
          <w:lang w:val="en-US" w:eastAsia="zh-CN"/>
        </w:rPr>
        <w:t>高质量项目推进年工作专班、重点项目办、考核办、县政府督查室每2周开展1次督查检查，每月对高质量项目推进成效进行排名通报，严格考评和问效，对任务推进不力、</w:t>
      </w:r>
      <w:r>
        <w:rPr>
          <w:rFonts w:hint="eastAsia" w:ascii="仿宋_GB2312" w:hAnsi="仿宋_GB2312" w:eastAsia="仿宋_GB2312" w:cs="仿宋_GB2312"/>
          <w:color w:val="auto"/>
          <w:spacing w:val="0"/>
          <w:sz w:val="32"/>
          <w:szCs w:val="32"/>
          <w:u w:val="none"/>
        </w:rPr>
        <w:t>进度明显滞后的项目挂牌督办</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对责任单位负责人进行约谈，形成“比、学、赶、帮、超”的工作机制</w:t>
      </w:r>
      <w:r>
        <w:rPr>
          <w:rFonts w:hint="eastAsia" w:ascii="仿宋_GB2312" w:hAnsi="仿宋_GB2312" w:eastAsia="仿宋_GB2312" w:cs="仿宋_GB2312"/>
          <w:color w:val="auto"/>
          <w:spacing w:val="0"/>
          <w:sz w:val="32"/>
          <w:szCs w:val="32"/>
          <w:u w:val="none"/>
        </w:rPr>
        <w:t>。</w:t>
      </w:r>
    </w:p>
    <w:p>
      <w:pPr>
        <w:pStyle w:val="18"/>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firstLine="642" w:firstLineChars="200"/>
        <w:jc w:val="both"/>
        <w:rPr>
          <w:rFonts w:hint="default"/>
          <w:color w:val="auto"/>
          <w:spacing w:val="0"/>
          <w:lang w:val="en-US" w:eastAsia="zh-CN"/>
        </w:rPr>
      </w:pPr>
      <w:r>
        <w:rPr>
          <w:rFonts w:hint="eastAsia" w:ascii="楷体_GB2312" w:hAnsi="楷体_GB2312" w:eastAsia="楷体_GB2312" w:cs="楷体_GB2312"/>
          <w:b/>
          <w:bCs/>
          <w:color w:val="auto"/>
          <w:spacing w:val="0"/>
          <w:kern w:val="2"/>
          <w:sz w:val="32"/>
          <w:szCs w:val="32"/>
          <w:u w:val="none"/>
          <w:lang w:val="en-US" w:eastAsia="zh-CN" w:bidi="ar-SA"/>
        </w:rPr>
        <w:t>（五）强化考核激励机制。</w:t>
      </w:r>
      <w:r>
        <w:rPr>
          <w:rFonts w:hint="eastAsia" w:ascii="仿宋_GB2312" w:hAnsi="仿宋_GB2312" w:eastAsia="仿宋_GB2312" w:cs="仿宋_GB2312"/>
          <w:color w:val="auto"/>
          <w:spacing w:val="0"/>
          <w:sz w:val="32"/>
          <w:szCs w:val="32"/>
          <w:u w:val="none"/>
        </w:rPr>
        <w:t>加强宣传引导，</w:t>
      </w:r>
      <w:r>
        <w:rPr>
          <w:rFonts w:hint="eastAsia" w:ascii="仿宋_GB2312" w:hAnsi="仿宋_GB2312" w:eastAsia="仿宋_GB2312" w:cs="仿宋_GB2312"/>
          <w:color w:val="auto"/>
          <w:spacing w:val="0"/>
          <w:kern w:val="2"/>
          <w:sz w:val="32"/>
          <w:szCs w:val="32"/>
          <w:u w:val="none"/>
          <w:lang w:val="en-US" w:eastAsia="zh-CN" w:bidi="ar-SA"/>
        </w:rPr>
        <w:t>县委宣传部要常态化宣传高质量项目推进年开展情况，在项目集中观摩、重大项目开工、招商引资项目落地、奖励资金下达、负面典型通报等重要工作节点进行专题报道。</w:t>
      </w:r>
      <w:r>
        <w:rPr>
          <w:rFonts w:hint="eastAsia" w:ascii="仿宋_GB2312" w:hAnsi="仿宋_GB2312" w:eastAsia="仿宋_GB2312" w:cs="仿宋_GB2312"/>
          <w:color w:val="auto"/>
          <w:spacing w:val="0"/>
          <w:sz w:val="32"/>
          <w:szCs w:val="32"/>
          <w:u w:val="none"/>
        </w:rPr>
        <w:t>每季度安排</w:t>
      </w:r>
      <w:r>
        <w:rPr>
          <w:rFonts w:hint="eastAsia" w:ascii="仿宋_GB2312" w:hAnsi="仿宋_GB2312" w:eastAsia="仿宋_GB2312" w:cs="仿宋_GB2312"/>
          <w:color w:val="auto"/>
          <w:spacing w:val="0"/>
          <w:sz w:val="32"/>
          <w:szCs w:val="32"/>
          <w:u w:val="none"/>
          <w:lang w:val="en-US" w:eastAsia="zh-CN"/>
        </w:rPr>
        <w:t>资金</w:t>
      </w:r>
      <w:r>
        <w:rPr>
          <w:rFonts w:hint="eastAsia" w:ascii="仿宋_GB2312" w:hAnsi="仿宋_GB2312" w:eastAsia="仿宋_GB2312" w:cs="仿宋_GB2312"/>
          <w:color w:val="auto"/>
          <w:spacing w:val="0"/>
          <w:sz w:val="32"/>
          <w:szCs w:val="32"/>
          <w:u w:val="none"/>
        </w:rPr>
        <w:t>激励工作成效明显的项目单位</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lang w:val="en-US" w:eastAsia="zh-CN"/>
        </w:rPr>
        <w:t>持续</w:t>
      </w:r>
      <w:r>
        <w:rPr>
          <w:rFonts w:hint="eastAsia" w:ascii="仿宋_GB2312" w:hAnsi="仿宋_GB2312" w:eastAsia="仿宋_GB2312" w:cs="仿宋_GB2312"/>
          <w:color w:val="auto"/>
          <w:spacing w:val="0"/>
          <w:sz w:val="32"/>
          <w:szCs w:val="32"/>
          <w:u w:val="none"/>
        </w:rPr>
        <w:t>营造“大抓项目、抓大项目”的良好氛围。</w:t>
      </w:r>
    </w:p>
    <w:p>
      <w:pPr>
        <w:pStyle w:val="18"/>
        <w:keepNext w:val="0"/>
        <w:keepLines w:val="0"/>
        <w:pageBreakBefore w:val="0"/>
        <w:widowControl w:val="0"/>
        <w:kinsoku/>
        <w:wordWrap/>
        <w:overflowPunct w:val="0"/>
        <w:topLinePunct w:val="0"/>
        <w:autoSpaceDE/>
        <w:autoSpaceDN/>
        <w:bidi w:val="0"/>
        <w:adjustRightInd/>
        <w:snapToGrid w:val="0"/>
        <w:spacing w:line="560" w:lineRule="exact"/>
        <w:ind w:left="0" w:leftChars="0" w:right="0" w:rightChars="0"/>
        <w:jc w:val="both"/>
        <w:rPr>
          <w:rFonts w:hint="default"/>
          <w:color w:val="auto"/>
          <w:spacing w:val="0"/>
          <w:lang w:val="en-US" w:eastAsia="zh-CN"/>
        </w:rPr>
      </w:pPr>
    </w:p>
    <w:p>
      <w:pPr>
        <w:pStyle w:val="18"/>
        <w:keepNext w:val="0"/>
        <w:keepLines w:val="0"/>
        <w:pageBreakBefore w:val="0"/>
        <w:widowControl w:val="0"/>
        <w:pBdr>
          <w:bottom w:val="none" w:color="auto" w:sz="0" w:space="0"/>
        </w:pBdr>
        <w:kinsoku/>
        <w:wordWrap/>
        <w:overflowPunct w:val="0"/>
        <w:topLinePunct w:val="0"/>
        <w:autoSpaceDE/>
        <w:autoSpaceDN/>
        <w:bidi w:val="0"/>
        <w:adjustRightInd/>
        <w:snapToGrid w:val="0"/>
        <w:spacing w:line="560" w:lineRule="exact"/>
        <w:ind w:left="0" w:leftChars="0" w:right="0" w:rightChars="0"/>
        <w:textAlignment w:val="auto"/>
        <w:rPr>
          <w:rFonts w:hint="eastAsia"/>
          <w:color w:val="000000"/>
          <w:u w:val="singl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眉</w:t>
      </w:r>
      <w:r>
        <w:rPr>
          <w:rFonts w:hint="eastAsia" w:ascii="方正小标宋简体" w:hAnsi="方正小标宋简体" w:eastAsia="方正小标宋简体" w:cs="方正小标宋简体"/>
          <w:sz w:val="44"/>
          <w:szCs w:val="44"/>
          <w:lang w:eastAsia="zh-CN"/>
        </w:rPr>
        <w:t>县</w:t>
      </w:r>
      <w:r>
        <w:rPr>
          <w:rFonts w:hint="eastAsia" w:ascii="方正小标宋简体" w:hAnsi="方正小标宋简体" w:eastAsia="方正小标宋简体" w:cs="方正小标宋简体"/>
          <w:sz w:val="44"/>
          <w:szCs w:val="44"/>
        </w:rPr>
        <w:t>营商环境突破年</w:t>
      </w:r>
      <w:r>
        <w:rPr>
          <w:rFonts w:hint="eastAsia" w:ascii="方正小标宋简体" w:hAnsi="方正小标宋简体" w:eastAsia="方正小标宋简体" w:cs="方正小标宋简体"/>
          <w:sz w:val="44"/>
          <w:szCs w:val="44"/>
          <w:lang w:val="en-US" w:eastAsia="zh-CN"/>
        </w:rPr>
        <w:t>行动</w:t>
      </w:r>
      <w:r>
        <w:rPr>
          <w:rFonts w:hint="eastAsia" w:ascii="方正小标宋简体" w:hAnsi="方正小标宋简体" w:eastAsia="方正小标宋简体" w:cs="方正小标宋简体"/>
          <w:sz w:val="44"/>
          <w:szCs w:val="44"/>
        </w:rPr>
        <w:t>方案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880" w:firstLineChars="200"/>
        <w:jc w:val="both"/>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baseline"/>
        <w:rPr>
          <w:rFonts w:hint="default" w:ascii="仿宋_GB2312" w:hAnsi="仿宋_GB2312" w:eastAsia="仿宋_GB2312" w:cs="仿宋_GB2312"/>
          <w:color w:val="auto"/>
          <w:spacing w:val="0"/>
          <w:kern w:val="21"/>
          <w:sz w:val="32"/>
          <w:szCs w:val="32"/>
          <w:highlight w:val="none"/>
          <w:lang w:val="en-US" w:eastAsia="zh-CN"/>
        </w:rPr>
      </w:pPr>
      <w:r>
        <w:rPr>
          <w:rFonts w:hint="eastAsia" w:ascii="仿宋_GB2312" w:hAnsi="仿宋_GB2312" w:eastAsia="仿宋_GB2312" w:cs="仿宋_GB2312"/>
          <w:color w:val="auto"/>
          <w:spacing w:val="0"/>
          <w:kern w:val="21"/>
          <w:sz w:val="32"/>
          <w:szCs w:val="32"/>
          <w:highlight w:val="none"/>
          <w:lang w:eastAsia="zh-CN"/>
        </w:rPr>
        <w:t>为认真落实《陕西省推进营商环境突破年实施意见》</w:t>
      </w:r>
      <w:r>
        <w:rPr>
          <w:rFonts w:hint="eastAsia" w:ascii="仿宋_GB2312" w:hAnsi="仿宋_GB2312" w:eastAsia="仿宋_GB2312" w:cs="仿宋_GB2312"/>
          <w:color w:val="auto"/>
          <w:spacing w:val="0"/>
          <w:kern w:val="21"/>
          <w:sz w:val="32"/>
          <w:szCs w:val="32"/>
          <w:highlight w:val="none"/>
          <w:lang w:val="en-US" w:eastAsia="zh-CN"/>
        </w:rPr>
        <w:t>《宝鸡市</w:t>
      </w:r>
      <w:r>
        <w:rPr>
          <w:rFonts w:hint="eastAsia" w:ascii="仿宋_GB2312" w:hAnsi="仿宋_GB2312" w:eastAsia="仿宋_GB2312" w:cs="仿宋_GB2312"/>
          <w:color w:val="auto"/>
          <w:spacing w:val="0"/>
          <w:kern w:val="21"/>
          <w:sz w:val="32"/>
          <w:szCs w:val="32"/>
          <w:highlight w:val="none"/>
          <w:lang w:eastAsia="zh-CN"/>
        </w:rPr>
        <w:t>推进营商环境突破年实施</w:t>
      </w:r>
      <w:r>
        <w:rPr>
          <w:rFonts w:hint="eastAsia" w:ascii="仿宋_GB2312" w:hAnsi="仿宋_GB2312" w:eastAsia="仿宋_GB2312" w:cs="仿宋_GB2312"/>
          <w:color w:val="auto"/>
          <w:spacing w:val="0"/>
          <w:kern w:val="21"/>
          <w:sz w:val="32"/>
          <w:szCs w:val="32"/>
          <w:highlight w:val="none"/>
          <w:lang w:val="en-US" w:eastAsia="zh-CN"/>
        </w:rPr>
        <w:t>方案》任务和要求</w:t>
      </w:r>
      <w:r>
        <w:rPr>
          <w:rFonts w:hint="eastAsia" w:ascii="仿宋_GB2312" w:hAnsi="仿宋_GB2312" w:eastAsia="仿宋_GB2312" w:cs="仿宋_GB2312"/>
          <w:color w:val="auto"/>
          <w:spacing w:val="0"/>
          <w:kern w:val="21"/>
          <w:sz w:val="32"/>
          <w:szCs w:val="32"/>
          <w:highlight w:val="none"/>
          <w:lang w:eastAsia="zh-CN"/>
        </w:rPr>
        <w:t>，推动</w:t>
      </w:r>
      <w:r>
        <w:rPr>
          <w:rFonts w:hint="eastAsia" w:ascii="仿宋_GB2312" w:hAnsi="仿宋_GB2312" w:eastAsia="仿宋_GB2312" w:cs="仿宋_GB2312"/>
          <w:color w:val="auto"/>
          <w:spacing w:val="0"/>
          <w:kern w:val="21"/>
          <w:sz w:val="32"/>
          <w:szCs w:val="32"/>
          <w:highlight w:val="none"/>
          <w:lang w:val="en-US" w:eastAsia="zh-CN"/>
        </w:rPr>
        <w:t>县域</w:t>
      </w:r>
      <w:r>
        <w:rPr>
          <w:rFonts w:hint="eastAsia" w:ascii="仿宋_GB2312" w:hAnsi="仿宋_GB2312" w:eastAsia="仿宋_GB2312" w:cs="仿宋_GB2312"/>
          <w:color w:val="auto"/>
          <w:spacing w:val="0"/>
          <w:kern w:val="21"/>
          <w:sz w:val="32"/>
          <w:szCs w:val="32"/>
          <w:highlight w:val="none"/>
          <w:lang w:eastAsia="zh-CN"/>
        </w:rPr>
        <w:t>经济社会高质量发展，</w:t>
      </w:r>
      <w:r>
        <w:rPr>
          <w:rFonts w:hint="eastAsia" w:ascii="仿宋_GB2312" w:hAnsi="仿宋_GB2312" w:eastAsia="仿宋_GB2312" w:cs="仿宋_GB2312"/>
          <w:color w:val="auto"/>
          <w:spacing w:val="0"/>
          <w:sz w:val="32"/>
          <w:szCs w:val="32"/>
          <w:highlight w:val="none"/>
          <w:lang w:val="en-US" w:eastAsia="zh-CN"/>
        </w:rPr>
        <w:t>现</w:t>
      </w:r>
      <w:r>
        <w:rPr>
          <w:rFonts w:hint="eastAsia" w:ascii="仿宋_GB2312" w:hAnsi="仿宋_GB2312" w:eastAsia="仿宋_GB2312" w:cs="仿宋_GB2312"/>
          <w:color w:val="auto"/>
          <w:spacing w:val="0"/>
          <w:sz w:val="32"/>
          <w:szCs w:val="32"/>
          <w:highlight w:val="none"/>
        </w:rPr>
        <w:t>结合</w:t>
      </w:r>
      <w:r>
        <w:rPr>
          <w:rFonts w:hint="eastAsia" w:ascii="仿宋_GB2312" w:hAnsi="仿宋_GB2312" w:eastAsia="仿宋_GB2312" w:cs="仿宋_GB2312"/>
          <w:color w:val="auto"/>
          <w:spacing w:val="0"/>
          <w:sz w:val="32"/>
          <w:szCs w:val="32"/>
          <w:highlight w:val="none"/>
          <w:lang w:eastAsia="zh-CN"/>
        </w:rPr>
        <w:t>我</w:t>
      </w:r>
      <w:r>
        <w:rPr>
          <w:rFonts w:hint="eastAsia" w:ascii="仿宋_GB2312" w:hAnsi="仿宋_GB2312" w:eastAsia="仿宋_GB2312" w:cs="仿宋_GB2312"/>
          <w:color w:val="auto"/>
          <w:spacing w:val="0"/>
          <w:sz w:val="32"/>
          <w:szCs w:val="32"/>
          <w:highlight w:val="none"/>
          <w:lang w:val="en-US" w:eastAsia="zh-CN"/>
        </w:rPr>
        <w:t>县</w:t>
      </w:r>
      <w:r>
        <w:rPr>
          <w:rFonts w:hint="eastAsia" w:ascii="仿宋_GB2312" w:hAnsi="仿宋_GB2312" w:eastAsia="仿宋_GB2312" w:cs="仿宋_GB2312"/>
          <w:color w:val="auto"/>
          <w:spacing w:val="0"/>
          <w:sz w:val="32"/>
          <w:szCs w:val="32"/>
          <w:highlight w:val="none"/>
        </w:rPr>
        <w:t>实际，</w:t>
      </w:r>
      <w:r>
        <w:rPr>
          <w:rFonts w:hint="eastAsia" w:ascii="仿宋_GB2312" w:hAnsi="仿宋_GB2312" w:eastAsia="仿宋_GB2312" w:cs="仿宋_GB2312"/>
          <w:color w:val="auto"/>
          <w:spacing w:val="0"/>
          <w:sz w:val="32"/>
          <w:szCs w:val="32"/>
          <w:highlight w:val="none"/>
          <w:lang w:eastAsia="zh-CN"/>
        </w:rPr>
        <w:t>制定本方案</w:t>
      </w:r>
      <w:r>
        <w:rPr>
          <w:rFonts w:hint="eastAsia" w:ascii="仿宋_GB2312" w:hAnsi="仿宋_GB2312" w:eastAsia="仿宋_GB2312" w:cs="仿宋_GB2312"/>
          <w:color w:val="auto"/>
          <w:spacing w:val="0"/>
          <w:kern w:val="21"/>
          <w:sz w:val="32"/>
          <w:szCs w:val="32"/>
          <w:highlight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baseline"/>
        <w:outlineLvl w:val="0"/>
        <w:rPr>
          <w:rFonts w:ascii="黑体" w:hAnsi="黑体" w:eastAsia="黑体" w:cs="黑体"/>
          <w:b w:val="0"/>
          <w:bCs w:val="0"/>
          <w:color w:val="auto"/>
          <w:spacing w:val="0"/>
          <w:kern w:val="21"/>
          <w:sz w:val="32"/>
          <w:szCs w:val="32"/>
          <w:highlight w:val="none"/>
        </w:rPr>
      </w:pPr>
      <w:r>
        <w:rPr>
          <w:rFonts w:ascii="黑体" w:hAnsi="黑体" w:eastAsia="黑体" w:cs="黑体"/>
          <w:b w:val="0"/>
          <w:bCs w:val="0"/>
          <w:color w:val="auto"/>
          <w:spacing w:val="0"/>
          <w:kern w:val="21"/>
          <w:sz w:val="32"/>
          <w:szCs w:val="32"/>
          <w:highlight w:val="none"/>
        </w:rPr>
        <w:t>一、总体要求</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baseline"/>
        <w:rPr>
          <w:rFonts w:hint="eastAsia" w:ascii="楷体_GB2312" w:hAnsi="楷体_GB2312" w:eastAsia="楷体_GB2312" w:cs="楷体_GB2312"/>
          <w:b/>
          <w:bCs/>
          <w:color w:val="auto"/>
          <w:spacing w:val="0"/>
          <w:kern w:val="21"/>
          <w:sz w:val="32"/>
          <w:szCs w:val="32"/>
          <w:highlight w:val="none"/>
        </w:rPr>
      </w:pPr>
      <w:r>
        <w:rPr>
          <w:rFonts w:hint="eastAsia" w:ascii="楷体_GB2312" w:hAnsi="楷体_GB2312" w:eastAsia="楷体_GB2312" w:cs="楷体_GB2312"/>
          <w:b/>
          <w:bCs/>
          <w:color w:val="auto"/>
          <w:spacing w:val="0"/>
          <w:kern w:val="21"/>
          <w:sz w:val="32"/>
          <w:szCs w:val="32"/>
          <w:highlight w:val="none"/>
          <w:lang w:eastAsia="zh-CN"/>
        </w:rPr>
        <w:t>（</w:t>
      </w:r>
      <w:r>
        <w:rPr>
          <w:rFonts w:hint="eastAsia" w:ascii="楷体_GB2312" w:hAnsi="楷体_GB2312" w:eastAsia="楷体_GB2312" w:cs="楷体_GB2312"/>
          <w:b/>
          <w:bCs/>
          <w:color w:val="auto"/>
          <w:spacing w:val="0"/>
          <w:kern w:val="21"/>
          <w:sz w:val="32"/>
          <w:szCs w:val="32"/>
          <w:highlight w:val="none"/>
        </w:rPr>
        <w:t>一</w:t>
      </w:r>
      <w:r>
        <w:rPr>
          <w:rFonts w:hint="eastAsia" w:ascii="楷体_GB2312" w:hAnsi="楷体_GB2312" w:eastAsia="楷体_GB2312" w:cs="楷体_GB2312"/>
          <w:b/>
          <w:bCs/>
          <w:color w:val="auto"/>
          <w:spacing w:val="0"/>
          <w:kern w:val="21"/>
          <w:sz w:val="32"/>
          <w:szCs w:val="32"/>
          <w:highlight w:val="none"/>
          <w:lang w:eastAsia="zh-CN"/>
        </w:rPr>
        <w:t>）</w:t>
      </w:r>
      <w:r>
        <w:rPr>
          <w:rFonts w:hint="eastAsia" w:ascii="楷体_GB2312" w:hAnsi="楷体_GB2312" w:eastAsia="楷体_GB2312" w:cs="楷体_GB2312"/>
          <w:b/>
          <w:bCs/>
          <w:color w:val="auto"/>
          <w:spacing w:val="0"/>
          <w:kern w:val="21"/>
          <w:sz w:val="32"/>
          <w:szCs w:val="32"/>
          <w:highlight w:val="none"/>
        </w:rPr>
        <w:t>指导思想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baseline"/>
        <w:rPr>
          <w:rFonts w:hint="eastAsia" w:ascii="黑体" w:hAnsi="黑体" w:eastAsia="黑体" w:cs="黑体"/>
          <w:b w:val="0"/>
          <w:bCs w:val="0"/>
          <w:color w:val="auto"/>
          <w:spacing w:val="0"/>
          <w:w w:val="100"/>
          <w:kern w:val="21"/>
          <w:position w:val="0"/>
          <w:sz w:val="32"/>
          <w:szCs w:val="32"/>
          <w:highlight w:val="none"/>
        </w:rPr>
      </w:pPr>
      <w:r>
        <w:rPr>
          <w:rFonts w:hint="eastAsia" w:ascii="仿宋_GB2312" w:hAnsi="仿宋_GB2312" w:eastAsia="仿宋_GB2312" w:cs="仿宋_GB2312"/>
          <w:color w:val="auto"/>
          <w:spacing w:val="0"/>
          <w:kern w:val="21"/>
          <w:sz w:val="32"/>
          <w:szCs w:val="32"/>
          <w:highlight w:val="none"/>
        </w:rPr>
        <w:t>坚持以习近平新时代中国特色社会主义思想为指导，</w:t>
      </w:r>
      <w:r>
        <w:rPr>
          <w:rFonts w:hint="eastAsia" w:ascii="仿宋_GB2312" w:hAnsi="仿宋_GB2312" w:eastAsia="仿宋_GB2312" w:cs="仿宋_GB2312"/>
          <w:color w:val="auto"/>
          <w:sz w:val="32"/>
          <w:szCs w:val="32"/>
          <w:highlight w:val="none"/>
        </w:rPr>
        <w:t>全面贯彻</w:t>
      </w:r>
      <w:r>
        <w:rPr>
          <w:rFonts w:hint="eastAsia" w:ascii="仿宋_GB2312" w:hAnsi="仿宋_GB2312" w:eastAsia="仿宋_GB2312" w:cs="仿宋_GB2312"/>
          <w:color w:val="auto"/>
          <w:sz w:val="32"/>
          <w:szCs w:val="32"/>
          <w:highlight w:val="none"/>
          <w:lang w:val="en-US" w:eastAsia="zh-CN"/>
        </w:rPr>
        <w:t>落实</w:t>
      </w:r>
      <w:r>
        <w:rPr>
          <w:rFonts w:hint="eastAsia" w:ascii="仿宋_GB2312" w:hAnsi="仿宋_GB2312" w:eastAsia="仿宋_GB2312" w:cs="仿宋_GB2312"/>
          <w:color w:val="auto"/>
          <w:sz w:val="32"/>
          <w:szCs w:val="32"/>
          <w:highlight w:val="none"/>
        </w:rPr>
        <w:t>党的二十大</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习近平总书记来陕考察重要讲话重要指示精神，</w:t>
      </w:r>
      <w:r>
        <w:rPr>
          <w:rFonts w:hint="eastAsia" w:ascii="仿宋_GB2312" w:hAnsi="仿宋_GB2312" w:eastAsia="仿宋_GB2312" w:cs="仿宋_GB2312"/>
          <w:spacing w:val="0"/>
          <w:w w:val="100"/>
          <w:position w:val="0"/>
          <w:sz w:val="32"/>
          <w:szCs w:val="32"/>
          <w:lang w:val="en-US" w:eastAsia="zh-CN"/>
        </w:rPr>
        <w:t>按照省市营商环境突破年安排部署，</w:t>
      </w:r>
      <w:r>
        <w:rPr>
          <w:rFonts w:hint="eastAsia" w:ascii="仿宋_GB2312" w:hAnsi="仿宋_GB2312" w:eastAsia="仿宋_GB2312" w:cs="仿宋_GB2312"/>
          <w:color w:val="auto"/>
          <w:spacing w:val="0"/>
          <w:kern w:val="21"/>
          <w:sz w:val="32"/>
          <w:szCs w:val="32"/>
          <w:highlight w:val="none"/>
        </w:rPr>
        <w:t>坚持目标导向与问题导向相结合、有为政府与有效市场相统一、统筹推进与重点突破相促进，完善体制机制，强化协同联动，建立全生命周期服务体系，加快打造市场化、法治化、国际化营商环境，为高质量发展助力赋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baseline"/>
        <w:rPr>
          <w:rFonts w:hint="eastAsia" w:ascii="楷体_GB2312" w:hAnsi="楷体_GB2312" w:eastAsia="楷体_GB2312" w:cs="楷体_GB2312"/>
          <w:b/>
          <w:bCs/>
          <w:color w:val="auto"/>
          <w:spacing w:val="0"/>
          <w:kern w:val="21"/>
          <w:sz w:val="32"/>
          <w:szCs w:val="32"/>
          <w:highlight w:val="none"/>
          <w:lang w:val="en-US" w:eastAsia="zh-CN"/>
        </w:rPr>
      </w:pPr>
      <w:r>
        <w:rPr>
          <w:rFonts w:hint="eastAsia" w:ascii="楷体_GB2312" w:hAnsi="楷体_GB2312" w:eastAsia="楷体_GB2312" w:cs="楷体_GB2312"/>
          <w:b/>
          <w:bCs/>
          <w:color w:val="auto"/>
          <w:spacing w:val="0"/>
          <w:kern w:val="21"/>
          <w:sz w:val="32"/>
          <w:szCs w:val="32"/>
          <w:highlight w:val="none"/>
          <w:lang w:val="en-US" w:eastAsia="zh-CN"/>
        </w:rPr>
        <w:t>（二）具体目标</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baseline"/>
        <w:outlineLvl w:val="0"/>
        <w:rPr>
          <w:rFonts w:hint="eastAsia" w:ascii="仿宋_GB2312" w:hAnsi="仿宋_GB2312" w:eastAsia="仿宋_GB2312" w:cs="仿宋_GB2312"/>
          <w:color w:val="auto"/>
          <w:spacing w:val="0"/>
          <w:kern w:val="21"/>
          <w:sz w:val="32"/>
          <w:szCs w:val="32"/>
          <w:highlight w:val="none"/>
        </w:rPr>
      </w:pPr>
      <w:r>
        <w:rPr>
          <w:rFonts w:hint="eastAsia" w:ascii="仿宋_GB2312" w:hAnsi="仿宋_GB2312" w:eastAsia="仿宋_GB2312" w:cs="仿宋_GB2312"/>
          <w:color w:val="auto"/>
          <w:spacing w:val="0"/>
          <w:kern w:val="21"/>
          <w:sz w:val="32"/>
          <w:szCs w:val="32"/>
          <w:highlight w:val="none"/>
          <w:lang w:val="en-US" w:eastAsia="zh-CN"/>
        </w:rPr>
        <w:t>加快实施陕西省《优化营商环境条例》，围绕打造效率最高、成本最低、服务最优的一流营商环境总目标，聚焦市场主体的迫切需求和涉及群众的民生实事，开展提升</w:t>
      </w:r>
      <w:r>
        <w:rPr>
          <w:rFonts w:hint="eastAsia" w:ascii="仿宋_GB2312" w:hAnsi="仿宋_GB2312" w:eastAsia="仿宋_GB2312" w:cs="仿宋_GB2312"/>
          <w:color w:val="auto"/>
          <w:spacing w:val="0"/>
          <w:kern w:val="21"/>
          <w:sz w:val="32"/>
          <w:szCs w:val="32"/>
          <w:highlight w:val="none"/>
        </w:rPr>
        <w:t>办事便利化</w:t>
      </w:r>
      <w:r>
        <w:rPr>
          <w:rFonts w:hint="eastAsia" w:ascii="仿宋_GB2312" w:hAnsi="仿宋_GB2312" w:eastAsia="仿宋_GB2312" w:cs="仿宋_GB2312"/>
          <w:color w:val="auto"/>
          <w:spacing w:val="0"/>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提升</w:t>
      </w:r>
      <w:r>
        <w:rPr>
          <w:rFonts w:hint="eastAsia" w:ascii="仿宋_GB2312" w:hAnsi="仿宋_GB2312" w:eastAsia="仿宋_GB2312" w:cs="仿宋_GB2312"/>
          <w:color w:val="auto"/>
          <w:spacing w:val="-6"/>
          <w:kern w:val="21"/>
          <w:sz w:val="32"/>
          <w:szCs w:val="32"/>
          <w:highlight w:val="none"/>
        </w:rPr>
        <w:t>项目服务保障</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提升</w:t>
      </w:r>
      <w:r>
        <w:rPr>
          <w:rFonts w:hint="eastAsia" w:ascii="仿宋_GB2312" w:hAnsi="仿宋_GB2312" w:eastAsia="仿宋_GB2312" w:cs="仿宋_GB2312"/>
          <w:color w:val="auto"/>
          <w:spacing w:val="-6"/>
          <w:kern w:val="21"/>
          <w:sz w:val="32"/>
          <w:szCs w:val="32"/>
          <w:highlight w:val="none"/>
        </w:rPr>
        <w:t>投资吸引力</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提升</w:t>
      </w:r>
      <w:r>
        <w:rPr>
          <w:rFonts w:hint="eastAsia" w:ascii="仿宋_GB2312" w:hAnsi="仿宋_GB2312" w:eastAsia="仿宋_GB2312" w:cs="仿宋_GB2312"/>
          <w:color w:val="auto"/>
          <w:spacing w:val="-6"/>
          <w:kern w:val="21"/>
          <w:sz w:val="32"/>
          <w:szCs w:val="32"/>
          <w:highlight w:val="none"/>
        </w:rPr>
        <w:t>监管服务</w:t>
      </w:r>
      <w:r>
        <w:rPr>
          <w:rFonts w:hint="eastAsia" w:ascii="仿宋_GB2312" w:hAnsi="仿宋_GB2312" w:eastAsia="仿宋_GB2312" w:cs="仿宋_GB2312"/>
          <w:color w:val="auto"/>
          <w:spacing w:val="-6"/>
          <w:kern w:val="21"/>
          <w:sz w:val="32"/>
          <w:szCs w:val="32"/>
          <w:highlight w:val="none"/>
          <w:lang w:val="en-US" w:eastAsia="zh-CN"/>
        </w:rPr>
        <w:t>创新、提升政务服务、提升</w:t>
      </w:r>
      <w:r>
        <w:rPr>
          <w:rFonts w:hint="eastAsia" w:ascii="仿宋_GB2312" w:hAnsi="仿宋_GB2312" w:eastAsia="仿宋_GB2312" w:cs="仿宋_GB2312"/>
          <w:color w:val="auto"/>
          <w:spacing w:val="-6"/>
          <w:kern w:val="21"/>
          <w:sz w:val="32"/>
          <w:szCs w:val="32"/>
          <w:highlight w:val="none"/>
        </w:rPr>
        <w:t>政策法规保障</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六大行动</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lang w:val="en-US" w:eastAsia="zh-CN"/>
        </w:rPr>
        <w:t>全力以赴破难点、疏堵点、解痛点，进一步减环节、优流程、压时间、增便利，打造“眉”好政务服务品牌，</w:t>
      </w:r>
      <w:r>
        <w:rPr>
          <w:rFonts w:hint="eastAsia" w:ascii="仿宋_GB2312" w:hAnsi="仿宋_GB2312" w:eastAsia="仿宋_GB2312" w:cs="仿宋_GB2312"/>
          <w:color w:val="auto"/>
          <w:spacing w:val="-6"/>
          <w:kern w:val="21"/>
          <w:sz w:val="32"/>
          <w:szCs w:val="32"/>
          <w:highlight w:val="none"/>
        </w:rPr>
        <w:t>力争营商环境进入全</w:t>
      </w:r>
      <w:r>
        <w:rPr>
          <w:rFonts w:hint="eastAsia" w:ascii="仿宋_GB2312" w:hAnsi="仿宋_GB2312" w:eastAsia="仿宋_GB2312" w:cs="仿宋_GB2312"/>
          <w:color w:val="auto"/>
          <w:spacing w:val="-6"/>
          <w:kern w:val="21"/>
          <w:sz w:val="32"/>
          <w:szCs w:val="32"/>
          <w:highlight w:val="none"/>
          <w:lang w:val="en-US" w:eastAsia="zh-CN"/>
        </w:rPr>
        <w:t>省</w:t>
      </w:r>
      <w:r>
        <w:rPr>
          <w:rFonts w:hint="eastAsia" w:ascii="仿宋_GB2312" w:hAnsi="仿宋_GB2312" w:eastAsia="仿宋_GB2312" w:cs="仿宋_GB2312"/>
          <w:color w:val="auto"/>
          <w:spacing w:val="-6"/>
          <w:kern w:val="21"/>
          <w:sz w:val="32"/>
          <w:szCs w:val="32"/>
          <w:highlight w:val="none"/>
        </w:rPr>
        <w:t>第一方阵。</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2" w:firstLineChars="200"/>
        <w:jc w:val="both"/>
        <w:textAlignment w:val="baseline"/>
        <w:outlineLvl w:val="0"/>
        <w:rPr>
          <w:rFonts w:hint="default" w:ascii="仿宋_GB2312" w:hAnsi="仿宋_GB2312" w:eastAsia="仿宋_GB2312" w:cs="仿宋_GB2312"/>
          <w:sz w:val="32"/>
          <w:szCs w:val="32"/>
          <w:lang w:val="en-US"/>
        </w:rPr>
      </w:pPr>
      <w:r>
        <w:rPr>
          <w:rFonts w:hint="eastAsia" w:ascii="仿宋_GB2312" w:hAnsi="仿宋_GB2312" w:eastAsia="仿宋_GB2312" w:cs="仿宋_GB2312"/>
          <w:b/>
          <w:bCs/>
          <w:color w:val="auto"/>
          <w:sz w:val="32"/>
          <w:szCs w:val="32"/>
          <w:lang w:val="en-US" w:eastAsia="zh-CN"/>
        </w:rPr>
        <w:t>补短板、强弱项</w:t>
      </w:r>
      <w:r>
        <w:rPr>
          <w:rFonts w:hint="eastAsia" w:ascii="仿宋_GB2312" w:hAnsi="仿宋_GB2312" w:eastAsia="仿宋_GB2312" w:cs="仿宋_GB2312"/>
          <w:b/>
          <w:bCs/>
          <w:color w:val="auto"/>
          <w:spacing w:val="0"/>
          <w:w w:val="100"/>
          <w:kern w:val="21"/>
          <w:position w:val="0"/>
          <w:sz w:val="32"/>
          <w:szCs w:val="32"/>
          <w:highlight w:val="none"/>
          <w:lang w:val="en-US" w:eastAsia="zh-CN"/>
        </w:rPr>
        <w:t>。</w:t>
      </w:r>
      <w:r>
        <w:rPr>
          <w:rFonts w:hint="eastAsia" w:ascii="仿宋_GB2312" w:hAnsi="仿宋_GB2312" w:eastAsia="仿宋_GB2312" w:cs="仿宋_GB2312"/>
          <w:b w:val="0"/>
          <w:bCs w:val="0"/>
          <w:color w:val="auto"/>
          <w:spacing w:val="0"/>
          <w:w w:val="100"/>
          <w:kern w:val="21"/>
          <w:position w:val="0"/>
          <w:sz w:val="32"/>
          <w:szCs w:val="32"/>
          <w:highlight w:val="none"/>
          <w:lang w:val="en-US" w:eastAsia="zh-CN"/>
        </w:rPr>
        <w:t>坚持问题导向，加快突破发展瓶颈，缩小与先进地区差距。数字政府建设大力推进，政务服务智慧化水平不断提升，</w:t>
      </w:r>
      <w:r>
        <w:rPr>
          <w:rFonts w:hint="eastAsia" w:ascii="仿宋_GB2312" w:hAnsi="仿宋_GB2312" w:eastAsia="仿宋_GB2312" w:cs="仿宋_GB2312"/>
          <w:b w:val="0"/>
          <w:bCs w:val="0"/>
          <w:color w:val="000000" w:themeColor="text1"/>
          <w:spacing w:val="0"/>
          <w:w w:val="100"/>
          <w:kern w:val="21"/>
          <w:position w:val="0"/>
          <w:sz w:val="32"/>
          <w:szCs w:val="32"/>
          <w:highlight w:val="none"/>
          <w:lang w:val="en-US" w:eastAsia="zh-CN"/>
          <w14:textFill>
            <w14:solidFill>
              <w14:schemeClr w14:val="tx1"/>
            </w14:solidFill>
          </w14:textFill>
        </w:rPr>
        <w:t>电子证照应用持续扩大,园区</w:t>
      </w:r>
      <w:r>
        <w:rPr>
          <w:rFonts w:hint="eastAsia" w:ascii="仿宋_GB2312" w:hAnsi="仿宋_GB2312" w:eastAsia="仿宋_GB2312" w:cs="仿宋_GB2312"/>
          <w:b w:val="0"/>
          <w:bCs w:val="0"/>
          <w:color w:val="auto"/>
          <w:spacing w:val="0"/>
          <w:w w:val="100"/>
          <w:kern w:val="21"/>
          <w:position w:val="0"/>
          <w:sz w:val="32"/>
          <w:szCs w:val="32"/>
          <w:highlight w:val="none"/>
          <w:lang w:val="en-US" w:eastAsia="zh-CN"/>
        </w:rPr>
        <w:t>营商环境建设全面</w:t>
      </w:r>
      <w:r>
        <w:rPr>
          <w:rFonts w:hint="eastAsia" w:ascii="仿宋_GB2312" w:hAnsi="仿宋_GB2312" w:eastAsia="仿宋_GB2312" w:cs="仿宋_GB2312"/>
          <w:b w:val="0"/>
          <w:bCs w:val="0"/>
          <w:color w:val="auto"/>
          <w:spacing w:val="-6"/>
          <w:w w:val="100"/>
          <w:kern w:val="21"/>
          <w:position w:val="0"/>
          <w:sz w:val="32"/>
          <w:szCs w:val="32"/>
          <w:highlight w:val="none"/>
          <w:lang w:val="en-US" w:eastAsia="zh-CN"/>
        </w:rPr>
        <w:t>加强。</w:t>
      </w:r>
      <w:r>
        <w:rPr>
          <w:rFonts w:hint="eastAsia" w:ascii="仿宋_GB2312" w:hAnsi="仿宋_GB2312" w:eastAsia="仿宋_GB2312" w:cs="仿宋_GB2312"/>
          <w:b/>
          <w:bCs/>
          <w:color w:val="auto"/>
          <w:spacing w:val="-6"/>
          <w:sz w:val="32"/>
          <w:szCs w:val="32"/>
          <w:lang w:val="en-US" w:eastAsia="zh-CN"/>
        </w:rPr>
        <w:t>提标准、优措施</w:t>
      </w:r>
      <w:r>
        <w:rPr>
          <w:rFonts w:hint="eastAsia" w:ascii="仿宋_GB2312" w:hAnsi="仿宋_GB2312" w:eastAsia="仿宋_GB2312" w:cs="仿宋_GB2312"/>
          <w:b/>
          <w:bCs/>
          <w:color w:val="auto"/>
          <w:spacing w:val="-6"/>
          <w:w w:val="100"/>
          <w:kern w:val="21"/>
          <w:position w:val="0"/>
          <w:sz w:val="32"/>
          <w:szCs w:val="32"/>
          <w:highlight w:val="none"/>
          <w:lang w:val="en-US" w:eastAsia="zh-CN"/>
        </w:rPr>
        <w:t>。</w:t>
      </w:r>
      <w:r>
        <w:rPr>
          <w:rFonts w:hint="eastAsia" w:ascii="仿宋_GB2312" w:hAnsi="仿宋_GB2312" w:eastAsia="仿宋_GB2312" w:cs="仿宋_GB2312"/>
          <w:b w:val="0"/>
          <w:bCs w:val="0"/>
          <w:color w:val="auto"/>
          <w:spacing w:val="-6"/>
          <w:w w:val="100"/>
          <w:kern w:val="21"/>
          <w:position w:val="0"/>
          <w:sz w:val="32"/>
          <w:szCs w:val="32"/>
          <w:highlight w:val="none"/>
          <w:lang w:val="en-US" w:eastAsia="zh-CN"/>
        </w:rPr>
        <w:t>坚持以更高标准深化改革创新，</w:t>
      </w:r>
      <w:r>
        <w:rPr>
          <w:rFonts w:hint="eastAsia" w:ascii="仿宋_GB2312" w:hAnsi="仿宋_GB2312" w:eastAsia="仿宋_GB2312" w:cs="仿宋_GB2312"/>
          <w:b w:val="0"/>
          <w:bCs w:val="0"/>
          <w:spacing w:val="-6"/>
          <w:kern w:val="21"/>
          <w:position w:val="0"/>
          <w:sz w:val="32"/>
          <w:szCs w:val="32"/>
          <w:lang w:val="en-US" w:eastAsia="zh-CN"/>
        </w:rPr>
        <w:t>企业开办等事项</w:t>
      </w:r>
      <w:r>
        <w:rPr>
          <w:rFonts w:hint="eastAsia" w:ascii="仿宋_GB2312" w:hAnsi="仿宋_GB2312" w:eastAsia="仿宋_GB2312" w:cs="仿宋_GB2312"/>
          <w:b w:val="0"/>
          <w:bCs w:val="0"/>
          <w:spacing w:val="-6"/>
          <w:kern w:val="21"/>
          <w:position w:val="0"/>
          <w:sz w:val="32"/>
          <w:szCs w:val="32"/>
        </w:rPr>
        <w:t>“一件事一次办”</w:t>
      </w:r>
      <w:r>
        <w:rPr>
          <w:rFonts w:hint="eastAsia" w:ascii="仿宋_GB2312" w:hAnsi="仿宋_GB2312" w:eastAsia="仿宋_GB2312" w:cs="仿宋_GB2312"/>
          <w:b w:val="0"/>
          <w:bCs w:val="0"/>
          <w:spacing w:val="-6"/>
          <w:kern w:val="21"/>
          <w:position w:val="0"/>
          <w:sz w:val="32"/>
          <w:szCs w:val="32"/>
          <w:lang w:val="en-US" w:eastAsia="zh-CN"/>
        </w:rPr>
        <w:t>持</w:t>
      </w:r>
      <w:r>
        <w:rPr>
          <w:rFonts w:hint="eastAsia" w:ascii="仿宋_GB2312" w:hAnsi="仿宋_GB2312" w:eastAsia="仿宋_GB2312" w:cs="仿宋_GB2312"/>
          <w:b w:val="0"/>
          <w:bCs w:val="0"/>
          <w:spacing w:val="-6"/>
          <w:kern w:val="21"/>
          <w:position w:val="0"/>
          <w:sz w:val="32"/>
          <w:szCs w:val="32"/>
          <w:lang w:eastAsia="zh-CN"/>
        </w:rPr>
        <w:t>续</w:t>
      </w:r>
      <w:r>
        <w:rPr>
          <w:rFonts w:hint="eastAsia" w:ascii="仿宋_GB2312" w:hAnsi="仿宋_GB2312" w:eastAsia="仿宋_GB2312" w:cs="仿宋_GB2312"/>
          <w:b w:val="0"/>
          <w:bCs w:val="0"/>
          <w:spacing w:val="-6"/>
          <w:kern w:val="21"/>
          <w:position w:val="0"/>
          <w:sz w:val="32"/>
          <w:szCs w:val="32"/>
        </w:rPr>
        <w:t>深化</w:t>
      </w:r>
      <w:r>
        <w:rPr>
          <w:rFonts w:hint="eastAsia" w:ascii="仿宋_GB2312" w:hAnsi="仿宋_GB2312" w:eastAsia="仿宋_GB2312" w:cs="仿宋_GB2312"/>
          <w:b w:val="0"/>
          <w:bCs w:val="0"/>
          <w:spacing w:val="-6"/>
          <w:kern w:val="21"/>
          <w:position w:val="0"/>
          <w:sz w:val="32"/>
          <w:szCs w:val="32"/>
          <w:lang w:eastAsia="zh-CN"/>
        </w:rPr>
        <w:t>，</w:t>
      </w:r>
      <w:r>
        <w:rPr>
          <w:rFonts w:hint="eastAsia" w:ascii="仿宋_GB2312" w:hAnsi="仿宋_GB2312" w:eastAsia="仿宋_GB2312" w:cs="仿宋_GB2312"/>
          <w:b w:val="0"/>
          <w:bCs w:val="0"/>
          <w:spacing w:val="-6"/>
          <w:kern w:val="21"/>
          <w:position w:val="0"/>
          <w:sz w:val="32"/>
          <w:szCs w:val="32"/>
          <w:lang w:val="en-US" w:eastAsia="zh-CN"/>
        </w:rPr>
        <w:t>水电气暖报装流程不断优化，企业获得用电、用水、用气、供暖时间全面压减。“亩均论英雄”“交地即交证”“拿地即开工”等综合改革加快推进，要素保障能力有效提升</w:t>
      </w:r>
      <w:r>
        <w:rPr>
          <w:rFonts w:hint="eastAsia" w:ascii="仿宋_GB2312" w:hAnsi="仿宋_GB2312" w:eastAsia="仿宋_GB2312" w:cs="仿宋_GB2312"/>
          <w:b w:val="0"/>
          <w:bCs w:val="0"/>
          <w:spacing w:val="-6"/>
          <w:kern w:val="21"/>
          <w:position w:val="0"/>
          <w:sz w:val="32"/>
          <w:szCs w:val="32"/>
        </w:rPr>
        <w:t>。</w:t>
      </w:r>
      <w:r>
        <w:rPr>
          <w:rFonts w:hint="eastAsia" w:ascii="仿宋_GB2312" w:hAnsi="仿宋_GB2312" w:eastAsia="仿宋_GB2312" w:cs="仿宋_GB2312"/>
          <w:b/>
          <w:bCs/>
          <w:color w:val="auto"/>
          <w:spacing w:val="-6"/>
          <w:sz w:val="32"/>
          <w:szCs w:val="32"/>
          <w:lang w:val="en-US" w:eastAsia="zh-CN"/>
        </w:rPr>
        <w:t>扬优势、树品牌</w:t>
      </w:r>
      <w:r>
        <w:rPr>
          <w:rFonts w:hint="eastAsia" w:ascii="仿宋_GB2312" w:hAnsi="仿宋_GB2312" w:eastAsia="仿宋_GB2312" w:cs="仿宋_GB2312"/>
          <w:b/>
          <w:bCs/>
          <w:color w:val="auto"/>
          <w:spacing w:val="-6"/>
          <w:w w:val="100"/>
          <w:kern w:val="21"/>
          <w:position w:val="0"/>
          <w:sz w:val="32"/>
          <w:szCs w:val="32"/>
          <w:highlight w:val="none"/>
          <w:lang w:val="en-US" w:eastAsia="zh-CN"/>
        </w:rPr>
        <w:t>。</w:t>
      </w:r>
      <w:r>
        <w:rPr>
          <w:rFonts w:hint="eastAsia" w:ascii="仿宋_GB2312" w:hAnsi="仿宋_GB2312" w:eastAsia="仿宋_GB2312" w:cs="仿宋_GB2312"/>
          <w:b w:val="0"/>
          <w:bCs w:val="0"/>
          <w:color w:val="auto"/>
          <w:spacing w:val="-6"/>
          <w:w w:val="100"/>
          <w:kern w:val="21"/>
          <w:position w:val="0"/>
          <w:sz w:val="32"/>
          <w:szCs w:val="32"/>
          <w:highlight w:val="none"/>
          <w:lang w:val="en-US" w:eastAsia="zh-CN"/>
        </w:rPr>
        <w:t>积极总结宣传“放管服”改革典型案例和先进经验，“眉”好政务品牌在省市树起标杆。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、重点任务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（一）提升办事便利化</w:t>
      </w:r>
      <w:r>
        <w:rPr>
          <w:rFonts w:hint="eastAsia" w:ascii="楷体_GB2312" w:hAnsi="楷体_GB2312" w:eastAsia="楷体_GB2312" w:cs="楷体_GB2312"/>
          <w:b/>
          <w:bCs/>
          <w:sz w:val="32"/>
          <w:szCs w:val="32"/>
          <w:lang w:val="en-US" w:eastAsia="zh-CN"/>
        </w:rPr>
        <w:t>行动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优化企业开办和注销流程，</w:t>
      </w:r>
      <w:r>
        <w:rPr>
          <w:rFonts w:hint="default" w:ascii="仿宋_GB2312" w:hAnsi="仿宋_GB2312" w:eastAsia="仿宋_GB2312" w:cs="仿宋_GB2312"/>
          <w:sz w:val="32"/>
          <w:szCs w:val="32"/>
          <w:lang w:val="en-US" w:eastAsia="zh-CN"/>
        </w:rPr>
        <w:t>推进涉企审批减环节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减材料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减费用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减时限</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加快推进企业注销“一网通办”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企业开办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简易注销时间均压减至</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个工作日</w:t>
      </w:r>
      <w:r>
        <w:rPr>
          <w:rFonts w:hint="eastAsia" w:ascii="仿宋_GB2312" w:hAnsi="仿宋_GB2312" w:eastAsia="仿宋_GB2312" w:cs="仿宋_GB2312"/>
          <w:sz w:val="32"/>
          <w:szCs w:val="32"/>
          <w:lang w:val="en-US" w:eastAsia="zh-CN"/>
        </w:rPr>
        <w:t>以</w:t>
      </w:r>
      <w:r>
        <w:rPr>
          <w:rFonts w:hint="default"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推进企业登记信息变更</w:t>
      </w:r>
      <w:r>
        <w:rPr>
          <w:rFonts w:hint="eastAsia" w:ascii="仿宋_GB2312" w:hAnsi="仿宋_GB2312" w:eastAsia="仿宋_GB2312" w:cs="仿宋_GB2312"/>
          <w:sz w:val="32"/>
          <w:szCs w:val="32"/>
          <w:lang w:val="en-US" w:eastAsia="zh-CN"/>
        </w:rPr>
        <w:t>便利化，</w:t>
      </w:r>
      <w:r>
        <w:rPr>
          <w:rFonts w:hint="default" w:ascii="仿宋_GB2312" w:hAnsi="仿宋_GB2312" w:eastAsia="仿宋_GB2312" w:cs="仿宋_GB2312"/>
          <w:sz w:val="32"/>
          <w:szCs w:val="32"/>
          <w:lang w:val="en-US" w:eastAsia="zh-CN"/>
        </w:rPr>
        <w:t>探索开展企业“注册地址变更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保留原有名称”业务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进行“一照多址”改革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实现“一张营业执照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多个经营地址”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推行“刷脸办电”“一证办电”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全过程办电时间压减至</w:t>
      </w:r>
      <w:r>
        <w:rPr>
          <w:rFonts w:hint="eastAsia" w:ascii="仿宋_GB2312" w:hAnsi="仿宋_GB2312" w:eastAsia="仿宋_GB2312" w:cs="仿宋_GB2312"/>
          <w:sz w:val="32"/>
          <w:szCs w:val="32"/>
          <w:lang w:val="en-US" w:eastAsia="zh-CN"/>
        </w:rPr>
        <w:t>10</w:t>
      </w:r>
      <w:r>
        <w:rPr>
          <w:rFonts w:hint="eastAsia" w:ascii="宋体" w:hAnsi="宋体" w:eastAsia="宋体" w:cs="宋体"/>
          <w:sz w:val="32"/>
          <w:szCs w:val="32"/>
          <w:lang w:val="en-US" w:eastAsia="zh-CN"/>
        </w:rPr>
        <w:t>–</w:t>
      </w:r>
      <w:r>
        <w:rPr>
          <w:rFonts w:hint="default" w:ascii="仿宋_GB2312" w:hAnsi="仿宋_GB2312" w:eastAsia="仿宋_GB2312" w:cs="仿宋_GB2312"/>
          <w:sz w:val="32"/>
          <w:szCs w:val="32"/>
          <w:lang w:val="en-US" w:eastAsia="zh-CN"/>
        </w:rPr>
        <w:t>12个工作日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加强薄弱地区配电网规划建设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城镇、</w:t>
      </w:r>
      <w:r>
        <w:rPr>
          <w:rFonts w:hint="default" w:ascii="仿宋_GB2312" w:hAnsi="仿宋_GB2312" w:eastAsia="仿宋_GB2312" w:cs="仿宋_GB2312"/>
          <w:spacing w:val="-6"/>
          <w:sz w:val="32"/>
          <w:szCs w:val="32"/>
          <w:lang w:val="en-US" w:eastAsia="zh-CN"/>
        </w:rPr>
        <w:t>农村地区用户年均停电时间分别压减至9、15个小时以内</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进一步压缩用水用气办理时间</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推行水电气暖工程涉及行政审批在线并联办理。推动“税企直连”</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推进网上办税</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加大电子发票推广使用力度</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落实“税务管家”全程服务机制</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实现减税降费政策“免申即享”。</w:t>
      </w:r>
      <w:r>
        <w:rPr>
          <w:rFonts w:hint="eastAsia" w:ascii="仿宋_GB2312" w:hAnsi="仿宋_GB2312" w:eastAsia="仿宋_GB2312" w:cs="仿宋_GB2312"/>
          <w:spacing w:val="-6"/>
          <w:sz w:val="32"/>
          <w:szCs w:val="32"/>
          <w:lang w:val="en-US" w:eastAsia="zh-CN"/>
        </w:rPr>
        <w:t>规范司法鉴定行为，</w:t>
      </w:r>
      <w:r>
        <w:rPr>
          <w:rFonts w:hint="default" w:ascii="仿宋_GB2312" w:hAnsi="仿宋_GB2312" w:eastAsia="仿宋_GB2312" w:cs="仿宋_GB2312"/>
          <w:spacing w:val="-6"/>
          <w:sz w:val="32"/>
          <w:szCs w:val="32"/>
          <w:lang w:val="en-US" w:eastAsia="zh-CN"/>
        </w:rPr>
        <w:t>提高商业纠纷审判执行效率</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推行民事诉讼繁简分流</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实现“繁案精审，简案快审”。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楷体_GB2312" w:cs="仿宋_GB2312"/>
          <w:b/>
          <w:bCs/>
          <w:sz w:val="32"/>
          <w:szCs w:val="32"/>
          <w:lang w:eastAsia="zh-CN"/>
        </w:rPr>
      </w:pPr>
      <w:r>
        <w:rPr>
          <w:rFonts w:hint="eastAsia" w:ascii="楷体_GB2312" w:hAnsi="楷体_GB2312" w:eastAsia="楷体_GB2312" w:cs="楷体_GB2312"/>
          <w:b/>
          <w:bCs/>
          <w:sz w:val="32"/>
          <w:szCs w:val="32"/>
        </w:rPr>
        <w:t>（二）提升项目服务保障</w:t>
      </w:r>
      <w:r>
        <w:rPr>
          <w:rFonts w:hint="eastAsia" w:ascii="楷体_GB2312" w:hAnsi="楷体_GB2312" w:eastAsia="楷体_GB2312" w:cs="楷体_GB2312"/>
          <w:b/>
          <w:bCs/>
          <w:sz w:val="32"/>
          <w:szCs w:val="32"/>
          <w:lang w:val="en-US" w:eastAsia="zh-CN"/>
        </w:rPr>
        <w:t>行动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持续深化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放管服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改革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全面实行行政许可事项清单管理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深入推进审批制度改革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持续深化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证照分离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全覆盖改革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持续加强审管联动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全力打造工作无缝衔接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审管相互支撑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业务全流程闭环管理工作机制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持续优化投资建设项目审批服务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推进投资项目并联审批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提高审批效能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优化工程建设项目审批流程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将一般社会性投资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政府投资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社会投资低风险工业仓储建设项目审批时间分别压减至50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15个工作日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规范工程建设项目审批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推行施工许可电子证照</w:t>
      </w:r>
      <w:r>
        <w:rPr>
          <w:rFonts w:hint="eastAsia" w:ascii="仿宋_GB2312" w:hAnsi="仿宋_GB2312" w:eastAsia="仿宋_GB2312" w:cs="仿宋_GB2312"/>
          <w:sz w:val="32"/>
          <w:szCs w:val="32"/>
          <w:lang w:val="en-US" w:eastAsia="zh-CN"/>
        </w:rPr>
        <w:t>。持续推进“</w:t>
      </w:r>
      <w:r>
        <w:rPr>
          <w:rFonts w:hint="default" w:ascii="仿宋_GB2312" w:hAnsi="仿宋_GB2312" w:eastAsia="仿宋_GB2312" w:cs="仿宋_GB2312"/>
          <w:sz w:val="32"/>
          <w:szCs w:val="32"/>
          <w:lang w:val="en-US" w:eastAsia="zh-CN"/>
        </w:rPr>
        <w:t>亩均论英雄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标准地+承诺制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交地即交证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改革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实现交地与交证办理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双同步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零时差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加强工程建设等领域黑恶问题和行业乱象专项整治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推动行业秩序持续改善</w:t>
      </w:r>
      <w:r>
        <w:rPr>
          <w:rFonts w:hint="eastAsia" w:ascii="仿宋_GB2312" w:hAnsi="仿宋_GB2312" w:eastAsia="仿宋_GB2312" w:cs="仿宋_GB2312"/>
          <w:sz w:val="32"/>
          <w:szCs w:val="32"/>
          <w:lang w:val="en-US" w:eastAsia="zh-CN"/>
        </w:rPr>
        <w:t>。加大市场主体金融支持力度，</w:t>
      </w:r>
      <w:r>
        <w:rPr>
          <w:rFonts w:hint="eastAsia" w:ascii="仿宋_GB2312" w:hAnsi="仿宋_GB2312" w:eastAsia="仿宋_GB2312" w:cs="仿宋_GB2312"/>
          <w:color w:val="auto"/>
          <w:kern w:val="2"/>
          <w:sz w:val="32"/>
          <w:szCs w:val="32"/>
          <w:lang w:val="en-US" w:eastAsia="zh-CN" w:bidi="ar-SA"/>
        </w:rPr>
        <w:t>加强政府性融资担保，</w:t>
      </w:r>
      <w:r>
        <w:rPr>
          <w:rFonts w:hint="default" w:ascii="仿宋_GB2312" w:hAnsi="仿宋_GB2312" w:eastAsia="仿宋_GB2312" w:cs="仿宋_GB2312"/>
          <w:sz w:val="32"/>
          <w:szCs w:val="32"/>
          <w:lang w:val="en-US" w:eastAsia="zh-CN"/>
        </w:rPr>
        <w:t>鼓励引导金融机构加大信贷投放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推广使用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秦信融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信易贷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等平台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lang w:val="en-US" w:eastAsia="zh-CN" w:bidi="ar-SA"/>
        </w:rPr>
        <w:t>年内新增贷款12亿元以上。</w:t>
      </w:r>
      <w:r>
        <w:rPr>
          <w:rFonts w:hint="default" w:ascii="仿宋_GB2312" w:hAnsi="仿宋_GB2312" w:eastAsia="仿宋_GB2312" w:cs="仿宋_GB2312"/>
          <w:sz w:val="32"/>
          <w:szCs w:val="32"/>
          <w:lang w:val="en-US" w:eastAsia="zh-CN"/>
        </w:rPr>
        <w:t>持续深化</w:t>
      </w:r>
      <w:r>
        <w:rPr>
          <w:rFonts w:hint="eastAsia" w:ascii="仿宋_GB2312" w:hAnsi="仿宋_GB2312" w:eastAsia="仿宋_GB2312" w:cs="仿宋_GB2312"/>
          <w:b w:val="0"/>
          <w:bCs w:val="0"/>
          <w:color w:val="auto"/>
          <w:spacing w:val="0"/>
          <w:w w:val="100"/>
          <w:kern w:val="21"/>
          <w:position w:val="0"/>
          <w:sz w:val="32"/>
          <w:szCs w:val="32"/>
          <w:highlight w:val="none"/>
        </w:rPr>
        <w:t>“双包一解”活动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lang w:val="en-US" w:eastAsia="zh-CN"/>
        </w:rPr>
        <w:t>持续开展“一起益企”服务月、“百人百企”帮扶行动等联企活动，</w:t>
      </w:r>
      <w:r>
        <w:rPr>
          <w:rFonts w:hint="default" w:ascii="仿宋_GB2312" w:hAnsi="仿宋_GB2312" w:eastAsia="仿宋_GB2312" w:cs="仿宋_GB2312"/>
          <w:sz w:val="32"/>
          <w:szCs w:val="32"/>
          <w:lang w:val="en-US" w:eastAsia="zh-CN"/>
        </w:rPr>
        <w:t>为企业经营和项目落地排忧解难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积极创建营商环境创新示范区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加强典型经验复制推广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加强园区营商环境建设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推动政务服务向园区延伸</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（三）提升投资吸引力</w:t>
      </w:r>
      <w:r>
        <w:rPr>
          <w:rFonts w:hint="eastAsia" w:ascii="楷体_GB2312" w:hAnsi="楷体_GB2312" w:eastAsia="楷体_GB2312" w:cs="楷体_GB2312"/>
          <w:b/>
          <w:bCs/>
          <w:sz w:val="32"/>
          <w:szCs w:val="32"/>
          <w:lang w:val="en-US" w:eastAsia="zh-CN"/>
        </w:rPr>
        <w:t>行动</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pPr>
      <w:r>
        <w:rPr>
          <w:rFonts w:hint="eastAsia" w:ascii="仿宋_GB2312" w:hAnsi="仿宋_GB2312" w:eastAsia="仿宋_GB2312" w:cs="仿宋_GB2312"/>
          <w:sz w:val="32"/>
          <w:szCs w:val="32"/>
          <w:lang w:val="en-US" w:eastAsia="zh-CN"/>
        </w:rPr>
        <w:t>严格执行市场准入“</w:t>
      </w:r>
      <w:r>
        <w:rPr>
          <w:rFonts w:hint="default" w:ascii="仿宋_GB2312" w:hAnsi="仿宋_GB2312" w:eastAsia="仿宋_GB2312" w:cs="仿宋_GB2312"/>
          <w:sz w:val="32"/>
          <w:szCs w:val="32"/>
          <w:lang w:val="en-US" w:eastAsia="zh-CN"/>
        </w:rPr>
        <w:t>全国一张清单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管理模式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持续优化审批流程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推动清单事项网上办理</w:t>
      </w:r>
      <w:r>
        <w:rPr>
          <w:rFonts w:hint="eastAsia" w:ascii="仿宋_GB2312" w:hAnsi="仿宋_GB2312" w:eastAsia="仿宋_GB2312" w:cs="仿宋_GB2312"/>
          <w:sz w:val="32"/>
          <w:szCs w:val="32"/>
          <w:lang w:val="en-US" w:eastAsia="zh-CN"/>
        </w:rPr>
        <w:t>。扩大对外开放，</w:t>
      </w:r>
      <w:r>
        <w:rPr>
          <w:rFonts w:hint="default" w:ascii="仿宋_GB2312" w:hAnsi="仿宋_GB2312" w:eastAsia="仿宋_GB2312" w:cs="仿宋_GB2312"/>
          <w:sz w:val="32"/>
          <w:szCs w:val="32"/>
          <w:lang w:val="en-US" w:eastAsia="zh-CN"/>
        </w:rPr>
        <w:t>优化外商投资环境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落实国家外商投资准入前国民待遇加负面清单管理制度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不断降低政府采购及招投标成本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加快实施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互联网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政府采购</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落实采购人主体责任并优化监管模式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推进政府采购电子化交易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持续推进招标投标交易全流程电子化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依法建立招标投标领域信用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黑名单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加强劳动保障监察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持续规范企业用工行为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提升人力资源服务水平</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实现人社系统劳动力市场监管全数据共享</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全服务上网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全业务用卡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创新高端人才认定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培养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引进</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流动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评价和激励机制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探索推进义</w:t>
      </w:r>
      <w:r>
        <w:rPr>
          <w:rFonts w:hint="eastAsia" w:ascii="仿宋_GB2312" w:hAnsi="仿宋_GB2312" w:eastAsia="仿宋_GB2312" w:cs="仿宋_GB2312"/>
          <w:sz w:val="32"/>
          <w:szCs w:val="32"/>
          <w:lang w:val="en-US" w:eastAsia="zh-CN"/>
        </w:rPr>
        <w:t>务教育学校招生入学“</w:t>
      </w:r>
      <w:r>
        <w:rPr>
          <w:rFonts w:hint="default" w:ascii="仿宋_GB2312" w:hAnsi="仿宋_GB2312" w:eastAsia="仿宋_GB2312" w:cs="仿宋_GB2312"/>
          <w:sz w:val="32"/>
          <w:szCs w:val="32"/>
          <w:lang w:val="en-US" w:eastAsia="zh-CN"/>
        </w:rPr>
        <w:t>网上办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掌上办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零证明</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。开展行业协会商会、中介、水电气暖、金融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交通物流领域违规收费专项整治</w:t>
      </w:r>
      <w:r>
        <w:rPr>
          <w:rFonts w:hint="eastAsia" w:ascii="仿宋_GB2312" w:hAnsi="仿宋_GB2312" w:eastAsia="仿宋_GB2312" w:cs="仿宋_GB2312"/>
          <w:sz w:val="32"/>
          <w:szCs w:val="32"/>
          <w:lang w:val="en-US" w:eastAsia="zh-CN"/>
        </w:rPr>
        <w:t>，规范</w:t>
      </w:r>
      <w:r>
        <w:rPr>
          <w:rFonts w:hint="default" w:ascii="仿宋_GB2312" w:hAnsi="仿宋_GB2312" w:eastAsia="仿宋_GB2312" w:cs="仿宋_GB2312"/>
          <w:sz w:val="32"/>
          <w:szCs w:val="32"/>
          <w:lang w:val="en-US" w:eastAsia="zh-CN"/>
        </w:rPr>
        <w:t>行业协会发展。盘活存量资产扩大有效投资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支持民营企业发展壮大。</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检验检测机构市场化改革</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楷体_GB2312" w:cs="仿宋_GB2312"/>
          <w:b/>
          <w:bCs/>
          <w:sz w:val="32"/>
          <w:szCs w:val="32"/>
          <w:lang w:eastAsia="zh-CN"/>
        </w:rPr>
      </w:pPr>
      <w:r>
        <w:rPr>
          <w:rFonts w:hint="eastAsia" w:ascii="楷体_GB2312" w:hAnsi="楷体_GB2312" w:eastAsia="楷体_GB2312" w:cs="楷体_GB2312"/>
          <w:b/>
          <w:bCs/>
          <w:sz w:val="32"/>
          <w:szCs w:val="32"/>
        </w:rPr>
        <w:t>（四）提升监管服务创新</w:t>
      </w:r>
      <w:r>
        <w:rPr>
          <w:rFonts w:hint="eastAsia" w:ascii="楷体_GB2312" w:hAnsi="楷体_GB2312" w:eastAsia="楷体_GB2312" w:cs="楷体_GB2312"/>
          <w:b/>
          <w:bCs/>
          <w:sz w:val="32"/>
          <w:szCs w:val="32"/>
          <w:lang w:val="en-US" w:eastAsia="zh-CN"/>
        </w:rPr>
        <w:t>行动</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pacing w:val="0"/>
          <w:w w:val="100"/>
          <w:position w:val="0"/>
          <w:sz w:val="32"/>
          <w:szCs w:val="32"/>
          <w:lang w:val="en-US" w:eastAsia="zh-CN"/>
        </w:rPr>
        <w:t>加大数字政府项目建设力度，促进政务服务数字化，推进政务数据整合，建立眉县特色数字城市评价体系</w:t>
      </w:r>
      <w:r>
        <w:rPr>
          <w:rFonts w:hint="eastAsia" w:ascii="仿宋_GB2312" w:hAnsi="仿宋_GB2312" w:eastAsia="仿宋_GB2312" w:cs="仿宋_GB2312"/>
          <w:b w:val="0"/>
          <w:bCs w:val="0"/>
          <w:color w:val="000000" w:themeColor="text1"/>
          <w:spacing w:val="0"/>
          <w:w w:val="100"/>
          <w:position w:val="0"/>
          <w:sz w:val="32"/>
          <w:szCs w:val="32"/>
          <w:lang w:val="en-US" w:eastAsia="zh-CN"/>
          <w14:textFill>
            <w14:solidFill>
              <w14:schemeClr w14:val="tx1"/>
            </w14:solidFill>
          </w14:textFill>
        </w:rPr>
        <w:t>。</w:t>
      </w:r>
      <w:r>
        <w:rPr>
          <w:rFonts w:hint="default" w:ascii="仿宋_GB2312" w:hAnsi="仿宋_GB2312" w:eastAsia="仿宋_GB2312" w:cs="仿宋_GB2312"/>
          <w:sz w:val="32"/>
          <w:szCs w:val="32"/>
          <w:lang w:val="en-US" w:eastAsia="zh-CN"/>
        </w:rPr>
        <w:t>全面梳理完善监管事项目录清单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双随机、一公开</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检查事项覆盖率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常态化开展联合抽查检查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扎实推进社会信用体系建设</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深化信用分级分类监管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探索推行轻微违法行为首次免罚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沙盒监管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触发式监管等模式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积极探索在安全生产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食品安全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交通运输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生态环境等领域运用现代信息技术实施非现场监管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全覆盖推行行政执法公示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执法全过程记录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重大执法决定法制审核</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三项制度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规范行政处罚行为和行政处罚裁量权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清理调整违反法定权限设定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过罚不当等不合理罚款事项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全面落实公平竞争审查制度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开展反不正当竞争专项执法行动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严厉查处和打击仿冒混淆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虚假宣传等不正当竞争行为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严格落实《工业产品生产许可证管理条例实施办法》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强化获证企业证后监管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加强知识产权保护</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引导创新主体和市场主体提升专利创造质量</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（五）提升政务服务</w:t>
      </w:r>
      <w:r>
        <w:rPr>
          <w:rFonts w:hint="eastAsia" w:ascii="楷体_GB2312" w:hAnsi="楷体_GB2312" w:eastAsia="楷体_GB2312" w:cs="楷体_GB2312"/>
          <w:b/>
          <w:bCs/>
          <w:sz w:val="32"/>
          <w:szCs w:val="32"/>
          <w:lang w:val="en-US" w:eastAsia="zh-CN"/>
        </w:rPr>
        <w:t>行动</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推进政务服务事项清单和实施清单标准化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完善一体化在线政务服务平台功能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深化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一网通办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跨省通办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推动办事需求量大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企业和群众获得感强的多个跨部门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跨层级政务服务事项实现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一件事一次办</w:t>
      </w:r>
      <w:r>
        <w:rPr>
          <w:rFonts w:hint="eastAsia" w:ascii="仿宋_GB2312" w:hAnsi="仿宋_GB2312" w:eastAsia="仿宋_GB2312" w:cs="仿宋_GB2312"/>
          <w:sz w:val="32"/>
          <w:szCs w:val="32"/>
          <w:lang w:val="en-US" w:eastAsia="zh-CN"/>
        </w:rPr>
        <w:t>”。提升政务服务整体效能，县镇村三级政务服务机构实现统一管理，实现更多事项“下沉办、就近办、家门口办”，</w:t>
      </w:r>
      <w:r>
        <w:rPr>
          <w:rFonts w:hint="default" w:ascii="仿宋_GB2312" w:hAnsi="仿宋_GB2312" w:eastAsia="仿宋_GB2312" w:cs="仿宋_GB2312"/>
          <w:sz w:val="32"/>
          <w:szCs w:val="32"/>
          <w:lang w:val="en-US" w:eastAsia="zh-CN"/>
        </w:rPr>
        <w:t>部分事项实行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承诺办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容缺办</w:t>
      </w:r>
      <w:r>
        <w:rPr>
          <w:rFonts w:hint="eastAsia" w:ascii="仿宋_GB2312" w:hAnsi="仿宋_GB2312" w:eastAsia="仿宋_GB2312" w:cs="仿宋_GB2312"/>
          <w:sz w:val="32"/>
          <w:szCs w:val="32"/>
          <w:lang w:val="en-US" w:eastAsia="zh-CN"/>
        </w:rPr>
        <w:t>”。</w:t>
      </w:r>
      <w:r>
        <w:rPr>
          <w:rStyle w:val="21"/>
          <w:rFonts w:hint="eastAsia" w:ascii="仿宋_GB2312" w:hAnsi="仿宋_GB2312" w:eastAsia="仿宋_GB2312" w:cs="仿宋_GB2312"/>
          <w:b w:val="0"/>
          <w:bCs w:val="0"/>
          <w:snapToGrid w:val="0"/>
          <w:color w:val="auto"/>
          <w:kern w:val="0"/>
          <w:sz w:val="32"/>
          <w:szCs w:val="32"/>
          <w:lang w:val="en-US" w:eastAsia="zh-CN"/>
        </w:rPr>
        <w:t>从硬件建设、事项办理、平台互通、制度完善等方面系统化考虑，分阶段打造眉县“环节最少、程序最简、时间最短、服务最优”的“眉”好政务服务品牌。</w:t>
      </w:r>
      <w:r>
        <w:rPr>
          <w:rFonts w:hint="default" w:ascii="仿宋_GB2312" w:hAnsi="仿宋_GB2312" w:eastAsia="仿宋_GB2312" w:cs="仿宋_GB2312"/>
          <w:sz w:val="32"/>
          <w:szCs w:val="32"/>
          <w:lang w:val="en-US" w:eastAsia="zh-CN"/>
        </w:rPr>
        <w:t>政务服务中心实行周末</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延时服务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规范政务服务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好差评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健全评价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整改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反馈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监督全流程政务服务评价机制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加大电子证照汇聚共享力度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拓展电子</w:t>
      </w:r>
      <w:r>
        <w:rPr>
          <w:rFonts w:hint="default" w:ascii="仿宋_GB2312" w:hAnsi="仿宋_GB2312" w:eastAsia="仿宋_GB2312" w:cs="仿宋_GB2312"/>
          <w:color w:val="auto"/>
          <w:sz w:val="32"/>
          <w:szCs w:val="32"/>
          <w:lang w:val="en-US" w:eastAsia="zh-CN"/>
        </w:rPr>
        <w:t>营业执照在市场准入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纳税</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金融</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招投标等高频服务领域应用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健全网上中介超市平台功能</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加强中介机构信用和收费监管工作力度</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持续开展“坐窗口、走流程、跟执法”活动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pacing w:val="0"/>
          <w:w w:val="100"/>
          <w:kern w:val="21"/>
          <w:position w:val="0"/>
          <w:sz w:val="32"/>
          <w:szCs w:val="32"/>
          <w:highlight w:val="none"/>
        </w:rPr>
        <w:t>各</w:t>
      </w:r>
      <w:r>
        <w:rPr>
          <w:rFonts w:hint="eastAsia" w:ascii="仿宋_GB2312" w:hAnsi="仿宋_GB2312" w:eastAsia="仿宋_GB2312" w:cs="仿宋_GB2312"/>
          <w:b w:val="0"/>
          <w:bCs w:val="0"/>
          <w:color w:val="auto"/>
          <w:spacing w:val="0"/>
          <w:w w:val="100"/>
          <w:kern w:val="21"/>
          <w:position w:val="0"/>
          <w:sz w:val="32"/>
          <w:szCs w:val="32"/>
          <w:highlight w:val="none"/>
          <w:lang w:val="en-US" w:eastAsia="zh-CN"/>
        </w:rPr>
        <w:t>镇街</w:t>
      </w:r>
      <w:r>
        <w:rPr>
          <w:rFonts w:hint="eastAsia" w:ascii="仿宋_GB2312" w:hAnsi="仿宋_GB2312" w:eastAsia="仿宋_GB2312" w:cs="仿宋_GB2312"/>
          <w:b w:val="0"/>
          <w:bCs w:val="0"/>
          <w:color w:val="auto"/>
          <w:spacing w:val="0"/>
          <w:w w:val="100"/>
          <w:kern w:val="21"/>
          <w:position w:val="0"/>
          <w:sz w:val="32"/>
          <w:szCs w:val="32"/>
          <w:highlight w:val="none"/>
          <w:lang w:eastAsia="zh-CN"/>
        </w:rPr>
        <w:t>、</w:t>
      </w:r>
      <w:r>
        <w:rPr>
          <w:rFonts w:hint="eastAsia" w:ascii="仿宋_GB2312" w:hAnsi="仿宋_GB2312" w:eastAsia="仿宋_GB2312" w:cs="仿宋_GB2312"/>
          <w:b w:val="0"/>
          <w:bCs w:val="0"/>
          <w:color w:val="auto"/>
          <w:spacing w:val="0"/>
          <w:w w:val="100"/>
          <w:kern w:val="21"/>
          <w:position w:val="0"/>
          <w:sz w:val="32"/>
          <w:szCs w:val="32"/>
          <w:highlight w:val="none"/>
          <w:lang w:val="en-US" w:eastAsia="zh-CN"/>
        </w:rPr>
        <w:t>各园区、各</w:t>
      </w:r>
      <w:r>
        <w:rPr>
          <w:rFonts w:hint="eastAsia" w:ascii="仿宋_GB2312" w:hAnsi="仿宋_GB2312" w:eastAsia="仿宋_GB2312" w:cs="仿宋_GB2312"/>
          <w:b w:val="0"/>
          <w:bCs w:val="0"/>
          <w:color w:val="auto"/>
          <w:spacing w:val="0"/>
          <w:w w:val="100"/>
          <w:kern w:val="21"/>
          <w:position w:val="0"/>
          <w:sz w:val="32"/>
          <w:szCs w:val="32"/>
          <w:highlight w:val="none"/>
        </w:rPr>
        <w:t>部门</w:t>
      </w:r>
      <w:r>
        <w:rPr>
          <w:rFonts w:hint="eastAsia" w:ascii="仿宋_GB2312" w:hAnsi="仿宋_GB2312" w:eastAsia="仿宋_GB2312" w:cs="仿宋_GB2312"/>
          <w:b w:val="0"/>
          <w:bCs w:val="0"/>
          <w:color w:val="auto"/>
          <w:spacing w:val="0"/>
          <w:w w:val="100"/>
          <w:kern w:val="21"/>
          <w:position w:val="0"/>
          <w:sz w:val="32"/>
          <w:szCs w:val="32"/>
          <w:highlight w:val="none"/>
          <w:lang w:eastAsia="zh-CN"/>
        </w:rPr>
        <w:t>“</w:t>
      </w:r>
      <w:r>
        <w:rPr>
          <w:rFonts w:hint="eastAsia" w:ascii="仿宋_GB2312" w:hAnsi="仿宋_GB2312" w:eastAsia="仿宋_GB2312" w:cs="仿宋_GB2312"/>
          <w:b w:val="0"/>
          <w:bCs w:val="0"/>
          <w:color w:val="auto"/>
          <w:spacing w:val="0"/>
          <w:w w:val="100"/>
          <w:kern w:val="21"/>
          <w:position w:val="0"/>
          <w:sz w:val="32"/>
          <w:szCs w:val="32"/>
          <w:highlight w:val="none"/>
          <w:lang w:val="en-US" w:eastAsia="zh-CN"/>
        </w:rPr>
        <w:t>一把手</w:t>
      </w:r>
      <w:r>
        <w:rPr>
          <w:rFonts w:hint="eastAsia" w:ascii="仿宋_GB2312" w:hAnsi="仿宋_GB2312" w:eastAsia="仿宋_GB2312" w:cs="仿宋_GB2312"/>
          <w:b w:val="0"/>
          <w:bCs w:val="0"/>
          <w:color w:val="auto"/>
          <w:spacing w:val="0"/>
          <w:w w:val="100"/>
          <w:kern w:val="21"/>
          <w:position w:val="0"/>
          <w:sz w:val="32"/>
          <w:szCs w:val="32"/>
          <w:highlight w:val="none"/>
          <w:lang w:eastAsia="zh-CN"/>
        </w:rPr>
        <w:t>”</w:t>
      </w:r>
      <w:r>
        <w:rPr>
          <w:rFonts w:hint="eastAsia" w:ascii="仿宋_GB2312" w:hAnsi="仿宋_GB2312" w:eastAsia="仿宋_GB2312" w:cs="仿宋_GB2312"/>
          <w:b w:val="0"/>
          <w:bCs w:val="0"/>
          <w:color w:val="auto"/>
          <w:spacing w:val="0"/>
          <w:w w:val="100"/>
          <w:kern w:val="21"/>
          <w:position w:val="0"/>
          <w:sz w:val="32"/>
          <w:szCs w:val="32"/>
          <w:highlight w:val="none"/>
        </w:rPr>
        <w:t>每</w:t>
      </w:r>
      <w:r>
        <w:rPr>
          <w:rFonts w:hint="eastAsia" w:ascii="仿宋_GB2312" w:hAnsi="仿宋_GB2312" w:eastAsia="仿宋_GB2312" w:cs="仿宋_GB2312"/>
          <w:b w:val="0"/>
          <w:bCs w:val="0"/>
          <w:color w:val="auto"/>
          <w:spacing w:val="0"/>
          <w:w w:val="100"/>
          <w:kern w:val="21"/>
          <w:position w:val="0"/>
          <w:sz w:val="32"/>
          <w:szCs w:val="32"/>
          <w:highlight w:val="none"/>
          <w:lang w:val="en-US" w:eastAsia="zh-CN"/>
        </w:rPr>
        <w:t>半年</w:t>
      </w:r>
      <w:r>
        <w:rPr>
          <w:rFonts w:hint="eastAsia" w:ascii="仿宋_GB2312" w:hAnsi="仿宋_GB2312" w:eastAsia="仿宋_GB2312" w:cs="仿宋_GB2312"/>
          <w:b w:val="0"/>
          <w:bCs w:val="0"/>
          <w:color w:val="auto"/>
          <w:spacing w:val="0"/>
          <w:w w:val="100"/>
          <w:kern w:val="21"/>
          <w:position w:val="0"/>
          <w:sz w:val="32"/>
          <w:szCs w:val="32"/>
          <w:highlight w:val="none"/>
        </w:rPr>
        <w:t>至少参加1次活动</w:t>
      </w:r>
      <w:r>
        <w:rPr>
          <w:rFonts w:hint="eastAsia" w:ascii="仿宋_GB2312" w:hAnsi="仿宋_GB2312" w:eastAsia="仿宋_GB2312" w:cs="仿宋_GB2312"/>
          <w:b w:val="0"/>
          <w:bCs w:val="0"/>
          <w:color w:val="auto"/>
          <w:spacing w:val="0"/>
          <w:w w:val="100"/>
          <w:kern w:val="21"/>
          <w:position w:val="0"/>
          <w:sz w:val="32"/>
          <w:szCs w:val="32"/>
          <w:highlight w:val="none"/>
          <w:lang w:eastAsia="zh-CN"/>
        </w:rPr>
        <w:t>。加强典型经验复制推广，</w:t>
      </w:r>
      <w:r>
        <w:rPr>
          <w:rFonts w:hint="eastAsia" w:ascii="仿宋_GB2312" w:hAnsi="仿宋_GB2312" w:eastAsia="仿宋_GB2312" w:cs="仿宋_GB2312"/>
          <w:color w:val="auto"/>
          <w:spacing w:val="0"/>
          <w:w w:val="100"/>
          <w:position w:val="0"/>
          <w:sz w:val="32"/>
          <w:szCs w:val="32"/>
        </w:rPr>
        <w:t>用好</w:t>
      </w:r>
      <w:r>
        <w:rPr>
          <w:rFonts w:hint="eastAsia" w:ascii="仿宋_GB2312" w:hAnsi="仿宋_GB2312" w:eastAsia="仿宋_GB2312" w:cs="仿宋_GB2312"/>
          <w:color w:val="auto"/>
          <w:spacing w:val="0"/>
          <w:w w:val="100"/>
          <w:position w:val="0"/>
          <w:sz w:val="32"/>
          <w:szCs w:val="32"/>
          <w:lang w:val="en-US" w:eastAsia="zh-CN"/>
        </w:rPr>
        <w:t>2022年</w:t>
      </w:r>
      <w:r>
        <w:rPr>
          <w:rFonts w:hint="eastAsia" w:ascii="仿宋_GB2312" w:hAnsi="仿宋_GB2312" w:eastAsia="仿宋_GB2312" w:cs="仿宋_GB2312"/>
          <w:color w:val="auto"/>
          <w:spacing w:val="0"/>
          <w:w w:val="100"/>
          <w:position w:val="0"/>
          <w:sz w:val="32"/>
          <w:szCs w:val="32"/>
        </w:rPr>
        <w:t>评价结果</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sz w:val="32"/>
          <w:szCs w:val="32"/>
          <w:lang w:val="en-US" w:eastAsia="zh-CN"/>
        </w:rPr>
        <w:t>持续优化全县营商环境</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力争创建成为省级</w:t>
      </w:r>
      <w:r>
        <w:rPr>
          <w:rFonts w:hint="eastAsia" w:ascii="仿宋_GB2312" w:hAnsi="仿宋_GB2312" w:eastAsia="仿宋_GB2312" w:cs="仿宋_GB2312"/>
          <w:color w:val="auto"/>
          <w:spacing w:val="0"/>
          <w:w w:val="100"/>
          <w:position w:val="0"/>
          <w:sz w:val="32"/>
          <w:szCs w:val="32"/>
        </w:rPr>
        <w:t>营商环境创新示范区。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（六）提升政策法规保障行动</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eastAsia="仿宋_GB2312"/>
          <w:lang w:eastAsia="zh-CN"/>
        </w:rPr>
      </w:pPr>
      <w:r>
        <w:rPr>
          <w:rFonts w:hint="default" w:ascii="仿宋_GB2312" w:hAnsi="仿宋_GB2312" w:eastAsia="仿宋_GB2312" w:cs="仿宋_GB2312"/>
          <w:sz w:val="32"/>
          <w:szCs w:val="32"/>
          <w:lang w:val="en-US" w:eastAsia="zh-CN"/>
        </w:rPr>
        <w:t>深入贯彻落实《优化营商环境条例》</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及时开展条例落实情况督导检查。继续抓好集中治理拖欠市场主体账款行为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加大清偿存量欠款工作力度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建立健全政府部门与市场主体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行业协会商会常态化沟通机制和重大政策评估评价制度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重大涉企政策出台前应充分听取相关企业意见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畅通投诉举报渠道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健全工作推进机制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加强营商环境问题线索转办督办</w:t>
      </w:r>
      <w:r>
        <w:rPr>
          <w:rFonts w:hint="eastAsia" w:ascii="仿宋_GB2312" w:hAnsi="仿宋_GB2312" w:eastAsia="仿宋_GB2312" w:cs="仿宋_GB2312"/>
          <w:sz w:val="32"/>
          <w:szCs w:val="32"/>
          <w:lang w:val="en-US" w:eastAsia="zh-CN"/>
        </w:rPr>
        <w:t>。聘任第二届</w:t>
      </w:r>
      <w:r>
        <w:rPr>
          <w:rFonts w:hint="default" w:ascii="仿宋_GB2312" w:hAnsi="仿宋_GB2312" w:eastAsia="仿宋_GB2312" w:cs="仿宋_GB2312"/>
          <w:sz w:val="32"/>
          <w:szCs w:val="32"/>
          <w:lang w:val="en-US" w:eastAsia="zh-CN"/>
        </w:rPr>
        <w:t>营商环境特约监督员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在惠企便民政策落实</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行政审批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执法检查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行业风气等方面组织开展重点监督</w:t>
      </w:r>
      <w:r>
        <w:rPr>
          <w:rFonts w:hint="eastAsia" w:ascii="仿宋_GB2312" w:hAnsi="仿宋_GB2312" w:eastAsia="仿宋_GB2312" w:cs="仿宋_GB2312"/>
          <w:sz w:val="32"/>
          <w:szCs w:val="32"/>
          <w:lang w:val="en-US" w:eastAsia="zh-CN"/>
        </w:rPr>
        <w:t>。做好</w:t>
      </w:r>
      <w:r>
        <w:rPr>
          <w:rFonts w:hint="default" w:ascii="仿宋_GB2312" w:hAnsi="仿宋_GB2312" w:eastAsia="仿宋_GB2312" w:cs="仿宋_GB2312"/>
          <w:sz w:val="32"/>
          <w:szCs w:val="32"/>
          <w:lang w:val="en-US" w:eastAsia="zh-CN"/>
        </w:rPr>
        <w:t>“有问必应、接诉即办”</w:t>
      </w:r>
      <w:r>
        <w:rPr>
          <w:rFonts w:hint="eastAsia" w:ascii="仿宋_GB2312" w:hAnsi="仿宋_GB2312" w:eastAsia="仿宋_GB2312" w:cs="仿宋_GB2312"/>
          <w:sz w:val="32"/>
          <w:szCs w:val="32"/>
          <w:lang w:val="en-US" w:eastAsia="zh-CN"/>
        </w:rPr>
        <w:t>工单办理，</w:t>
      </w:r>
      <w:r>
        <w:rPr>
          <w:rFonts w:hint="default" w:ascii="仿宋_GB2312" w:hAnsi="仿宋_GB2312" w:eastAsia="仿宋_GB2312" w:cs="仿宋_GB2312"/>
          <w:sz w:val="32"/>
          <w:szCs w:val="32"/>
          <w:lang w:val="en-US" w:eastAsia="zh-CN"/>
        </w:rPr>
        <w:t>用好“陕企通”等统一政策发布平台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及时准确推送信息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开展政策落实障碍清理行动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认真梳理涉及市场主体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引进项目的各项优惠政策</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加强政策宣传解读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编制清单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精准推送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及时兑现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加快市场主体数据库建</w:t>
      </w:r>
      <w:r>
        <w:rPr>
          <w:rFonts w:hint="default" w:ascii="仿宋_GB2312" w:hAnsi="仿宋_GB2312" w:eastAsia="仿宋_GB2312" w:cs="仿宋_GB2312"/>
          <w:spacing w:val="-6"/>
          <w:sz w:val="32"/>
          <w:szCs w:val="32"/>
          <w:lang w:val="en-US" w:eastAsia="zh-CN"/>
        </w:rPr>
        <w:t>设</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推进惠企政策“免申即享”</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变</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企业找政策</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为</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政策找企业</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。深入开展营商环境突出问题专项治理</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紧盯普遍存在的</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反映强烈的</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治而未绝的突出问题</w:t>
      </w:r>
      <w:r>
        <w:rPr>
          <w:rFonts w:hint="eastAsia" w:ascii="仿宋_GB2312" w:hAnsi="仿宋_GB2312" w:eastAsia="仿宋_GB2312" w:cs="仿宋_GB2312"/>
          <w:spacing w:val="-6"/>
          <w:sz w:val="32"/>
          <w:szCs w:val="32"/>
          <w:lang w:val="en-US" w:eastAsia="zh-CN"/>
        </w:rPr>
        <w:t>，</w:t>
      </w:r>
      <w:r>
        <w:rPr>
          <w:rFonts w:hint="default" w:ascii="仿宋_GB2312" w:hAnsi="仿宋_GB2312" w:eastAsia="仿宋_GB2312" w:cs="仿宋_GB2312"/>
          <w:spacing w:val="-6"/>
          <w:sz w:val="32"/>
          <w:szCs w:val="32"/>
          <w:lang w:val="en-US" w:eastAsia="zh-CN"/>
        </w:rPr>
        <w:t>持续加大专项治理力度</w:t>
      </w:r>
      <w:r>
        <w:rPr>
          <w:rFonts w:hint="eastAsia" w:ascii="仿宋_GB2312" w:hAnsi="仿宋_GB2312" w:eastAsia="仿宋_GB2312" w:cs="仿宋_GB2312"/>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三、保障措施</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（一）加强组织领导，做好统筹协调。</w:t>
      </w:r>
      <w:r>
        <w:rPr>
          <w:rFonts w:hint="eastAsia" w:ascii="仿宋_GB2312" w:hAnsi="仿宋_GB2312" w:eastAsia="仿宋_GB2312" w:cs="仿宋_GB2312"/>
          <w:color w:val="auto"/>
          <w:sz w:val="32"/>
          <w:szCs w:val="32"/>
          <w:lang w:val="en-US" w:eastAsia="zh-CN"/>
        </w:rPr>
        <w:t>成立县营商环境突破年工作专班统筹推进有关工作，</w:t>
      </w:r>
      <w:r>
        <w:rPr>
          <w:rFonts w:hint="eastAsia" w:ascii="仿宋_GB2312" w:hAnsi="仿宋_GB2312" w:eastAsia="仿宋_GB2312" w:cs="仿宋_GB2312"/>
          <w:spacing w:val="0"/>
          <w:kern w:val="21"/>
          <w:position w:val="0"/>
          <w:sz w:val="32"/>
          <w:szCs w:val="32"/>
        </w:rPr>
        <w:t>协调解决工作中的重点问题、研究部署重点任务突破方向。</w:t>
      </w:r>
      <w:r>
        <w:rPr>
          <w:rFonts w:hint="eastAsia" w:ascii="仿宋_GB2312" w:hAnsi="仿宋_GB2312" w:eastAsia="仿宋_GB2312" w:cs="仿宋_GB2312"/>
          <w:color w:val="auto"/>
          <w:sz w:val="32"/>
          <w:szCs w:val="32"/>
          <w:lang w:val="en-US" w:eastAsia="zh-CN"/>
        </w:rPr>
        <w:t>各任务牵头单位要切实发挥牵头作用，加强工作调度，健全工作机制，敢于突破制度性藩篱，会同责任单位聚焦重点工作，抓具体、抓攻坚，全力推动各项工作任务保质保量完成。各责任部门要结合各自职责，加强协同配合，积极担当作为，扎实做好本职工作。</w:t>
      </w:r>
      <w:r>
        <w:rPr>
          <w:rFonts w:hint="eastAsia" w:ascii="仿宋_GB2312" w:hAnsi="仿宋_GB2312" w:eastAsia="仿宋_GB2312" w:cs="仿宋_GB2312"/>
          <w:color w:val="auto"/>
          <w:spacing w:val="0"/>
          <w:w w:val="100"/>
          <w:kern w:val="21"/>
          <w:position w:val="0"/>
          <w:sz w:val="32"/>
          <w:szCs w:val="32"/>
          <w:highlight w:val="none"/>
        </w:rPr>
        <w:t>各</w:t>
      </w:r>
      <w:r>
        <w:rPr>
          <w:rFonts w:hint="eastAsia" w:ascii="仿宋_GB2312" w:hAnsi="仿宋_GB2312" w:eastAsia="仿宋_GB2312" w:cs="仿宋_GB2312"/>
          <w:color w:val="auto"/>
          <w:spacing w:val="0"/>
          <w:w w:val="100"/>
          <w:kern w:val="21"/>
          <w:position w:val="0"/>
          <w:sz w:val="32"/>
          <w:szCs w:val="32"/>
          <w:highlight w:val="none"/>
          <w:lang w:val="en-US" w:eastAsia="zh-CN"/>
        </w:rPr>
        <w:t>镇街、各园区</w:t>
      </w:r>
      <w:r>
        <w:rPr>
          <w:rFonts w:hint="eastAsia" w:ascii="仿宋_GB2312" w:hAnsi="仿宋_GB2312" w:eastAsia="仿宋_GB2312" w:cs="仿宋_GB2312"/>
          <w:color w:val="auto"/>
          <w:spacing w:val="0"/>
          <w:w w:val="100"/>
          <w:kern w:val="21"/>
          <w:position w:val="0"/>
          <w:sz w:val="32"/>
          <w:szCs w:val="32"/>
          <w:highlight w:val="none"/>
        </w:rPr>
        <w:t>要加强组织协调和实施保障，确保各项任务圆满完成。</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（二）完善工作机制，推动任务落实</w:t>
      </w:r>
      <w:r>
        <w:rPr>
          <w:rFonts w:hint="eastAsia" w:ascii="楷体_GB2312" w:hAnsi="楷体_GB2312" w:eastAsia="楷体_GB2312" w:cs="楷体_GB2312"/>
          <w:color w:val="auto"/>
          <w:sz w:val="32"/>
          <w:szCs w:val="32"/>
          <w:lang w:val="en-US" w:eastAsia="zh-CN"/>
        </w:rPr>
        <w:t>。</w:t>
      </w:r>
      <w:r>
        <w:rPr>
          <w:rFonts w:hint="eastAsia" w:ascii="仿宋_GB2312" w:hAnsi="仿宋_GB2312" w:eastAsia="仿宋_GB2312" w:cs="仿宋_GB2312"/>
          <w:color w:val="auto"/>
          <w:sz w:val="32"/>
          <w:szCs w:val="32"/>
          <w:lang w:val="en-US" w:eastAsia="zh-CN"/>
        </w:rPr>
        <w:t>建立专题会议和季度点评机制。工作专班每月召开1次汇报会，</w:t>
      </w:r>
      <w:r>
        <w:rPr>
          <w:rFonts w:hint="default" w:ascii="仿宋_GB2312" w:hAnsi="仿宋_GB2312" w:eastAsia="仿宋_GB2312" w:cs="仿宋_GB2312"/>
          <w:color w:val="auto"/>
          <w:sz w:val="32"/>
          <w:szCs w:val="32"/>
          <w:lang w:val="en-US" w:eastAsia="zh-CN"/>
        </w:rPr>
        <w:t>每季度召开</w:t>
      </w: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营商环境突破年专题会议</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统筹推进有关工作</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协调解决重点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研究部署重点任务</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并对各</w:t>
      </w:r>
      <w:r>
        <w:rPr>
          <w:rFonts w:hint="eastAsia" w:ascii="仿宋_GB2312" w:hAnsi="仿宋_GB2312" w:eastAsia="仿宋_GB2312" w:cs="仿宋_GB2312"/>
          <w:color w:val="auto"/>
          <w:sz w:val="32"/>
          <w:szCs w:val="32"/>
          <w:lang w:val="en-US" w:eastAsia="zh-CN"/>
        </w:rPr>
        <w:t>镇街</w:t>
      </w:r>
      <w:r>
        <w:rPr>
          <w:rFonts w:hint="default" w:ascii="仿宋_GB2312" w:hAnsi="仿宋_GB2312" w:eastAsia="仿宋_GB2312" w:cs="仿宋_GB2312"/>
          <w:color w:val="auto"/>
          <w:sz w:val="32"/>
          <w:szCs w:val="32"/>
          <w:lang w:val="en-US" w:eastAsia="zh-CN"/>
        </w:rPr>
        <w:t>各部门各单位优化营商环境工作进行点评</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挖掘特色亮点</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复制推广成熟做法</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建立督导监测机制</w:t>
      </w:r>
      <w:r>
        <w:rPr>
          <w:rFonts w:hint="eastAsia" w:ascii="仿宋_GB2312" w:hAnsi="仿宋_GB2312" w:eastAsia="仿宋_GB2312" w:cs="仿宋_GB2312"/>
          <w:color w:val="auto"/>
          <w:sz w:val="32"/>
          <w:szCs w:val="32"/>
          <w:lang w:val="en-US" w:eastAsia="zh-CN"/>
        </w:rPr>
        <w:t>。县职转和营商办要联合县纪委、县政府督查室</w:t>
      </w:r>
      <w:r>
        <w:rPr>
          <w:rFonts w:hint="default" w:ascii="仿宋_GB2312" w:hAnsi="仿宋_GB2312" w:eastAsia="仿宋_GB2312" w:cs="仿宋_GB2312"/>
          <w:color w:val="auto"/>
          <w:sz w:val="32"/>
          <w:szCs w:val="32"/>
          <w:lang w:val="en-US" w:eastAsia="zh-CN"/>
        </w:rPr>
        <w:t>加强营商环境突破年各项任务督导</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实行项目化管理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清单化落实</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按季度通报监测结果</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健全复制推广机制</w:t>
      </w:r>
      <w:r>
        <w:rPr>
          <w:rFonts w:hint="eastAsia" w:ascii="仿宋_GB2312" w:hAnsi="仿宋_GB2312" w:eastAsia="仿宋_GB2312" w:cs="仿宋_GB2312"/>
          <w:color w:val="auto"/>
          <w:sz w:val="32"/>
          <w:szCs w:val="32"/>
          <w:lang w:val="en-US" w:eastAsia="zh-CN"/>
        </w:rPr>
        <w:t>。专班</w:t>
      </w:r>
      <w:r>
        <w:rPr>
          <w:rFonts w:hint="default" w:ascii="仿宋_GB2312" w:hAnsi="仿宋_GB2312" w:eastAsia="仿宋_GB2312" w:cs="仿宋_GB2312"/>
          <w:color w:val="auto"/>
          <w:sz w:val="32"/>
          <w:szCs w:val="32"/>
          <w:lang w:val="en-US" w:eastAsia="zh-CN"/>
        </w:rPr>
        <w:t>办公室组织各</w:t>
      </w:r>
      <w:r>
        <w:rPr>
          <w:rFonts w:hint="eastAsia" w:ascii="仿宋_GB2312" w:hAnsi="仿宋_GB2312" w:eastAsia="仿宋_GB2312" w:cs="仿宋_GB2312"/>
          <w:color w:val="auto"/>
          <w:sz w:val="32"/>
          <w:szCs w:val="32"/>
          <w:lang w:val="en-US" w:eastAsia="zh-CN"/>
        </w:rPr>
        <w:t>镇街、各园区、</w:t>
      </w:r>
      <w:r>
        <w:rPr>
          <w:rFonts w:hint="default" w:ascii="仿宋_GB2312" w:hAnsi="仿宋_GB2312" w:eastAsia="仿宋_GB2312" w:cs="仿宋_GB2312"/>
          <w:color w:val="auto"/>
          <w:sz w:val="32"/>
          <w:szCs w:val="32"/>
          <w:lang w:val="en-US" w:eastAsia="zh-CN"/>
        </w:rPr>
        <w:t>各部门分批次开展多种形式的培训</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调研</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学习活动</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加强对全国</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全省营商环境典型经验的学习借鉴和复制推广,探索形成符合我</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实际的改革创新做法。</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00B050"/>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（三）积极宣传引导，营造良好氛围。</w:t>
      </w:r>
      <w:r>
        <w:rPr>
          <w:rFonts w:hint="eastAsia" w:ascii="仿宋_GB2312" w:hAnsi="仿宋_GB2312" w:eastAsia="仿宋_GB2312" w:cs="仿宋_GB2312"/>
          <w:color w:val="auto"/>
          <w:sz w:val="32"/>
          <w:szCs w:val="32"/>
          <w:lang w:val="en-US" w:eastAsia="zh-CN"/>
        </w:rPr>
        <w:t>县委宣传部、突破年工作专班要积极组织各镇街、各园区、各部门、行业协会、新闻媒体等共同发力，扎实开展《优化营商环境条例》及营商环境突破年工作宣传，及时向各级媒体推送改革成果和典型经验，通过刊发简报、开设专栏等方式，全方位、多角度向社会展示我县营商环境的新举措、新成效，营造“人人都是营商环境、个个都是开放形象”的浓厚氛围。</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（四）强化考核评价，确保工作实效。</w:t>
      </w:r>
      <w:r>
        <w:rPr>
          <w:rFonts w:hint="eastAsia" w:ascii="仿宋_GB2312" w:hAnsi="仿宋_GB2312" w:eastAsia="仿宋_GB2312" w:cs="仿宋_GB2312"/>
          <w:snapToGrid w:val="0"/>
          <w:color w:val="auto"/>
          <w:spacing w:val="0"/>
          <w:kern w:val="21"/>
          <w:sz w:val="32"/>
          <w:szCs w:val="32"/>
          <w:highlight w:val="none"/>
          <w:shd w:val="clear" w:color="auto" w:fill="FFFFFF"/>
        </w:rPr>
        <w:t>充分发挥考核正向激励作用，将营商环境突破年各项工作任务落实情况纳入营商环境专项考核，以真考实核推动</w:t>
      </w:r>
      <w:r>
        <w:rPr>
          <w:rFonts w:hint="eastAsia" w:ascii="仿宋_GB2312" w:hAnsi="仿宋_GB2312" w:eastAsia="仿宋_GB2312" w:cs="仿宋_GB2312"/>
          <w:snapToGrid w:val="0"/>
          <w:color w:val="auto"/>
          <w:spacing w:val="0"/>
          <w:kern w:val="21"/>
          <w:sz w:val="32"/>
          <w:szCs w:val="32"/>
          <w:highlight w:val="none"/>
          <w:shd w:val="clear" w:color="auto" w:fill="FFFFFF"/>
          <w:lang w:val="en-US" w:eastAsia="zh-CN"/>
        </w:rPr>
        <w:t>工作</w:t>
      </w:r>
      <w:r>
        <w:rPr>
          <w:rFonts w:hint="eastAsia" w:ascii="仿宋_GB2312" w:hAnsi="仿宋_GB2312" w:eastAsia="仿宋_GB2312" w:cs="仿宋_GB2312"/>
          <w:snapToGrid w:val="0"/>
          <w:color w:val="auto"/>
          <w:spacing w:val="0"/>
          <w:kern w:val="21"/>
          <w:sz w:val="32"/>
          <w:szCs w:val="32"/>
          <w:highlight w:val="none"/>
          <w:shd w:val="clear" w:color="auto" w:fill="FFFFFF"/>
        </w:rPr>
        <w:t>落到实处、取得实效。</w:t>
      </w:r>
      <w:r>
        <w:rPr>
          <w:rFonts w:hint="eastAsia" w:ascii="仿宋_GB2312" w:hAnsi="仿宋_GB2312" w:eastAsia="仿宋_GB2312" w:cs="仿宋_GB2312"/>
          <w:snapToGrid w:val="0"/>
          <w:color w:val="auto"/>
          <w:spacing w:val="0"/>
          <w:kern w:val="21"/>
          <w:sz w:val="32"/>
          <w:szCs w:val="32"/>
          <w:highlight w:val="none"/>
          <w:shd w:val="clear" w:color="auto" w:fill="FFFFFF"/>
          <w:lang w:val="en-US" w:eastAsia="zh-CN"/>
        </w:rPr>
        <w:t>健全完善全省营商环境评价、市场主体满意度评价参评工作体系，努力实现以评促改、以评促建、以评促优的工作目标。</w:t>
      </w:r>
      <w:r>
        <w:rPr>
          <w:rFonts w:hint="eastAsia" w:ascii="仿宋_GB2312" w:hAnsi="仿宋_GB2312" w:eastAsia="仿宋_GB2312" w:cs="仿宋_GB2312"/>
          <w:color w:val="auto"/>
          <w:sz w:val="32"/>
          <w:szCs w:val="32"/>
          <w:lang w:val="en-US" w:eastAsia="zh-CN"/>
        </w:rPr>
        <w:t>各镇街、各园区、各牵头单位确定1名分管领导、1名联络员于3月底前报县职转和营商办，每月10日前报送相关工作进展情况（邮箱：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"mailto:lyxzfysb@163.com）。"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mx5542309@163.com）。</w:t>
      </w:r>
      <w:r>
        <w:rPr>
          <w:rFonts w:hint="eastAsia" w:ascii="仿宋_GB2312" w:hAnsi="仿宋_GB2312" w:eastAsia="仿宋_GB2312" w:cs="仿宋_GB2312"/>
          <w:color w:val="auto"/>
          <w:sz w:val="32"/>
          <w:szCs w:val="32"/>
          <w:lang w:val="en-US" w:eastAsia="zh-CN"/>
        </w:rPr>
        <w:fldChar w:fldCharType="end"/>
      </w:r>
    </w:p>
    <w:p>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 营商环境突破年重点任务清单</w:t>
      </w:r>
    </w:p>
    <w:p>
      <w:pPr>
        <w:pStyle w:val="6"/>
        <w:keepNext w:val="0"/>
        <w:keepLines w:val="0"/>
        <w:pageBreakBefore w:val="0"/>
        <w:widowControl w:val="0"/>
        <w:tabs>
          <w:tab w:val="right" w:pos="8091"/>
        </w:tabs>
        <w:kinsoku/>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1701" w:right="1474" w:bottom="1587" w:left="1701" w:header="992" w:footer="992" w:gutter="0"/>
          <w:pgNumType w:fmt="numberInDash"/>
          <w:cols w:space="0" w:num="1"/>
          <w:rtlGutter w:val="0"/>
          <w:docGrid w:type="lines" w:linePitch="312" w:charSpace="0"/>
        </w:sectPr>
      </w:pPr>
      <w:r>
        <w:rPr>
          <w:rFonts w:hint="eastAsia" w:ascii="仿宋_GB2312" w:hAnsi="仿宋_GB2312" w:eastAsia="仿宋_GB2312" w:cs="仿宋_GB2312"/>
          <w:color w:val="auto"/>
          <w:sz w:val="32"/>
          <w:szCs w:val="32"/>
          <w:lang w:val="en-US" w:eastAsia="zh-CN"/>
        </w:rPr>
        <w:t xml:space="preserve">      2. 营商环境突破年特色任务清单</w:t>
      </w:r>
    </w:p>
    <w:p>
      <w:pPr>
        <w:pStyle w:val="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pStyle w:val="6"/>
        <w:keepNext w:val="0"/>
        <w:keepLines w:val="0"/>
        <w:pageBreakBefore w:val="0"/>
        <w:widowControl w:val="0"/>
        <w:kinsoku/>
        <w:wordWrap/>
        <w:overflowPunct/>
        <w:topLinePunct w:val="0"/>
        <w:autoSpaceDE/>
        <w:autoSpaceDN/>
        <w:bidi w:val="0"/>
        <w:adjustRightInd/>
        <w:snapToGrid/>
        <w:spacing w:line="600" w:lineRule="exact"/>
        <w:ind w:left="859" w:leftChars="409" w:firstLine="3080" w:firstLineChars="700"/>
        <w:jc w:val="both"/>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营商环境突破年重点任务清单</w:t>
      </w:r>
    </w:p>
    <w:tbl>
      <w:tblPr>
        <w:tblStyle w:val="13"/>
        <w:tblpPr w:leftFromText="180" w:rightFromText="180" w:vertAnchor="text" w:horzAnchor="page" w:tblpX="1499" w:tblpY="587"/>
        <w:tblOverlap w:val="never"/>
        <w:tblW w:w="138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15"/>
        <w:gridCol w:w="6749"/>
        <w:gridCol w:w="1300"/>
        <w:gridCol w:w="1151"/>
        <w:gridCol w:w="25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40" w:hRule="atLeast"/>
          <w:tblHeader/>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改革措施</w:t>
            </w:r>
          </w:p>
        </w:tc>
        <w:tc>
          <w:tcPr>
            <w:tcW w:w="67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任务要求</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包抓领导</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牵头单位</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责任单位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6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优化企业</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开办</w:t>
            </w:r>
          </w:p>
        </w:tc>
        <w:tc>
          <w:tcPr>
            <w:tcW w:w="67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05" w:rightChars="-5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贯彻落实《市场主体登记管理条例》和相关实施细则，稳步推进内资企业设立、变更登记网上办。落实市场主体歇业制度，制定歇业申请备案、终止歇业公示和恢复营业操作流程图。推进单位参保登记和员工参保登记“一网通办”，实现企业开办1个工作日以内办结。</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县公安局、县人社局、县税务局、县市场监管局、县医保局、县人民银行、县住房公积金管理中心等部门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909"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方便企业</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注销</w:t>
            </w:r>
          </w:p>
        </w:tc>
        <w:tc>
          <w:tcPr>
            <w:tcW w:w="67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05" w:rightChars="-5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强市场监管、税务等部门协同，完善企业注销指引，提供操作性指导。按照省市指导，做好多年吊销未注销市场主体实行强制注销工作，公布强制注销操作流程。进一步精简企业注销社保登记申请材料，加快推进企业注销“一网通办”，实现企业注销1个工作日以内办结。</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县公安局、县人社局、县税务局、县市场监管局、县医保局、县人民银行、县住房公积金管理中心等部门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2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开展“一照多址”改革</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进企业登记信息变更便利化。出台“一照多址”改革实施方案，除直接涉及公共安全和人民群众生命健康的领域外,对于市场主体在住所以外开展经营活动，属于同一县级登记机关管辖的,允许在营业执照上加载新设立住所（经营场所）的地址，免于分支机构登记，实现“一张营业执照，多个经营地址”。</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县公安局、县税务局、县市场监管局等部门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提升获得水电气能力</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快政企协同办电共享平台建设，加强用电报装信息管理系统的横向联通，实现居民“刷脸办”、企业“一证办”。年底前全面实现160千瓦及以下小微企业“三零”服务城乡全覆盖，全过程办电时间压减至12个工作日。加强薄弱地区配电网规划建设，县城区、镇区、村组用户年均停电时间分别压减至5、9、15个小时以内。用水报装时限压缩至7个工作日，故障维修响应压减至1个小时；无外线施工用气报装压减至3个工作日，小型外线用气报装压减至10个工作日。</w:t>
            </w:r>
          </w:p>
        </w:tc>
        <w:tc>
          <w:tcPr>
            <w:tcW w:w="1300" w:type="dxa"/>
            <w:tcBorders>
              <w:tl2br w:val="nil"/>
              <w:tr2bl w:val="nil"/>
            </w:tcBorders>
            <w:vAlign w:val="center"/>
          </w:tcPr>
          <w:p>
            <w:pPr>
              <w:pStyle w:val="2"/>
              <w:keepNext w:val="0"/>
              <w:keepLines w:val="0"/>
              <w:pageBreakBefore w:val="0"/>
              <w:widowControl w:val="0"/>
              <w:kinsoku/>
              <w:wordWrap/>
              <w:overflowPunct/>
              <w:autoSpaceDN/>
              <w:bidi w:val="0"/>
              <w:adjustRightInd/>
              <w:snapToGrid/>
              <w:spacing w:line="300" w:lineRule="exact"/>
              <w:ind w:left="0" w:leftChars="0" w:firstLine="0" w:firstLineChars="0"/>
              <w:jc w:val="center"/>
              <w:outlineLvl w:val="9"/>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王富强</w:t>
            </w:r>
          </w:p>
          <w:p>
            <w:pPr>
              <w:pStyle w:val="2"/>
              <w:keepNext w:val="0"/>
              <w:keepLines w:val="0"/>
              <w:pageBreakBefore w:val="0"/>
              <w:widowControl w:val="0"/>
              <w:kinsoku/>
              <w:wordWrap/>
              <w:overflowPunct/>
              <w:autoSpaceDN/>
              <w:bidi w:val="0"/>
              <w:adjustRightInd/>
              <w:snapToGrid/>
              <w:spacing w:line="300" w:lineRule="exact"/>
              <w:ind w:left="0" w:leftChars="0" w:firstLine="0" w:firstLineChars="0"/>
              <w:jc w:val="center"/>
              <w:outlineLvl w:val="9"/>
              <w:rPr>
                <w:rFonts w:hint="eastAsia"/>
                <w:lang w:val="en-US" w:eastAsia="zh-CN"/>
              </w:rPr>
            </w:pPr>
            <w:r>
              <w:rPr>
                <w:rFonts w:hint="eastAsia" w:ascii="仿宋_GB2312" w:hAnsi="仿宋_GB2312" w:eastAsia="仿宋_GB2312" w:cs="仿宋_GB2312"/>
                <w:b w:val="0"/>
                <w:bCs w:val="0"/>
                <w:color w:val="auto"/>
                <w:kern w:val="2"/>
                <w:sz w:val="24"/>
                <w:szCs w:val="24"/>
                <w:vertAlign w:val="baseline"/>
                <w:lang w:val="en-US" w:eastAsia="zh-CN" w:bidi="ar-SA"/>
              </w:rPr>
              <w:t>祁亚军</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县水利局</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县住建局</w:t>
            </w:r>
          </w:p>
          <w:p>
            <w:pPr>
              <w:keepNext w:val="0"/>
              <w:keepLines w:val="0"/>
              <w:pageBreakBefore w:val="0"/>
              <w:widowControl w:val="0"/>
              <w:kinsoku/>
              <w:wordWrap/>
              <w:overflowPunct/>
              <w:topLinePunct w:val="0"/>
              <w:autoSpaceDE/>
              <w:autoSpaceDN/>
              <w:bidi w:val="0"/>
              <w:adjustRightInd/>
              <w:snapToGrid/>
              <w:spacing w:line="240" w:lineRule="atLeast"/>
              <w:ind w:right="-105" w:rightChars="-50"/>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供电公司</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县自然资源局、县行政审批局、县自来水公司、中燃宝鸡分公司、华通天然气公司等单位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0"/>
                <w:sz w:val="24"/>
                <w:szCs w:val="24"/>
                <w:vertAlign w:val="baseline"/>
                <w:lang w:val="en-US" w:eastAsia="zh-CN"/>
              </w:rPr>
              <w:t>推行水电气暖工程涉及行政审批在线并联办理</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实现工程建设项目审批平台与水电气暖系统互联互通，对供电、供水、供气、供暖等市政接入工程涉及的建设工程规划许可、绿化许可、涉路施工许可等实行全流程在线并联办理，对符合条件的市政接入工程审批实行告知承诺管理。</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县住建局、县自然资源局、县公安局、县城管执法局、县自来水公司、中燃宝鸡分公司、华通天然气公司等单位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5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优化办税缴费服务</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行全业务、分时点预约办税，扩大跨区域涉税业务通办范围，新办纳税人实行“套餐式”服务，推出办税“容缺办理”事项清单，推广自助办税服务。探索关联税费种的综合申报，进一步优化企业办税流程。年内实现95%税费服务事项“网上办”，企业年均纳税时间压减到70个小时。</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县税务局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07"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加大电子发票推广使用力度</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动“税企直连”，推广网上办税系统与企业财务软件的直连互通，实现电子发票无纸化报销、入账、归档、存储等。扎实开展便民办税春风行动，创新智能咨询方式，加强涉税信息共享互通，大力推行发票网上申领，让纳税人享受“网上申请代开、云平台自动受理、物流限时配送上门”的办税服务。</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县税务局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落实减税降费政策</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组建“税务管家”专业团队，提前优选适用政策，为专精特新“小巨人”企业提供点对点服务，精准开展宣传辅导，解决涉税事项难题，确保税费优惠政策直达快享。实行个人所得税和企业所得税综合年度汇算清缴多缴退税实时提醒，申请环节自动预填申请信息，简化办理程序，实现减税降费政策“免申即享”。</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center"/>
              <w:textAlignment w:val="baseline"/>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县税务局</w:t>
            </w:r>
          </w:p>
          <w:p>
            <w:pPr>
              <w:keepNext w:val="0"/>
              <w:keepLines w:val="0"/>
              <w:pageBreakBefore w:val="0"/>
              <w:widowControl w:val="0"/>
              <w:kinsoku/>
              <w:wordWrap/>
              <w:overflowPunct/>
              <w:topLinePunct/>
              <w:autoSpaceDE w:val="0"/>
              <w:autoSpaceDN/>
              <w:bidi w:val="0"/>
              <w:adjustRightInd/>
              <w:snapToGrid/>
              <w:spacing w:line="240" w:lineRule="atLeast"/>
              <w:ind w:right="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pacing w:val="-6"/>
                <w:sz w:val="24"/>
                <w:szCs w:val="24"/>
                <w:vertAlign w:val="baseline"/>
                <w:lang w:val="en-US" w:eastAsia="zh-CN"/>
              </w:rPr>
              <w:t>县财政局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提高商业纠纷审判执行效率</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color w:val="auto"/>
                <w:spacing w:val="0"/>
                <w:w w:val="100"/>
                <w:kern w:val="21"/>
                <w:position w:val="0"/>
                <w:sz w:val="24"/>
                <w:szCs w:val="24"/>
                <w:highlight w:val="none"/>
              </w:rPr>
              <w:t>推行民事诉讼繁简分流，推进“互联网+审判”工作。推广应用全国法院询价评估系统，</w:t>
            </w:r>
            <w:r>
              <w:rPr>
                <w:rFonts w:hint="eastAsia" w:ascii="仿宋_GB2312" w:hAnsi="仿宋_GB2312" w:eastAsia="仿宋_GB2312" w:cs="仿宋_GB2312"/>
                <w:b w:val="0"/>
                <w:bCs w:val="0"/>
                <w:color w:val="auto"/>
                <w:spacing w:val="0"/>
                <w:w w:val="100"/>
                <w:kern w:val="21"/>
                <w:position w:val="0"/>
                <w:sz w:val="24"/>
                <w:szCs w:val="24"/>
                <w:highlight w:val="none"/>
                <w:lang w:val="en-US" w:eastAsia="zh-CN"/>
              </w:rPr>
              <w:t>加大网络司法拍卖力度，</w:t>
            </w:r>
            <w:r>
              <w:rPr>
                <w:rFonts w:hint="eastAsia" w:ascii="仿宋_GB2312" w:hAnsi="仿宋_GB2312" w:eastAsia="仿宋_GB2312" w:cs="仿宋_GB2312"/>
                <w:b w:val="0"/>
                <w:bCs w:val="0"/>
                <w:color w:val="auto"/>
                <w:spacing w:val="0"/>
                <w:w w:val="100"/>
                <w:kern w:val="21"/>
                <w:position w:val="0"/>
                <w:sz w:val="24"/>
                <w:szCs w:val="24"/>
                <w:highlight w:val="none"/>
              </w:rPr>
              <w:t>降低执行环节费用成本。加强鉴定机构接受委托、执业规范、收费等管理</w:t>
            </w:r>
            <w:r>
              <w:rPr>
                <w:rFonts w:hint="eastAsia" w:ascii="仿宋_GB2312" w:hAnsi="仿宋_GB2312" w:eastAsia="仿宋_GB2312" w:cs="仿宋_GB2312"/>
                <w:b w:val="0"/>
                <w:bCs w:val="0"/>
                <w:color w:val="auto"/>
                <w:spacing w:val="0"/>
                <w:w w:val="100"/>
                <w:kern w:val="21"/>
                <w:position w:val="0"/>
                <w:sz w:val="24"/>
                <w:szCs w:val="24"/>
                <w:highlight w:val="none"/>
                <w:lang w:eastAsia="zh-CN"/>
              </w:rPr>
              <w:t>，</w:t>
            </w:r>
            <w:r>
              <w:rPr>
                <w:rFonts w:hint="eastAsia" w:ascii="仿宋_GB2312" w:hAnsi="仿宋_GB2312" w:eastAsia="仿宋_GB2312" w:cs="仿宋_GB2312"/>
                <w:b w:val="0"/>
                <w:bCs w:val="0"/>
                <w:spacing w:val="-6"/>
                <w:sz w:val="24"/>
                <w:szCs w:val="24"/>
                <w:vertAlign w:val="baseline"/>
                <w:lang w:val="en-US" w:eastAsia="zh-CN"/>
              </w:rPr>
              <w:t>30日内出具鉴定报告。</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付青剑</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县法院</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1"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保护中小</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投资者</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依法严厉打击各类侵犯企业合法权益、破坏市场竞争秩序的违法犯罪行为，推进金融纠纷多元化解、示范判决等金融审判执行机制改革，推动金融纠纷化解纳入社会管理综合治理大格局。</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napToGrid w:val="0"/>
                <w:color w:val="000000"/>
                <w:spacing w:val="-6"/>
                <w:kern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付青剑</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spacing w:val="-6"/>
                <w:kern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县法院</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县司法局、县公安局等相关部门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5"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持续深化“放管服”改革</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outlineLvl w:val="9"/>
              <w:rPr>
                <w:rFonts w:hint="eastAsia" w:ascii="仿宋_GB2312" w:hAnsi="仿宋_GB2312" w:eastAsia="仿宋_GB2312" w:cs="仿宋_GB2312"/>
                <w:b w:val="0"/>
                <w:bCs w:val="0"/>
                <w:snapToGrid w:val="0"/>
                <w:color w:val="000000"/>
                <w:spacing w:val="-6"/>
                <w:kern w:val="0"/>
                <w:sz w:val="24"/>
                <w:szCs w:val="24"/>
                <w:vertAlign w:val="baseline"/>
                <w:lang w:val="en-US" w:eastAsia="zh-CN"/>
              </w:rPr>
            </w:pPr>
            <w:r>
              <w:rPr>
                <w:rFonts w:hint="eastAsia" w:ascii="仿宋_GB2312" w:hAnsi="仿宋_GB2312" w:eastAsia="仿宋_GB2312" w:cs="仿宋_GB2312"/>
                <w:b w:val="0"/>
                <w:bCs w:val="0"/>
                <w:snapToGrid w:val="0"/>
                <w:color w:val="000000"/>
                <w:spacing w:val="-6"/>
                <w:kern w:val="0"/>
                <w:sz w:val="24"/>
                <w:szCs w:val="24"/>
                <w:vertAlign w:val="baseline"/>
                <w:lang w:val="en-US" w:eastAsia="zh-CN"/>
              </w:rPr>
              <w:t>编制县级行政许可事项实施规范，全面实行行政许可事项清单管理。着眼集成化、标准化、便利化，深入推进审批制度改革，扎实推进相对集中行政许可权改革，持续深化“证照分离”全覆盖改革。</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县行政审批局等</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28"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持续加强审管联动</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outlineLvl w:val="9"/>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napToGrid w:val="0"/>
                <w:color w:val="000000"/>
                <w:kern w:val="0"/>
                <w:sz w:val="24"/>
                <w:szCs w:val="24"/>
                <w:vertAlign w:val="baseline"/>
                <w:lang w:val="en-US" w:eastAsia="zh-CN"/>
              </w:rPr>
              <w:t>行政审批部门承接的政务服务划转事项，由行业主管部门负责监管。建立健全审管信息双向反馈机制，搭建审管信息归集和互动模块，全力打造工作无缝衔接、审管相互支撑、业务全流程闭环管理工作机制。</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县行政审批局</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县市场监管局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773"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优化工程建设项目审批流程</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beforeAutospacing="0" w:afterAutospacing="0" w:line="300" w:lineRule="exact"/>
              <w:ind w:right="0" w:firstLine="0" w:firstLineChars="0"/>
              <w:jc w:val="both"/>
              <w:textAlignment w:val="auto"/>
              <w:outlineLvl w:val="9"/>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napToGrid w:val="0"/>
                <w:color w:val="000000"/>
                <w:spacing w:val="-6"/>
                <w:kern w:val="0"/>
                <w:sz w:val="24"/>
                <w:szCs w:val="24"/>
                <w:vertAlign w:val="baseline"/>
                <w:lang w:val="en-US" w:eastAsia="zh-CN"/>
              </w:rPr>
              <w:t>全面推行“容缺受理+告知承诺+联合踏勘”制度，实行重大投资项目集中审批。开展“项目审批服务月”活动，持续为全县重点项目提供精准高效审批服务。全面落实项目全流程在线审批，解决“体外循环”和“隐性审批”问题。建立全县重点项目手续办理服务台账，分级分类明确“项目管家”，提供帮办代办快办“情景式”套餐服务。推行施工许可电子证照。依托陕西政务服务网（宝鸡）和工程建设项目审批管理系统,实现施工许可“网上办”。加快推进联合测绘、联合验收等痛点堵点问题的落地见效，将一般社会投资、政府投资工程项目审批时间压减至50、85个工作日。</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县发改局、县住建局、县自然资源局、县信息中心等部门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深入开展“标准地+承诺制”改革</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在经开区推行工业项目“标准地”供应，在土地出让前完成地块的区域环评、节能、地质灾害危险性、矿产资源压覆、文物勘探等区域评价，对满足固定资产投资强度、亩均税收、能耗标准等条件的工业项目，实行从土地招拍挂出让到开工建设“一次性告知、一次性承诺、一次性办结”。</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王富强</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资源局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县发改局、县住建局、县行政审批局等部门，县经开区管委会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纵深推进“亩均论英雄”综合改革</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充分发挥领导小组职能，形成推进“亩均论英雄”综合改革合力。开展“亩均论英雄”综合改革试点，优化设置符合辖区特色的指标体系，从数据采集、科学评价等方面，探索可复制可推广的经验。</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王富强</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县商信局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县发改局、县自然资源局等部门，各镇街、各园区管委会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4"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加快推进“交地即交证”</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改革</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在企业群众办理用地手续前先行介入、靠前服务，将有关环节从“供地后”提前到“供地前”，变“串联办”为“并联办”，对新建类建设用地项目探索实行“交地即交证”。全链条动态监管用地审批、规划许可、工程建设、竣工验收，对违法违规建设问题早发现、早制止、早查处，在主城区规划范围内新取得国有建设用地使用权的预售商品房大力推广“交房即交证”等改革经验。</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王富强</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县自然</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资源局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县发改局、县住建局、县行政审批局等部门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7"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17</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依法保障项目建设</w:t>
            </w:r>
          </w:p>
        </w:tc>
        <w:tc>
          <w:tcPr>
            <w:tcW w:w="67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left"/>
              <w:textAlignment w:val="auto"/>
              <w:outlineLvl w:val="9"/>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color w:val="auto"/>
                <w:spacing w:val="-6"/>
                <w:w w:val="100"/>
                <w:kern w:val="21"/>
                <w:position w:val="0"/>
                <w:sz w:val="24"/>
                <w:szCs w:val="24"/>
                <w:highlight w:val="none"/>
                <w:lang w:val="en-US" w:eastAsia="zh-CN"/>
              </w:rPr>
              <w:t>加强工程建设等领域黑恶问题和行业乱象专项整治，推动行业秩序持续改善。严厉打击强揽工程、欺行霸市、封门堵路、恶意阻工、寻衅滋事、敲诈勒索等影响项目建设的违法犯罪行为，提高办案质效，形成有力震慑。</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napToGrid w:val="0"/>
                <w:color w:val="000000"/>
                <w:kern w:val="0"/>
                <w:sz w:val="24"/>
                <w:szCs w:val="24"/>
                <w:vertAlign w:val="baseline"/>
                <w:lang w:val="en-US" w:eastAsia="zh-CN"/>
              </w:rPr>
              <w:t>付青剑</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left"/>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县检察院、县法院、县住建局、县行政审批局等部门，各镇街、各园区管委会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55"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加大市场主体金融支持力度</w:t>
            </w:r>
          </w:p>
        </w:tc>
        <w:tc>
          <w:tcPr>
            <w:tcW w:w="67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left"/>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进一步发挥贷款市场报价利率（LPR）作用，降低企业融资成本。持续完善重点产业链金融服务体系，不断强化对钛及钛合金、装备制造、纺织服装等六大产业链的融资支持。鼓励支持银行机构加大信贷投放力度，年内新增贷款12亿元以上。加强政府性融资担保，探索银行与政府性担保公司及保险机构合作模式，政府性融资担保费率不超过1.5%。</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田皓园</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县金融办</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县商信局、县财政局、县发改局、县人民银行等相关部门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35"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降低交通物流成本</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auto"/>
                <w:spacing w:val="-6"/>
                <w:kern w:val="21"/>
                <w:sz w:val="24"/>
                <w:szCs w:val="24"/>
                <w:highlight w:val="none"/>
              </w:rPr>
              <w:t>加快推动大宗货物中长距离运输“公转铁”，</w:t>
            </w:r>
            <w:r>
              <w:rPr>
                <w:rFonts w:hint="eastAsia" w:ascii="仿宋_GB2312" w:hAnsi="仿宋_GB2312" w:eastAsia="仿宋_GB2312" w:cs="仿宋_GB2312"/>
                <w:b w:val="0"/>
                <w:bCs w:val="0"/>
                <w:color w:val="auto"/>
                <w:spacing w:val="-6"/>
                <w:kern w:val="21"/>
                <w:sz w:val="24"/>
                <w:szCs w:val="24"/>
                <w:highlight w:val="none"/>
                <w:lang w:val="en-US" w:eastAsia="zh-CN"/>
              </w:rPr>
              <w:t>积极争取</w:t>
            </w:r>
            <w:r>
              <w:rPr>
                <w:rFonts w:hint="eastAsia" w:ascii="仿宋_GB2312" w:hAnsi="仿宋_GB2312" w:eastAsia="仿宋_GB2312" w:cs="仿宋_GB2312"/>
                <w:b w:val="0"/>
                <w:bCs w:val="0"/>
                <w:color w:val="auto"/>
                <w:spacing w:val="-6"/>
                <w:kern w:val="21"/>
                <w:sz w:val="24"/>
                <w:szCs w:val="24"/>
                <w:highlight w:val="none"/>
              </w:rPr>
              <w:t>国家多式联运示范工程创建，推广应用集装箱、托盘等标准化装载器具循环共用体系。</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pacing w:val="-11"/>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田皓园</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pacing w:val="-11"/>
                <w:sz w:val="24"/>
                <w:szCs w:val="24"/>
                <w:vertAlign w:val="baseline"/>
                <w:lang w:val="en-US" w:eastAsia="zh-CN"/>
              </w:rPr>
            </w:pPr>
            <w:r>
              <w:rPr>
                <w:rFonts w:hint="eastAsia" w:ascii="仿宋_GB2312" w:hAnsi="仿宋_GB2312" w:eastAsia="仿宋_GB2312" w:cs="仿宋_GB2312"/>
                <w:b w:val="0"/>
                <w:bCs w:val="0"/>
                <w:spacing w:val="-11"/>
                <w:sz w:val="24"/>
                <w:szCs w:val="24"/>
                <w:vertAlign w:val="baseline"/>
                <w:lang w:val="en-US" w:eastAsia="zh-CN"/>
              </w:rPr>
              <w:t>县交通局</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pacing w:val="-11"/>
                <w:sz w:val="24"/>
                <w:szCs w:val="24"/>
                <w:vertAlign w:val="baseline"/>
                <w:lang w:val="en-US" w:eastAsia="zh-CN"/>
              </w:rPr>
            </w:pPr>
            <w:r>
              <w:rPr>
                <w:rFonts w:hint="eastAsia" w:ascii="仿宋_GB2312" w:hAnsi="仿宋_GB2312" w:eastAsia="仿宋_GB2312" w:cs="仿宋_GB2312"/>
                <w:b w:val="0"/>
                <w:bCs w:val="0"/>
                <w:spacing w:val="-11"/>
                <w:sz w:val="24"/>
                <w:szCs w:val="24"/>
                <w:vertAlign w:val="baseline"/>
                <w:lang w:val="en-US" w:eastAsia="zh-CN"/>
              </w:rPr>
              <w:t>县发改局</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11"/>
                <w:sz w:val="24"/>
                <w:szCs w:val="24"/>
                <w:vertAlign w:val="baseline"/>
                <w:lang w:val="en-US" w:eastAsia="zh-CN"/>
              </w:rPr>
              <w:t>县商信局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22"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持续深化“双包一解”活动</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做深“店小二”式精准联企帮扶，巩固“链长+联企干部+服务专员”服务模式，持续开展“一起益企”服务月、“百人百企”帮扶行动等联企活动。落实领导干部包抓企业制度，发挥“眉坞联企通”小程序作用，优化企业困难问题会商解决机制，快捷高效为企业纾困解难。</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王富强</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县商信局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37"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21</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加强园区营商环境建设</w:t>
            </w:r>
          </w:p>
        </w:tc>
        <w:tc>
          <w:tcPr>
            <w:tcW w:w="67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动政务服务向各个园区延伸，向园区委托下放更多审批事项，力争政务服务全覆盖。拓展经开区综合服务中心功能，实现更多事项进驻大厅为园区企业群众服务。促进政务服务与公共服务有机融合，打造自然人和法人全生命周期服务模式，构建涵盖政务事项办理、人才招聘、政策兑现、法律服务、政企沟通交流等园区公共服务体系。</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县行政审批局、县人社局、县司法局、县商信局等相关部门，各园区管委会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18"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22</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全面落实市场准入负面清单制度</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严格执行市场准入“全国一张清单”管理模式，持续优化审批流程，推动清单事项网上办理。对妨碍全国统一大市场建设的规定和实际情况开展自查清理，对违背市场准入负面清单情况进行案例归集和自查整改。</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县商信局、县行政审批局、县市场监管局等相关部门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37"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23</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规范政府采购</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加快实施“互联网+政府采购”行动，推进政府采购电子化交易。</w:t>
            </w:r>
            <w:r>
              <w:rPr>
                <w:rFonts w:hint="eastAsia" w:ascii="仿宋_GB2312" w:hAnsi="仿宋_GB2312" w:eastAsia="仿宋_GB2312" w:cs="仿宋_GB2312"/>
                <w:b w:val="0"/>
                <w:bCs w:val="0"/>
                <w:color w:val="auto"/>
                <w:spacing w:val="-6"/>
                <w:w w:val="100"/>
                <w:kern w:val="21"/>
                <w:position w:val="0"/>
                <w:sz w:val="24"/>
                <w:szCs w:val="24"/>
                <w:highlight w:val="none"/>
              </w:rPr>
              <w:t>落实采购人主体责任，优化监管模式，推进政府采购智慧监管，压缩采购合同签订、履约验收和采购资金支付周期。清理政府采购领域妨碍统一市场和公平竞争的各项壁垒</w:t>
            </w:r>
            <w:r>
              <w:rPr>
                <w:rFonts w:hint="eastAsia" w:ascii="仿宋_GB2312" w:hAnsi="仿宋_GB2312" w:eastAsia="仿宋_GB2312" w:cs="仿宋_GB2312"/>
                <w:b w:val="0"/>
                <w:bCs w:val="0"/>
                <w:color w:val="auto"/>
                <w:spacing w:val="-6"/>
                <w:w w:val="100"/>
                <w:kern w:val="21"/>
                <w:position w:val="0"/>
                <w:sz w:val="24"/>
                <w:szCs w:val="24"/>
                <w:highlight w:val="none"/>
                <w:lang w:eastAsia="zh-CN"/>
              </w:rPr>
              <w:t>，</w:t>
            </w:r>
            <w:r>
              <w:rPr>
                <w:rFonts w:hint="eastAsia" w:ascii="仿宋_GB2312" w:hAnsi="仿宋_GB2312" w:eastAsia="仿宋_GB2312" w:cs="仿宋_GB2312"/>
                <w:b w:val="0"/>
                <w:bCs w:val="0"/>
                <w:color w:val="auto"/>
                <w:spacing w:val="-6"/>
                <w:w w:val="100"/>
                <w:kern w:val="21"/>
                <w:position w:val="0"/>
                <w:sz w:val="24"/>
                <w:szCs w:val="24"/>
                <w:highlight w:val="none"/>
              </w:rPr>
              <w:t>依法保障各类市场主体平等参与政府采购活动。</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县财政局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县发改局等相关部门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27"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24</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提升招标投标服务水平</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依托宝鸡市公共资源交易平台，实现项目进场登记、公告公示发布、专家抽取、开标评标等环节全流程电子化，加大违法违规行为查处力度，规范招投标投诉问题处理，进一步提升市场主体获得感。加强电子监督智能系统建设和应用。依法建立招标投标领域信用黑名单制度，将招投标市场主体违法违规失信行为纳入诚信体系予以公示。加强电子营业执照在招标投标领域的应用。</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县财政局、县行政审批局、县信息中心等部门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9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25</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提升人力资源服务水平</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baseline"/>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强化劳动力市场监管，规范企业用工行为，劳动调解仲裁结案率达90%以上。全面推进稳就业保居民就业十大行动，实现劳动力就业状态动态监测，职业技能培训补贴申请全程网办。全面推进“一门式”服务综合改革，采取预约办理、全程代办等方式打造人社便民服务圈。大力开展就业服务活动，做深做实“眉县返乡创业园区”“就业驿站”，举办网络招聘、抖音直播带岗等招聘活动，变企业“找服务”为政府“送服务”。</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县人社局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78"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26</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优化引才用才服务</w:t>
            </w:r>
          </w:p>
        </w:tc>
        <w:tc>
          <w:tcPr>
            <w:tcW w:w="6749" w:type="dxa"/>
            <w:tcBorders>
              <w:tl2br w:val="nil"/>
              <w:tr2bl w:val="nil"/>
            </w:tcBorders>
            <w:vAlign w:val="center"/>
          </w:tcPr>
          <w:p>
            <w:pPr>
              <w:pStyle w:val="3"/>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auto"/>
                <w:spacing w:val="0"/>
                <w:kern w:val="21"/>
                <w:sz w:val="24"/>
                <w:szCs w:val="24"/>
                <w:highlight w:val="none"/>
              </w:rPr>
              <w:t>创新高端人才认定、培养、引进、使用、流动、评价和激励机制</w:t>
            </w:r>
            <w:r>
              <w:rPr>
                <w:rFonts w:hint="eastAsia" w:ascii="仿宋_GB2312" w:hAnsi="仿宋_GB2312" w:eastAsia="仿宋_GB2312" w:cs="仿宋_GB2312"/>
                <w:b w:val="0"/>
                <w:bCs w:val="0"/>
                <w:color w:val="auto"/>
                <w:spacing w:val="0"/>
                <w:kern w:val="21"/>
                <w:sz w:val="24"/>
                <w:szCs w:val="24"/>
                <w:highlight w:val="none"/>
                <w:lang w:eastAsia="zh-CN"/>
              </w:rPr>
              <w:t>。强化产才融合导向，深化“校地合作”，持续引进高技能人才。聚焦教育、医疗、企业等需求，引进一批急需紧缺人才。</w:t>
            </w:r>
            <w:r>
              <w:rPr>
                <w:rFonts w:hint="eastAsia" w:ascii="仿宋_GB2312" w:hAnsi="仿宋_GB2312" w:eastAsia="仿宋_GB2312" w:cs="仿宋_GB2312"/>
                <w:b w:val="0"/>
                <w:bCs w:val="0"/>
                <w:color w:val="auto"/>
                <w:spacing w:val="0"/>
                <w:kern w:val="21"/>
                <w:sz w:val="24"/>
                <w:szCs w:val="24"/>
                <w:highlight w:val="none"/>
              </w:rPr>
              <w:t>支持民营企业海外引才和柔性引才</w:t>
            </w:r>
            <w:r>
              <w:rPr>
                <w:rFonts w:hint="eastAsia" w:ascii="仿宋_GB2312" w:hAnsi="仿宋_GB2312" w:eastAsia="仿宋_GB2312" w:cs="仿宋_GB2312"/>
                <w:b w:val="0"/>
                <w:bCs w:val="0"/>
                <w:color w:val="auto"/>
                <w:spacing w:val="0"/>
                <w:kern w:val="21"/>
                <w:sz w:val="24"/>
                <w:szCs w:val="24"/>
                <w:highlight w:val="none"/>
                <w:lang w:eastAsia="zh-CN"/>
              </w:rPr>
              <w:t>，</w:t>
            </w:r>
            <w:r>
              <w:rPr>
                <w:rFonts w:hint="eastAsia" w:ascii="仿宋_GB2312" w:hAnsi="仿宋_GB2312" w:eastAsia="仿宋_GB2312" w:cs="仿宋_GB2312"/>
                <w:b w:val="0"/>
                <w:bCs w:val="0"/>
                <w:color w:val="auto"/>
                <w:spacing w:val="0"/>
                <w:kern w:val="21"/>
                <w:sz w:val="24"/>
                <w:szCs w:val="24"/>
                <w:highlight w:val="none"/>
              </w:rPr>
              <w:t>提升人才待遇水平</w:t>
            </w:r>
            <w:r>
              <w:rPr>
                <w:rFonts w:hint="eastAsia" w:ascii="仿宋_GB2312" w:hAnsi="仿宋_GB2312" w:eastAsia="仿宋_GB2312" w:cs="仿宋_GB2312"/>
                <w:b w:val="0"/>
                <w:bCs w:val="0"/>
                <w:color w:val="auto"/>
                <w:spacing w:val="0"/>
                <w:kern w:val="21"/>
                <w:sz w:val="24"/>
                <w:szCs w:val="24"/>
                <w:highlight w:val="none"/>
                <w:lang w:eastAsia="zh-CN"/>
              </w:rPr>
              <w:t>。</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任  博</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w w:val="95"/>
                <w:sz w:val="24"/>
                <w:szCs w:val="24"/>
                <w:vertAlign w:val="baseline"/>
                <w:lang w:val="en-US" w:eastAsia="zh-CN"/>
              </w:rPr>
            </w:pPr>
            <w:r>
              <w:rPr>
                <w:rFonts w:hint="eastAsia" w:ascii="仿宋_GB2312" w:hAnsi="仿宋_GB2312" w:eastAsia="仿宋_GB2312" w:cs="仿宋_GB2312"/>
                <w:b w:val="0"/>
                <w:bCs w:val="0"/>
                <w:w w:val="95"/>
                <w:sz w:val="24"/>
                <w:szCs w:val="24"/>
                <w:vertAlign w:val="baseline"/>
                <w:lang w:val="en-US" w:eastAsia="zh-CN"/>
              </w:rPr>
              <w:t>县委组织部</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县人社局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县商信局、县教体局、县卫健局等部门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27</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11"/>
                <w:sz w:val="24"/>
                <w:szCs w:val="24"/>
                <w:vertAlign w:val="baseline"/>
                <w:lang w:val="en-US" w:eastAsia="zh-CN"/>
              </w:rPr>
              <w:t>加大教育领域“放管服”改革力度</w:t>
            </w:r>
          </w:p>
        </w:tc>
        <w:tc>
          <w:tcPr>
            <w:tcW w:w="6749" w:type="dxa"/>
            <w:tcBorders>
              <w:tl2br w:val="nil"/>
              <w:tr2bl w:val="nil"/>
            </w:tcBorders>
            <w:vAlign w:val="center"/>
          </w:tcPr>
          <w:p>
            <w:pPr>
              <w:pStyle w:val="3"/>
              <w:keepNext w:val="0"/>
              <w:keepLines w:val="0"/>
              <w:pageBreakBefore w:val="0"/>
              <w:widowControl w:val="0"/>
              <w:kinsoku/>
              <w:wordWrap/>
              <w:overflowPunct/>
              <w:topLinePunct/>
              <w:autoSpaceDE w:val="0"/>
              <w:autoSpaceDN/>
              <w:bidi w:val="0"/>
              <w:adjustRightInd/>
              <w:snapToGrid/>
              <w:spacing w:line="300" w:lineRule="exact"/>
              <w:ind w:left="0" w:leftChars="0"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探索推进对义务教育阶段学校招生实行“网上办、掌上办”和“零证明”，加强不动产、公安、教育及水电气暖等部门信息共享，让数据多跑路、家长少跑腿，提升招生工作透明度。</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李  倩</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县教体局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县公安局、县自然资源局、县住建局、县水利局、县供电公司等部门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63"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28</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支持民营企业发展壮大</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出台政策支持纺织、制造业、钛产业延伸扩展产业链，指导企业申报、争取各类专项奖励资金，促进行业高质量发展。支持本地企业平等享受招商引资优惠政策。实施民营经济高质量发展三年行动计划，支持各类商业街区业态升级，通过发放电子消费券、允许特定时段出店经营等举措，推动商贸服务、文化旅游等行业加快发展。</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王富强</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县商信局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县发改局、县司法局等部门，各镇街、各园区管委会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31"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29</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pacing w:val="-11"/>
                <w:sz w:val="24"/>
                <w:szCs w:val="24"/>
                <w:vertAlign w:val="baseline"/>
                <w:lang w:val="en-US" w:eastAsia="zh-CN"/>
              </w:rPr>
            </w:pPr>
            <w:r>
              <w:rPr>
                <w:rFonts w:hint="eastAsia" w:ascii="仿宋_GB2312" w:hAnsi="仿宋_GB2312" w:eastAsia="仿宋_GB2312" w:cs="仿宋_GB2312"/>
                <w:b w:val="0"/>
                <w:bCs w:val="0"/>
                <w:spacing w:val="-11"/>
                <w:sz w:val="24"/>
                <w:szCs w:val="24"/>
                <w:vertAlign w:val="baseline"/>
                <w:lang w:val="en-US" w:eastAsia="zh-CN"/>
              </w:rPr>
              <w:t>优化外商投资准入</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firstLine="0" w:firstLineChars="0"/>
              <w:jc w:val="both"/>
              <w:textAlignment w:val="auto"/>
              <w:outlineLvl w:val="9"/>
              <w:rPr>
                <w:rFonts w:hint="eastAsia" w:ascii="仿宋_GB2312" w:hAnsi="仿宋_GB2312" w:eastAsia="仿宋_GB2312" w:cs="仿宋_GB2312"/>
                <w:b w:val="0"/>
                <w:bCs w:val="0"/>
                <w:color w:val="auto"/>
                <w:spacing w:val="0"/>
                <w:kern w:val="21"/>
                <w:sz w:val="24"/>
                <w:szCs w:val="24"/>
                <w:highlight w:val="none"/>
                <w:lang w:val="en-US" w:eastAsia="zh-CN"/>
              </w:rPr>
            </w:pPr>
            <w:r>
              <w:rPr>
                <w:rFonts w:hint="eastAsia" w:ascii="仿宋_GB2312" w:hAnsi="仿宋_GB2312" w:eastAsia="仿宋_GB2312" w:cs="仿宋_GB2312"/>
                <w:b w:val="0"/>
                <w:bCs w:val="0"/>
                <w:color w:val="auto"/>
                <w:spacing w:val="0"/>
                <w:kern w:val="21"/>
                <w:sz w:val="24"/>
                <w:szCs w:val="24"/>
                <w:highlight w:val="none"/>
                <w:lang w:val="en-US" w:eastAsia="zh-CN"/>
              </w:rPr>
              <w:t>落实国家外商投资准入前国民待遇，规范执行国家外商投资准入特别管理措施（负面清单）,制定外商投资促进和便利化政策措施，建立健全与外商投资有关的议事协调机制，协调解决外商投资工作中的重大问题。</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田皓园</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县招商局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30</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规范行业协会发展</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auto"/>
                <w:spacing w:val="0"/>
                <w:kern w:val="21"/>
                <w:sz w:val="24"/>
                <w:szCs w:val="24"/>
                <w:highlight w:val="none"/>
              </w:rPr>
              <w:t>常态化开展打击非法社会组织、清理“僵尸型”社会组织专项整治。整治行业协会商会利用行政委托事项及其他行政影响力</w:t>
            </w:r>
            <w:r>
              <w:rPr>
                <w:rFonts w:hint="eastAsia" w:ascii="仿宋_GB2312" w:hAnsi="仿宋_GB2312" w:eastAsia="仿宋_GB2312" w:cs="仿宋_GB2312"/>
                <w:b w:val="0"/>
                <w:bCs w:val="0"/>
                <w:color w:val="auto"/>
                <w:spacing w:val="0"/>
                <w:kern w:val="21"/>
                <w:sz w:val="24"/>
                <w:szCs w:val="24"/>
                <w:highlight w:val="none"/>
                <w:lang w:eastAsia="zh-CN"/>
              </w:rPr>
              <w:t>，强制或变相强制企业入会并收取会费、擅自设立收费项目或提高收费标准，以及强制或诱导企业参加会议、培训、展览、考核评比、表彰、出国考察等收费活动，</w:t>
            </w:r>
            <w:r>
              <w:rPr>
                <w:rFonts w:hint="eastAsia" w:ascii="仿宋_GB2312" w:hAnsi="仿宋_GB2312" w:eastAsia="仿宋_GB2312" w:cs="仿宋_GB2312"/>
                <w:b w:val="0"/>
                <w:bCs w:val="0"/>
                <w:color w:val="auto"/>
                <w:spacing w:val="0"/>
                <w:kern w:val="21"/>
                <w:sz w:val="24"/>
                <w:szCs w:val="24"/>
                <w:highlight w:val="none"/>
              </w:rPr>
              <w:t>督促行业协会商会进一步规范会费、经营服务性收费标准。</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田皓园</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县民政局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县发改局等相关部门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81"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31</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开展水电气暖领域涉企违规收费问题专项整治</w:t>
            </w:r>
          </w:p>
        </w:tc>
        <w:tc>
          <w:tcPr>
            <w:tcW w:w="674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both"/>
              <w:textAlignment w:val="auto"/>
              <w:outlineLvl w:val="9"/>
              <w:rPr>
                <w:rFonts w:hint="eastAsia" w:ascii="仿宋_GB2312" w:hAnsi="仿宋_GB2312" w:eastAsia="仿宋_GB2312" w:cs="仿宋_GB2312"/>
                <w:b w:val="0"/>
                <w:bCs w:val="0"/>
                <w:color w:val="auto"/>
                <w:spacing w:val="0"/>
                <w:kern w:val="21"/>
                <w:sz w:val="24"/>
                <w:szCs w:val="24"/>
                <w:highlight w:val="none"/>
              </w:rPr>
            </w:pPr>
            <w:r>
              <w:rPr>
                <w:rFonts w:hint="eastAsia" w:ascii="仿宋_GB2312" w:hAnsi="仿宋_GB2312" w:eastAsia="仿宋_GB2312" w:cs="仿宋_GB2312"/>
                <w:b w:val="0"/>
                <w:bCs w:val="0"/>
                <w:color w:val="auto"/>
                <w:spacing w:val="-6"/>
                <w:kern w:val="21"/>
                <w:sz w:val="24"/>
                <w:szCs w:val="24"/>
                <w:highlight w:val="none"/>
              </w:rPr>
              <w:t>加强供水供电供气供暖领域红线内外接入、建设安装、更新改造、维护维修领域等价格监管，重点整治不执行政府定价和政府指导价、利用垄断地位转嫁应由自身承担的费用、自定标准自设项目收取费用、对计量装置及强制检定违规收费</w:t>
            </w:r>
            <w:r>
              <w:rPr>
                <w:rFonts w:hint="eastAsia" w:ascii="仿宋_GB2312" w:hAnsi="仿宋_GB2312" w:eastAsia="仿宋_GB2312" w:cs="仿宋_GB2312"/>
                <w:b w:val="0"/>
                <w:bCs w:val="0"/>
                <w:color w:val="auto"/>
                <w:spacing w:val="-6"/>
                <w:kern w:val="21"/>
                <w:sz w:val="24"/>
                <w:szCs w:val="24"/>
                <w:highlight w:val="none"/>
                <w:lang w:eastAsia="zh-CN"/>
              </w:rPr>
              <w:t>、</w:t>
            </w:r>
            <w:r>
              <w:rPr>
                <w:rFonts w:hint="eastAsia" w:ascii="仿宋_GB2312" w:hAnsi="仿宋_GB2312" w:eastAsia="仿宋_GB2312" w:cs="仿宋_GB2312"/>
                <w:b w:val="0"/>
                <w:bCs w:val="0"/>
                <w:color w:val="auto"/>
                <w:spacing w:val="-6"/>
                <w:kern w:val="21"/>
                <w:sz w:val="24"/>
                <w:szCs w:val="24"/>
                <w:highlight w:val="none"/>
              </w:rPr>
              <w:t>不合理加价、违规加价等，严禁供电价格上涨超过政策规定的最大上浮幅度</w:t>
            </w:r>
            <w:r>
              <w:rPr>
                <w:rFonts w:hint="eastAsia" w:ascii="仿宋_GB2312" w:hAnsi="仿宋_GB2312" w:eastAsia="仿宋_GB2312" w:cs="仿宋_GB2312"/>
                <w:b w:val="0"/>
                <w:bCs w:val="0"/>
                <w:color w:val="auto"/>
                <w:spacing w:val="0"/>
                <w:kern w:val="21"/>
                <w:sz w:val="24"/>
                <w:szCs w:val="24"/>
                <w:highlight w:val="none"/>
              </w:rPr>
              <w:t>。</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县住建局、县水利局、县市场监管局、县供电公司等部门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6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32</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开展金融领域涉企违规收费问题专项整治</w:t>
            </w:r>
          </w:p>
        </w:tc>
        <w:tc>
          <w:tcPr>
            <w:tcW w:w="674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color w:val="auto"/>
                <w:spacing w:val="0"/>
                <w:kern w:val="21"/>
                <w:sz w:val="24"/>
                <w:szCs w:val="24"/>
                <w:highlight w:val="none"/>
              </w:rPr>
            </w:pPr>
            <w:r>
              <w:rPr>
                <w:rFonts w:hint="eastAsia" w:ascii="仿宋_GB2312" w:hAnsi="仿宋_GB2312" w:eastAsia="仿宋_GB2312" w:cs="仿宋_GB2312"/>
                <w:b w:val="0"/>
                <w:bCs w:val="0"/>
                <w:color w:val="auto"/>
                <w:spacing w:val="0"/>
                <w:kern w:val="21"/>
                <w:sz w:val="24"/>
                <w:szCs w:val="24"/>
                <w:highlight w:val="none"/>
              </w:rPr>
              <w:t>重点整治商业银行未按规定披露服务价格信息、超出价格公示标准收费、只收费不服务或少服务、未提供实质性服务而收费等问题，督促商业银行不折不扣落实减免服务收费、减轻企业负担等政策要求，规范服务价格管理和收费行为</w:t>
            </w:r>
            <w:r>
              <w:rPr>
                <w:rFonts w:hint="eastAsia" w:ascii="仿宋_GB2312" w:hAnsi="仿宋_GB2312" w:eastAsia="仿宋_GB2312" w:cs="仿宋_GB2312"/>
                <w:b w:val="0"/>
                <w:bCs w:val="0"/>
                <w:color w:val="auto"/>
                <w:spacing w:val="0"/>
                <w:kern w:val="21"/>
                <w:sz w:val="24"/>
                <w:szCs w:val="24"/>
                <w:highlight w:val="none"/>
                <w:lang w:eastAsia="zh-CN"/>
              </w:rPr>
              <w:t>。</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田皓园</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县人民</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银行</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县发改局、县金融办等相关部门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05"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开展交通物流领域涉企违规收费问题专项整治</w:t>
            </w:r>
          </w:p>
        </w:tc>
        <w:tc>
          <w:tcPr>
            <w:tcW w:w="674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color w:val="auto"/>
                <w:spacing w:val="0"/>
                <w:kern w:val="21"/>
                <w:sz w:val="24"/>
                <w:szCs w:val="24"/>
                <w:highlight w:val="none"/>
              </w:rPr>
            </w:pPr>
            <w:r>
              <w:rPr>
                <w:rFonts w:hint="eastAsia" w:ascii="仿宋_GB2312" w:hAnsi="仿宋_GB2312" w:eastAsia="仿宋_GB2312" w:cs="仿宋_GB2312"/>
                <w:b w:val="0"/>
                <w:bCs w:val="0"/>
                <w:color w:val="auto"/>
                <w:spacing w:val="0"/>
                <w:kern w:val="21"/>
                <w:sz w:val="24"/>
                <w:szCs w:val="24"/>
                <w:highlight w:val="none"/>
              </w:rPr>
              <w:t>重点整治公路、铁路等领域落实助企纾困有关降费优惠政策不到位、继续收取已明令取消的费用或重复收费、为规避政策规定拆分收费项目、不执行或推迟执行政府指导价等问题。严禁有关单位以</w:t>
            </w:r>
            <w:r>
              <w:rPr>
                <w:rFonts w:hint="eastAsia" w:ascii="仿宋_GB2312" w:hAnsi="仿宋_GB2312" w:eastAsia="仿宋_GB2312" w:cs="仿宋_GB2312"/>
                <w:b w:val="0"/>
                <w:bCs w:val="0"/>
                <w:color w:val="auto"/>
                <w:spacing w:val="0"/>
                <w:kern w:val="21"/>
                <w:sz w:val="24"/>
                <w:szCs w:val="24"/>
                <w:highlight w:val="none"/>
                <w:lang w:val="en-US" w:eastAsia="zh-CN"/>
              </w:rPr>
              <w:t>各种名义</w:t>
            </w:r>
            <w:r>
              <w:rPr>
                <w:rFonts w:hint="eastAsia" w:ascii="仿宋_GB2312" w:hAnsi="仿宋_GB2312" w:eastAsia="仿宋_GB2312" w:cs="仿宋_GB2312"/>
                <w:b w:val="0"/>
                <w:bCs w:val="0"/>
                <w:color w:val="auto"/>
                <w:spacing w:val="0"/>
                <w:kern w:val="21"/>
                <w:sz w:val="24"/>
                <w:szCs w:val="24"/>
                <w:highlight w:val="none"/>
              </w:rPr>
              <w:t>向交通物流企业实行强制摊派，切实保障货运物流畅通高效。</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田皓园</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县交通局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县财政局、县商信局等相关部门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2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34</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强化市场主体监管效能</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全面梳理监管事项目录清单，提高“双随机、一公开”检查事项覆盖率，除特殊行业、重点领域外，原则上所有日常涉企行政检查都通过“双随机、一公开”方式进行。加快在市场监管、税收管理等领域建立健全信用分级分类监管制度。完善包容审慎监管机制，为新产业、新业态、新技术、新模式留足发展空间。强化审管联动，明确监管职责，明晰审管边界，确保无缝衔接。积极探索在食品安全、交通运输、生态环境等领域实施非现场监管。严格落实《工业产品生产许可证管理条例实施办法》，强化获证企业证后监管。</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祁亚军</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县行政审批局、县税务局、县发改局、县住建局、县水利局、县生态环境局、县交通局、县商信局、县供电公司等部门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75"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35</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规范监管执法</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全覆盖落实行政执法公示、行政执法全过程记录、重大行政执法决定法制审核“三项制度”，不断提升行政执法质量。加大对执法不作为、乱作为、选择性执法、逐利执法等有关责任人的追责力度，落实行政执法责任制和责任追究制度，全面推进严格规范公正文明执法。</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祁亚军</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县司法局等部门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2"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36</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规范行政处罚行为</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认真贯彻《中华人民共和国行政处罚法》，持续规范行政处罚行为，严格规范行政裁量权基准制定和管理工作，防止任性执法、类案不同罚、过度处罚等问题。同时，积极落实各领域轻微违法行为减轻行政处罚清单，充分发挥柔性教育作用，保障社会公平正义。</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付青剑</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县司法局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各行政执法部门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18"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37</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强化公平竞争审查制度</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推动公平竞争审查制度落实，加强公平竞争审查业务培训，加大《中华人民共和国反垄断法》和公平竞争政策宣传力度。组织开展制止滥用行政权力排除、限制竞争执法专项行动，切实保障市场主体公平竞争。</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祁亚军</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outlineLvl w:val="9"/>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县发改局、县财政局、县商信局、县司法局等部门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38</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开展反不正当竞争专项行动</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建立健全反不正当竞争工作协调机制。围绕群众投诉举报多、反映集中的问题，开展反不正当竞争专项执法行动，严厉查处和打击仿冒混淆、虚假宣传等不正当竞争行为。</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祁亚军</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县公安局、县司法局等部门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84"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39</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扎实推进社会信用体系建设示范城市创建</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auto"/>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在县自然资源局、县住建局、县财政局、县农业农村局等单位开展信用分级分类监管工作；县财政局、县行政审批局等单位在行政管理事项中使用信用记录和信用报告。切实加大信用信息归集力度。深入开展诚信文化宣传等工作，力争我县创建目标任务有所突破。</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县发改局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县自然资源局、县住建局、县农业农村局、县财政局、县行政审批局等部门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3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40</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加强知识产权保护</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auto"/>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扎实推进国家国家知识产权强县建设试点工作，落实《眉县强化知识产权保护工作具体措施》，进一步提高知识产权创造、运用、保护、管理和服务的能力与水平。加强专利代理行业监管，严厉打击非正常专利申请代理和无资质专利代理行为。依法查处违法使用商标行为，严厉打击恶意注册商标行为。强化多元化解知识产权纠纷能力。</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祁亚军</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41</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推进政务服务事项清单和实施清单标准化</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建立健全政务服务事项清单，将依申请办理的行政权力事项和公共服务事项全部纳入清单管理。参照中、省、市政务服务事项基本目录设立的要素，编制形成政务服务事项实施清单，实现同一政务服务事项名称、编码、依据、类型、受理条件、服务对象、办理流程、申请材料、法定办结时限、办理结果等要素统一。</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623"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42</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深化“一网通办”“跨省通办”</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300" w:lineRule="exact"/>
              <w:ind w:right="0" w:firstLine="0" w:firstLineChars="0"/>
              <w:jc w:val="both"/>
              <w:textAlignment w:val="auto"/>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进一步扩充事项清单，逐步将保障改善民生、促进就业创业等</w:t>
            </w:r>
            <w:r>
              <w:rPr>
                <w:rFonts w:hint="eastAsia" w:ascii="仿宋_GB2312" w:hAnsi="仿宋_GB2312" w:eastAsia="仿宋_GB2312" w:cs="仿宋_GB2312"/>
                <w:b w:val="0"/>
                <w:bCs w:val="0"/>
                <w:spacing w:val="-6"/>
                <w:sz w:val="24"/>
                <w:szCs w:val="24"/>
                <w:vertAlign w:val="baseline"/>
                <w:lang w:val="en-US" w:eastAsia="zh-CN"/>
              </w:rPr>
              <w:t>方面的个性化事项纳入“跨省通办”事项清单中，着力打造线上“一网通办”和线下“一窗通办”服务融合发展，优化业务规则，规范办事标准，无差别受理、同标准办理。政务服务大厅及各分厅应鼓励企业群众线上办理，全程网办事项占比不低于70%。</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095"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43</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推进“一件事一次办”</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围绕自然人和法人全生命周期，对新生儿出生、不动产登记、交房即交证、高校毕业生就业等18项高频政务服务事项“一件事一次办”，形成标准化工作规程和办事指南。整合申请表单、精简申请材料，实现“多表合一、一表申请、一套材料、一次提交”。在书店、网吧、农资专卖等行业领域推广“一业一证”改革，让更多的市场主体实现“拿证即经营”。</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41"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44</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提升政务服务整体效能</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镇村三级政务服务机构实现统一管理，各镇（街）、各部门严格按照“应进全进”的原则，将涉及政务服务事项纳入政务服务中心、分中心及镇村便民服务站点集中受理且实质运行，实现更多事项“下沉办、就近办、家门口办”。推广“秦务员”一体化政务服务平台，让更多高频事项掌上好办。梳理“承诺办+容缺办”事项清单，规范政务服务线上线下融合发展，确保线上线下无差别受理、同标准办理。</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91"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45</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扩大电子证照应用</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配合做好电子证照库证照汇聚共享工作，落实电子营业执照在市场准入、纳税、金融、招投标等高频服务领域应用，以及居民身份证电子证照在生育登记、不动产登记、公积金领取、社保医保查询等政务服务事项办理中的应用，推动新申领的结（离）婚证在户口登记变更、生育一件事、不动产产权相关业务场景的共享复用，推动不动产登记证明（书）在企业经营许可、入学资质审查等高频政务服务事项中广泛应用。</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县公安局、县民政局、县自然资源局、县信息中心等部门，各镇街、各园区管委会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33"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46</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规范窗口服务</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政务服务中心实行周末“延时服务”，实现政务服务“周末不打烊”。按照无差别为主、分领域为辅的原则设置综合办事窗口，逐步整合部门单设的办事窗口，实行一窗无差别综合受理。推进综合窗口服务向“一件事”、主题式服务优化整合。统筹窗口资源，设置“办不成事”反映窗口，提供兜底服务。</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县公安局、县民政局、县自然资源局、县人社局等部门，各镇街、各园区管委会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51"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47</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规范开展政务服务“好差评”</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政务服务便民热线和自建政务服务“好差评”系统要加快改造接入“秦务员”平台统一评价页面开展评价。进一步健全评价、整改、反馈、监督全流程政务服务评价机制，研判差评原因，满足合理诉求，实现政务服务事项、评价对象、服务渠道“三个全覆盖”，以及“好差评”联动反馈、“差评”核实整改和整改回访“三个100%”。</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9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48</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规范中介服务和收费</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持续清理政务服务领域无依据的中介服务事项，制定行政审批中介服务事项清单并向社会公布。健全网上中介超市平台功能，加强中介机构信用监管。依法查处中介机构超过政府定价和政府指导价违规收费、向市场主体转嫁应由政府部门承担的费用、将行政审批事项转为中介服务并收费等行为。</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祁亚军</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县行政审批局</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县市场监管局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62"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49</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持续开展“坐窗口、走流程、跟执法”活动</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jc w:val="both"/>
              <w:textAlignment w:val="baseline"/>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级主要领导、各镇街、各园区、各部门“一把手”每半年至少参加1次“坐窗口、走流程、跟执法”活动，切身体验政务服务的便利度，现场研究进一步优化办事流程、提高办事效率、规范行政执法的有效措施。</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6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积极创建营商环境创新示范区</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加强典型经验复制推广，用好2022年评价结果，补短板、强弱项，求突破、促提升，持续优化全县营商环境，力争创建成为省级营商环境创新示范区。</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59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51</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深入贯彻落实《优化营商环境条例》</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牢固树立法治是最好的营商环境理念，落实《陕西省优化营商环境条例》分工方案，开展条例落实情况督导检查，严格相关重大行政决策和行政规范性文件的合法性审核审查。</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县司法局等相关部门，各镇街、各园区管委会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0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52</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继续抓好集中治理拖欠市场主体账款行为</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color w:val="auto"/>
                <w:spacing w:val="0"/>
                <w:kern w:val="21"/>
                <w:position w:val="0"/>
                <w:sz w:val="24"/>
                <w:szCs w:val="24"/>
                <w:highlight w:val="none"/>
                <w:lang w:val="en" w:eastAsia="zh-CN"/>
              </w:rPr>
            </w:pPr>
            <w:r>
              <w:rPr>
                <w:rFonts w:hint="eastAsia" w:ascii="仿宋_GB2312" w:hAnsi="仿宋_GB2312" w:eastAsia="仿宋_GB2312" w:cs="仿宋_GB2312"/>
                <w:b w:val="0"/>
                <w:bCs w:val="0"/>
                <w:color w:val="auto"/>
                <w:spacing w:val="0"/>
                <w:kern w:val="21"/>
                <w:position w:val="0"/>
                <w:sz w:val="24"/>
                <w:szCs w:val="24"/>
                <w:highlight w:val="none"/>
                <w:lang w:val="en" w:eastAsia="zh-CN"/>
              </w:rPr>
              <w:t>严格执行《政府投资条例》，防止边清边欠、前清后欠。落实国务院《保障中小企业款项支付条例》，深化防范和化解拖欠中小企业账款专项行动，加大清偿存量欠款工作力度。建立快立、快审、快执机制，确保进入司法程序的中小企业账款及时得到支付，统筹司法、行政手段严惩新增拖欠行为。</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县商信局、县司法局等部门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34"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53</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完善政企沟通机制</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90" w:lineRule="exact"/>
              <w:ind w:right="0" w:firstLine="0" w:firstLineChars="0"/>
              <w:jc w:val="both"/>
              <w:textAlignment w:val="baseline"/>
              <w:outlineLvl w:val="0"/>
              <w:rPr>
                <w:rFonts w:hint="eastAsia" w:ascii="仿宋_GB2312" w:hAnsi="仿宋_GB2312" w:eastAsia="仿宋_GB2312" w:cs="仿宋_GB2312"/>
                <w:b w:val="0"/>
                <w:bCs w:val="0"/>
                <w:color w:val="auto"/>
                <w:spacing w:val="0"/>
                <w:kern w:val="21"/>
                <w:position w:val="0"/>
                <w:sz w:val="24"/>
                <w:szCs w:val="24"/>
                <w:highlight w:val="none"/>
                <w:lang w:val="en" w:eastAsia="zh-CN"/>
              </w:rPr>
            </w:pPr>
            <w:r>
              <w:rPr>
                <w:rFonts w:hint="eastAsia" w:ascii="仿宋_GB2312" w:hAnsi="仿宋_GB2312" w:eastAsia="仿宋_GB2312" w:cs="仿宋_GB2312"/>
                <w:b w:val="0"/>
                <w:bCs w:val="0"/>
                <w:color w:val="auto"/>
                <w:spacing w:val="0"/>
                <w:kern w:val="21"/>
                <w:position w:val="0"/>
                <w:sz w:val="24"/>
                <w:szCs w:val="24"/>
                <w:highlight w:val="none"/>
                <w:lang w:val="en" w:eastAsia="zh-CN"/>
              </w:rPr>
              <w:t>建立政府部门与市场主体、行业协会商会常态化沟通机制，及时了解、回应企业诉求。</w:t>
            </w:r>
            <w:r>
              <w:rPr>
                <w:rFonts w:hint="eastAsia" w:ascii="仿宋_GB2312" w:hAnsi="仿宋_GB2312" w:eastAsia="仿宋_GB2312" w:cs="仿宋_GB2312"/>
                <w:b w:val="0"/>
                <w:bCs w:val="0"/>
                <w:color w:val="auto"/>
                <w:spacing w:val="0"/>
                <w:w w:val="100"/>
                <w:kern w:val="21"/>
                <w:position w:val="0"/>
                <w:sz w:val="24"/>
                <w:szCs w:val="24"/>
                <w:highlight w:val="none"/>
                <w:lang w:val="en-US" w:eastAsia="zh-CN"/>
              </w:rPr>
              <w:t>建立健全重大政策评估评价制度。</w:t>
            </w:r>
            <w:r>
              <w:rPr>
                <w:rFonts w:hint="eastAsia" w:ascii="仿宋_GB2312" w:hAnsi="仿宋_GB2312" w:eastAsia="仿宋_GB2312" w:cs="仿宋_GB2312"/>
                <w:b w:val="0"/>
                <w:bCs w:val="0"/>
                <w:color w:val="auto"/>
                <w:spacing w:val="0"/>
                <w:kern w:val="21"/>
                <w:position w:val="0"/>
                <w:sz w:val="24"/>
                <w:szCs w:val="24"/>
                <w:highlight w:val="none"/>
                <w:lang w:val="en" w:eastAsia="zh-CN"/>
              </w:rPr>
              <w:t>制定涉企政策严格落实评估论证、公开征求意见、合法性审核等要求，重大涉企政策出台前应充分听取相关企业意见。</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王富强</w:t>
            </w:r>
          </w:p>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付青剑</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县商信局</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县司法局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各相关部门，</w:t>
            </w:r>
            <w:r>
              <w:rPr>
                <w:rFonts w:hint="eastAsia" w:ascii="仿宋_GB2312" w:hAnsi="仿宋_GB2312" w:eastAsia="仿宋_GB2312" w:cs="仿宋_GB2312"/>
                <w:b w:val="0"/>
                <w:bCs w:val="0"/>
                <w:sz w:val="24"/>
                <w:szCs w:val="24"/>
                <w:vertAlign w:val="baseline"/>
                <w:lang w:val="en-US" w:eastAsia="zh-CN"/>
              </w:rPr>
              <w:t>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0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54</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健全营商环境投诉举报机制</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90" w:lineRule="exact"/>
              <w:ind w:right="0" w:firstLine="0" w:firstLineChars="0"/>
              <w:jc w:val="both"/>
              <w:textAlignment w:val="baseline"/>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落实《陕西省营商环境投诉举报处理办法（试行）》，健全工作推进机制，加强营商环境问题线索转办督办，及时发现问题、整改问题，保障市场主体合法权益。对营商环境涉诉企业进行回访，护航企业健康发展。</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31"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55</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深化营商环境特约监督员制度</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90" w:lineRule="exact"/>
              <w:ind w:right="0" w:firstLine="0" w:firstLineChars="0"/>
              <w:jc w:val="both"/>
              <w:textAlignment w:val="baseline"/>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6"/>
                <w:kern w:val="21"/>
                <w:position w:val="0"/>
                <w:sz w:val="24"/>
                <w:szCs w:val="24"/>
                <w:highlight w:val="none"/>
                <w:lang w:eastAsia="zh-CN"/>
              </w:rPr>
              <w:t>完善营商环境社会监督机制，聘请第二届营商环境特约监督员，加强沟通协调，在惠企便民政策落实、行政审批、执法检查、行业风气等方面组织开展监督活动，充分发挥营商环境监督员作用。</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96"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56</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健全“有问必应、接诉即办”平台服务机制</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90" w:lineRule="exact"/>
              <w:ind w:right="0" w:firstLine="0" w:firstLineChars="0"/>
              <w:jc w:val="both"/>
              <w:textAlignment w:val="baseline"/>
              <w:outlineLvl w:val="0"/>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做好12345政务服务便民热线工单跟踪、督促和评价。强化“三项机制”运行管理办法，对责任单位信息员进行专题培训，提高工单办理效率和质量。对每个月投诉量大、问题复杂、矛盾突出的单位进行走访调研，指导办理处置方式方法。对超期未办结、反复集中投诉的工单，实行挂号建档、跟踪督办、全程督办，确保“件件有着落，事事有回音。</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县政府</w:t>
            </w:r>
          </w:p>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县信息中心等部门，各镇街、各园区管委会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34"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57</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用好“陕企通”等统一政策发布平台</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90" w:lineRule="exact"/>
              <w:ind w:right="0" w:firstLine="0" w:firstLineChars="0"/>
              <w:jc w:val="both"/>
              <w:textAlignment w:val="baseline"/>
              <w:outlineLvl w:val="0"/>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健全完善省级中小企业公共服务示范平台建设，加强与秦创原、高校院所等机构对接交流，支持特约服务机构聚焦创业扶持、融资担保、技术支持、信息咨询、项目申报、市场开拓和人才培训等方面，针对企业需求开展服务进园区进企业活动。</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9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王富强</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县商信局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firstLine="0" w:firstLineChars="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1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58</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开展政策落实障碍清理行动</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6"/>
                <w:kern w:val="21"/>
                <w:position w:val="0"/>
                <w:sz w:val="24"/>
                <w:szCs w:val="24"/>
                <w:highlight w:val="none"/>
                <w:lang w:eastAsia="zh-CN"/>
              </w:rPr>
              <w:t>梳理涉及市场主体、引进项目的减税降费、行政奖励、财政补贴补助等各项优惠政策、产业促进政策、人才支持政策，编制清单、精准推送、及时兑现，努力变“企业找政策”为“政策找企业”。</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50"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59</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强化惠企政策宣传落地</w:t>
            </w:r>
          </w:p>
        </w:tc>
        <w:tc>
          <w:tcPr>
            <w:tcW w:w="674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在县政府网站设置惠企政策专区，汇集本地区本领域市场主体适用的惠企政策，并加强政策宣传解读，促进政策落地落实。定期整理编印《中小企业惠企政策汇编》，举办工业大讲堂、政策培训会、企业家座谈会，邀请专家授课解读行业支持政策，切实让中小企业享受到政策红利。</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王富强</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县商信局</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县税务局、县人社局、县金融办等部门，各镇街、各园区管委会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78" w:hRule="atLeast"/>
        </w:trPr>
        <w:tc>
          <w:tcPr>
            <w:tcW w:w="6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val="en-US" w:eastAsia="zh-CN"/>
              </w:rPr>
            </w:pPr>
            <w:r>
              <w:rPr>
                <w:rFonts w:hint="eastAsia" w:ascii="仿宋_GB2312" w:hAnsi="仿宋_GB2312" w:eastAsia="仿宋_GB2312" w:cs="仿宋_GB2312"/>
                <w:b w:val="0"/>
                <w:bCs w:val="0"/>
                <w:color w:val="auto"/>
                <w:spacing w:val="0"/>
                <w:kern w:val="21"/>
                <w:position w:val="0"/>
                <w:sz w:val="24"/>
                <w:szCs w:val="24"/>
                <w:highlight w:val="none"/>
                <w:lang w:val="en-US" w:eastAsia="zh-CN"/>
              </w:rPr>
              <w:t>60</w:t>
            </w:r>
          </w:p>
        </w:tc>
        <w:tc>
          <w:tcPr>
            <w:tcW w:w="151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深入开展营商环境突出问题专项治理</w:t>
            </w:r>
          </w:p>
        </w:tc>
        <w:tc>
          <w:tcPr>
            <w:tcW w:w="6749"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outlineLvl w:val="0"/>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color w:val="auto"/>
                <w:spacing w:val="0"/>
                <w:kern w:val="21"/>
                <w:position w:val="0"/>
                <w:sz w:val="24"/>
                <w:szCs w:val="24"/>
                <w:highlight w:val="none"/>
                <w:lang w:eastAsia="zh-CN"/>
              </w:rPr>
              <w:t>在去年开展营商环境问题专项治理的基础上，紧盯关键少数、重点领域、重要环节和服务窗口，紧盯普遍存在的、反映强烈的、治而未绝的突出问题，持续加大专项治理力度，切实解决企业群众的急难愁盼问题。</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齐永宏</w:t>
            </w:r>
          </w:p>
        </w:tc>
        <w:tc>
          <w:tcPr>
            <w:tcW w:w="11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color w:val="auto"/>
                <w:spacing w:val="0"/>
                <w:kern w:val="21"/>
                <w:position w:val="0"/>
                <w:sz w:val="24"/>
                <w:szCs w:val="24"/>
                <w:highlight w:val="none"/>
                <w:lang w:eastAsia="zh-CN"/>
              </w:rPr>
            </w:pPr>
            <w:r>
              <w:rPr>
                <w:rFonts w:hint="eastAsia" w:ascii="仿宋_GB2312" w:hAnsi="仿宋_GB2312" w:eastAsia="仿宋_GB2312" w:cs="仿宋_GB2312"/>
                <w:b w:val="0"/>
                <w:bCs w:val="0"/>
                <w:sz w:val="24"/>
                <w:szCs w:val="24"/>
                <w:vertAlign w:val="baseline"/>
                <w:lang w:val="en-US" w:eastAsia="zh-CN"/>
              </w:rPr>
              <w:t>各相关部门，各镇街、各园区管委会</w:t>
            </w:r>
          </w:p>
        </w:tc>
      </w:tr>
    </w:tbl>
    <w:p>
      <w:pPr>
        <w:pStyle w:val="6"/>
        <w:keepNext w:val="0"/>
        <w:keepLines w:val="0"/>
        <w:pageBreakBefore w:val="0"/>
        <w:widowControl w:val="0"/>
        <w:kinsoku/>
        <w:wordWrap/>
        <w:topLinePunct w:val="0"/>
        <w:autoSpaceDE/>
        <w:autoSpaceDN/>
        <w:bidi w:val="0"/>
        <w:adjustRightInd/>
        <w:snapToGrid/>
        <w:spacing w:line="540" w:lineRule="exact"/>
        <w:jc w:val="both"/>
        <w:textAlignment w:val="auto"/>
        <w:rPr>
          <w:rFonts w:hint="eastAsia" w:ascii="方正小标宋简体" w:hAnsi="方正小标宋简体" w:eastAsia="方正小标宋简体" w:cs="方正小标宋简体"/>
          <w:color w:val="auto"/>
          <w:sz w:val="44"/>
          <w:szCs w:val="44"/>
          <w:lang w:val="en-US" w:eastAsia="zh-CN"/>
        </w:rPr>
      </w:pPr>
    </w:p>
    <w:p>
      <w:pPr>
        <w:pStyle w:val="6"/>
        <w:keepNext w:val="0"/>
        <w:keepLines w:val="0"/>
        <w:pageBreakBefore w:val="0"/>
        <w:widowControl w:val="0"/>
        <w:kinsoku/>
        <w:wordWrap/>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widowControl w:val="0"/>
        <w:kinsoku/>
        <w:wordWrap/>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widowControl w:val="0"/>
        <w:kinsoku/>
        <w:wordWrap/>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widowControl w:val="0"/>
        <w:kinsoku/>
        <w:wordWrap/>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widowControl w:val="0"/>
        <w:kinsoku/>
        <w:wordWrap/>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p>
    <w:p>
      <w:pPr>
        <w:pStyle w:val="6"/>
        <w:keepNext w:val="0"/>
        <w:keepLines w:val="0"/>
        <w:pageBreakBefore w:val="0"/>
        <w:widowControl w:val="0"/>
        <w:kinsoku/>
        <w:wordWrap/>
        <w:topLinePunct w:val="0"/>
        <w:autoSpaceDE/>
        <w:autoSpaceDN/>
        <w:bidi w:val="0"/>
        <w:adjustRightInd/>
        <w:snapToGrid/>
        <w:spacing w:line="540" w:lineRule="exact"/>
        <w:ind w:left="0" w:leftChars="0" w:firstLine="0" w:firstLineChars="0"/>
        <w:textAlignment w:val="auto"/>
        <w:rPr>
          <w:rFonts w:hint="eastAsia" w:ascii="黑体" w:hAnsi="黑体" w:eastAsia="黑体" w:cs="黑体"/>
          <w:color w:val="auto"/>
          <w:sz w:val="32"/>
          <w:szCs w:val="32"/>
          <w:lang w:val="en-US" w:eastAsia="zh-CN"/>
        </w:rPr>
      </w:pPr>
    </w:p>
    <w:p>
      <w:pPr>
        <w:pStyle w:val="6"/>
        <w:keepNext w:val="0"/>
        <w:keepLines w:val="0"/>
        <w:pageBreakBefore w:val="0"/>
        <w:widowControl w:val="0"/>
        <w:kinsoku/>
        <w:wordWrap/>
        <w:topLinePunct w:val="0"/>
        <w:autoSpaceDE/>
        <w:autoSpaceDN/>
        <w:bidi w:val="0"/>
        <w:adjustRightInd/>
        <w:snapToGrid/>
        <w:spacing w:line="540" w:lineRule="exact"/>
        <w:ind w:left="0" w:leftChars="0" w:firstLine="0" w:firstLineChars="0"/>
        <w:textAlignment w:val="auto"/>
        <w:rPr>
          <w:rFonts w:hint="eastAsia" w:ascii="黑体" w:hAnsi="黑体" w:eastAsia="黑体" w:cs="黑体"/>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营商环境突破年特色任务清单</w:t>
      </w:r>
    </w:p>
    <w:tbl>
      <w:tblPr>
        <w:tblStyle w:val="13"/>
        <w:tblpPr w:leftFromText="180" w:rightFromText="180" w:vertAnchor="text" w:horzAnchor="page" w:tblpXSpec="center" w:tblpY="847"/>
        <w:tblOverlap w:val="never"/>
        <w:tblW w:w="13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88"/>
        <w:gridCol w:w="6144"/>
        <w:gridCol w:w="1354"/>
        <w:gridCol w:w="1332"/>
        <w:gridCol w:w="25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210" w:leftChars="-100" w:right="-210" w:rightChars="-10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改革措施</w:t>
            </w:r>
          </w:p>
        </w:tc>
        <w:tc>
          <w:tcPr>
            <w:tcW w:w="61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任务要求</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包抓领导</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牵头单位</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责任单位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加快数字政府建设</w:t>
            </w:r>
          </w:p>
        </w:tc>
        <w:tc>
          <w:tcPr>
            <w:tcW w:w="6144"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rightChars="0"/>
              <w:jc w:val="both"/>
              <w:textAlignment w:val="baseline"/>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加快推进数字眉县城市大脑指挥中心项目建设，完成领导驾驶舱及三个智慧应用场景建设。持续提升通信基础设施建设行动计划，加紧5G基站布局，年内完成规模化部署，实现5G信号连续覆盖。加快推进基于互联网协议第6版（IPV6）的下一代互联网规模部署，支持在互联网、车联网、工业互联网等领域开展IPV6应用创新和示范。加快建设支撑眉县数字经济、新型智慧城市建设的城市大数据平台、产业大数据平台和视频共享平台，推动数字政府、数字乡村治理，优化营商环境，提升城市管理水平。</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县政府</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default"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办公室</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打造“眉”好政务服务品牌</w:t>
            </w:r>
          </w:p>
        </w:tc>
        <w:tc>
          <w:tcPr>
            <w:tcW w:w="61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05" w:rightChars="-5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b w:val="0"/>
                <w:bCs w:val="0"/>
                <w:sz w:val="24"/>
                <w:szCs w:val="24"/>
                <w:vertAlign w:val="baseline"/>
                <w:lang w:val="en-US" w:eastAsia="zh-CN"/>
              </w:rPr>
              <w:t>从硬件建设、事项办理、平台互通、制度完善等方面系统化考虑，分阶段打造眉县“环节最少、程序最简、时间最短、服务最优”的“眉”好政务服务品牌。</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50" w:hRule="atLeast"/>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推行行政审批标准化</w:t>
            </w:r>
          </w:p>
        </w:tc>
        <w:tc>
          <w:tcPr>
            <w:tcW w:w="61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right="-105" w:rightChars="-5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参照中、省、市政务服务事项基本目录设立要素，编制形成政务服务事项实施清单、行政许可事项实施规范和《行政许可事项工作指南》，实现同一事项名称、编码、依据、类型、受理条件、服务对象、办理流程、申请材料、法定办结事项、办理结果等要素统一。</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开展分阶段施工许可改革</w:t>
            </w:r>
          </w:p>
        </w:tc>
        <w:tc>
          <w:tcPr>
            <w:tcW w:w="6144"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扩大分阶段办理施工许可试点范围，对条件成熟的产业化项目实施分阶段办理施工许可证，有效缩短项目建设周期，实现“拿地即开工”。</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齐永宏</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县行政</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审批局</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检验检测机构市场化改革</w:t>
            </w:r>
          </w:p>
        </w:tc>
        <w:tc>
          <w:tcPr>
            <w:tcW w:w="6144"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拆分重组食品药品安全检验检测中心，通过市场化运作，引入具备相关检测资质的检验检测公司，联合成立陕西秦源科创检测认证集团有限公司和检验检测中心，整合有关检验检测机构，扩充检验资质，提升检验检测能力，促进“一集团一中心”共同发展。</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祁亚军</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县市场</w:t>
            </w:r>
          </w:p>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监管局</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推进民事案件繁简分流</w:t>
            </w:r>
          </w:p>
        </w:tc>
        <w:tc>
          <w:tcPr>
            <w:tcW w:w="6144"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textAlignment w:val="baseline"/>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推行民事诉讼繁简分流，实现“繁案精审，简案快审”，</w:t>
            </w:r>
            <w:r>
              <w:rPr>
                <w:rFonts w:hint="eastAsia" w:ascii="仿宋_GB2312" w:hAnsi="仿宋_GB2312" w:eastAsia="仿宋_GB2312" w:cs="仿宋_GB2312"/>
                <w:b w:val="0"/>
                <w:bCs w:val="0"/>
                <w:sz w:val="24"/>
                <w:szCs w:val="24"/>
                <w:vertAlign w:val="baseline"/>
                <w:lang w:val="en-US" w:eastAsia="zh-CN"/>
              </w:rPr>
              <w:t>由专人负责按标准分类繁案、简案，</w:t>
            </w:r>
            <w:r>
              <w:rPr>
                <w:rFonts w:hint="eastAsia" w:ascii="仿宋_GB2312" w:hAnsi="仿宋_GB2312" w:eastAsia="仿宋_GB2312" w:cs="仿宋_GB2312"/>
                <w:b w:val="0"/>
                <w:bCs w:val="0"/>
                <w:spacing w:val="-6"/>
                <w:sz w:val="24"/>
                <w:szCs w:val="24"/>
                <w:vertAlign w:val="baseline"/>
                <w:lang w:val="en-US" w:eastAsia="zh-CN"/>
              </w:rPr>
              <w:t>一般应立案当日完成，最长不超过3日；简案由速裁团队办理，在3日内速裁审查，并在22日内办结。</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付青剑</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pacing w:val="-6"/>
                <w:sz w:val="24"/>
                <w:szCs w:val="24"/>
                <w:vertAlign w:val="baseline"/>
                <w:lang w:val="en-US" w:eastAsia="zh-CN"/>
              </w:rPr>
              <w:t>县法院</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46" w:hRule="atLeast"/>
          <w:jc w:val="center"/>
        </w:trPr>
        <w:tc>
          <w:tcPr>
            <w:tcW w:w="6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16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扩大对外开放</w:t>
            </w:r>
          </w:p>
        </w:tc>
        <w:tc>
          <w:tcPr>
            <w:tcW w:w="6144" w:type="dxa"/>
            <w:tcBorders>
              <w:tl2br w:val="nil"/>
              <w:tr2bl w:val="nil"/>
            </w:tcBorders>
            <w:vAlign w:val="center"/>
          </w:tcPr>
          <w:p>
            <w:pPr>
              <w:keepNext w:val="0"/>
              <w:keepLines w:val="0"/>
              <w:pageBreakBefore w:val="0"/>
              <w:widowControl w:val="0"/>
              <w:kinsoku/>
              <w:wordWrap/>
              <w:overflowPunct/>
              <w:topLinePunct/>
              <w:autoSpaceDE w:val="0"/>
              <w:autoSpaceDN/>
              <w:bidi w:val="0"/>
              <w:adjustRightInd/>
              <w:snapToGrid/>
              <w:spacing w:line="240" w:lineRule="atLeast"/>
              <w:ind w:right="0"/>
              <w:jc w:val="both"/>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鼓励支持工贸企业积极参加国际性会展活动，提升企业知名度。组织企业参与省市举办各类国际性外贸规则培训活动，规避国际贸易风险。培育引进外贸人才，壮大外贸营销团队，增强进出口能力。发挥国家外贸出口转型升级基地作用，提升基地服务功能，孵化外贸龙头企业。围绕园区产业定位，延伸产业链，提高外贸基地进出口企业总量。</w:t>
            </w:r>
          </w:p>
        </w:tc>
        <w:tc>
          <w:tcPr>
            <w:tcW w:w="13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王富强</w:t>
            </w:r>
          </w:p>
        </w:tc>
        <w:tc>
          <w:tcPr>
            <w:tcW w:w="133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县商信局</w:t>
            </w:r>
          </w:p>
        </w:tc>
        <w:tc>
          <w:tcPr>
            <w:tcW w:w="25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right="-105" w:rightChars="-50"/>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各相关部门，常兴镇</w:t>
            </w:r>
          </w:p>
        </w:tc>
      </w:tr>
    </w:tbl>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eastAsiaTheme="minorEastAsia"/>
          <w:color w:val="000000"/>
          <w:u w:val="single"/>
          <w:lang w:val="en-US" w:eastAsia="zh-CN"/>
        </w:rPr>
      </w:pPr>
    </w:p>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eastAsiaTheme="minorEastAsia"/>
          <w:color w:val="000000"/>
          <w:u w:val="single"/>
          <w:lang w:val="en-US" w:eastAsia="zh-CN"/>
        </w:rPr>
      </w:pPr>
    </w:p>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eastAsiaTheme="minorEastAsia"/>
          <w:color w:val="000000"/>
          <w:u w:val="single"/>
          <w:lang w:val="en-US" w:eastAsia="zh-CN"/>
        </w:rPr>
      </w:pPr>
    </w:p>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eastAsiaTheme="minorEastAsia"/>
          <w:color w:val="000000"/>
          <w:u w:val="single"/>
          <w:lang w:val="en-US" w:eastAsia="zh-CN"/>
        </w:rPr>
      </w:pPr>
    </w:p>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eastAsiaTheme="minorEastAsia"/>
          <w:color w:val="000000"/>
          <w:u w:val="single"/>
          <w:lang w:val="en-US" w:eastAsia="zh-CN"/>
        </w:rPr>
      </w:pPr>
    </w:p>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eastAsiaTheme="minorEastAsia"/>
          <w:color w:val="000000"/>
          <w:u w:val="single"/>
          <w:lang w:val="en-US" w:eastAsia="zh-CN"/>
        </w:rPr>
      </w:pPr>
    </w:p>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eastAsiaTheme="minorEastAsia"/>
          <w:color w:val="000000"/>
          <w:u w:val="single"/>
          <w:lang w:val="en-US" w:eastAsia="zh-CN"/>
        </w:rPr>
        <w:sectPr>
          <w:footerReference r:id="rId4" w:type="default"/>
          <w:pgSz w:w="16838" w:h="11906" w:orient="landscape"/>
          <w:pgMar w:top="1701" w:right="1417" w:bottom="1417" w:left="1417" w:header="851" w:footer="992" w:gutter="0"/>
          <w:pgNumType w:fmt="numberInDash"/>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眉县干部作风能力提升年行动方案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center"/>
        <w:textAlignment w:val="auto"/>
        <w:outlineLvl w:val="9"/>
        <w:rPr>
          <w:rFonts w:hint="eastAsia" w:ascii="仿宋_GB2312" w:eastAsia="仿宋_GB2312"/>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根据省、市委安排部署，为确保全县干部作风能力提升年活动取得实效，现制定如下方案。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eastAsia="仿宋_GB2312"/>
          <w:sz w:val="32"/>
          <w:szCs w:val="32"/>
        </w:rPr>
        <w:t>坚持以习近平新时代中国特色社会主义思想为指导，全面贯彻落实党的二十大精神，认真贯彻落实习近平总书记来陕考察和瞻仰延安革命纪念地时</w:t>
      </w:r>
      <w:r>
        <w:rPr>
          <w:rFonts w:hint="eastAsia" w:ascii="仿宋_GB2312" w:eastAsia="仿宋_GB2312"/>
          <w:sz w:val="32"/>
          <w:szCs w:val="32"/>
          <w:lang w:eastAsia="zh-CN"/>
        </w:rPr>
        <w:t>的</w:t>
      </w:r>
      <w:r>
        <w:rPr>
          <w:rFonts w:hint="eastAsia" w:ascii="仿宋_GB2312" w:eastAsia="仿宋_GB2312"/>
          <w:sz w:val="32"/>
          <w:szCs w:val="32"/>
        </w:rPr>
        <w:t>重要讲话重要指示精神，大力弘扬伟大建党精神和延安精神，按照省、市、县党代会和全委会部署，深入实施“17555”发展战略，聚焦建设与“五个眉县”高质量发展相适应的高素质干部队伍，着力增强干部推动高质量发展、服务群众、防范化解风险“三项本领”，持续锤炼“勤快严实精细廉”“苦干实干快干、努力干一起干”的优良作风，驰而不息推动各级干部大抓发展、大抓服务、大抓效能，以干部敢为带动县域敢闯、企业敢干、群众敢首创，</w:t>
      </w:r>
      <w:r>
        <w:rPr>
          <w:rFonts w:hint="eastAsia" w:ascii="仿宋_GB2312" w:hAnsi="黑体" w:eastAsia="仿宋_GB2312"/>
          <w:sz w:val="32"/>
          <w:szCs w:val="32"/>
        </w:rPr>
        <w:t>为全面推进中国式现代化眉县新实践，提供坚强作风保证和有效干部支撑。</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二、工作目标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（一）增强忠诚意识，提高政治能力。</w:t>
      </w:r>
      <w:r>
        <w:rPr>
          <w:rFonts w:hint="eastAsia" w:ascii="仿宋_GB2312" w:hAnsi="黑体" w:eastAsia="仿宋_GB2312"/>
          <w:sz w:val="32"/>
          <w:szCs w:val="32"/>
        </w:rPr>
        <w:t>引导党员干部站稳政治立场，自觉从政治上分析、把握和解决问题，始终心怀“国之大者”，不断提高政治判断力、政治领悟力、政治执行力，坚定捍卫“两个确立”，坚决做到“两个维护”。</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（二）增强宗旨意识，提高服务能力。</w:t>
      </w:r>
      <w:r>
        <w:rPr>
          <w:rFonts w:hint="eastAsia" w:ascii="仿宋_GB2312" w:hAnsi="黑体" w:eastAsia="仿宋_GB2312"/>
          <w:sz w:val="32"/>
          <w:szCs w:val="32"/>
        </w:rPr>
        <w:t>引导党员干部牢固树立以人民为中心的发展理念，深入一线、深入基层、深入群众，紧盯群众急难愁盼，扎扎实实搞调研，听民声、察民情、解民忧，办好顺民意、暖民心、惠民生的实事，让群众的获得感成色更足、幸福感更可持续、安全感更有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（三）增强忧患意识，提高创业能力。</w:t>
      </w:r>
      <w:r>
        <w:rPr>
          <w:rFonts w:hint="eastAsia" w:ascii="仿宋_GB2312" w:hAnsi="黑体" w:eastAsia="仿宋_GB2312"/>
          <w:sz w:val="32"/>
          <w:szCs w:val="32"/>
        </w:rPr>
        <w:t>引导党员干部居安思危，面对新形势新任务新挑战新考验，甘当“小学生”，通过加强思想淬炼、政治历练、实践锻炼、专业训练，全面提升理论武装、政治鉴别、调查研究、高效落实、改革攻坚、法治思维、抵御风险、群众工作、应变处突、自我约束“十种能力”，凭借过硬本领干事创业、不辱使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（四）增强负重意识，提高攻坚能力。</w:t>
      </w:r>
      <w:r>
        <w:rPr>
          <w:rFonts w:hint="eastAsia" w:ascii="仿宋_GB2312" w:hAnsi="黑体" w:eastAsia="仿宋_GB2312"/>
          <w:sz w:val="32"/>
          <w:szCs w:val="32"/>
        </w:rPr>
        <w:t>引导党员干部牢记“三个务必”，知重负重、攻坚克难，始终保持“勇攀高峰争一流”的朝气、“真抓实干建新功”的士气、“勇于担当善作为”的锐气，做到平常时候看得出来、关键时刻站得出来、危难关头豁得出来，在全县上下巩固发展人心思齐、人心思进、人心思干的良好态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（五）增强争先意识，提高发展能力。</w:t>
      </w:r>
      <w:r>
        <w:rPr>
          <w:rFonts w:hint="eastAsia" w:ascii="仿宋_GB2312" w:hAnsi="黑体" w:eastAsia="仿宋_GB2312"/>
          <w:sz w:val="32"/>
          <w:szCs w:val="32"/>
        </w:rPr>
        <w:t>引导党员干部完整准确全面贯彻新发展理念，锚定县域高质量发展首要任务，结合实际深抓项目谋划、善抓项目建设、狠抓项目招引、细抓项目服务，推动县域经济、民营经济、开放型经济、数字经济等实现高质量跨越式发展。</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（六）增强规矩意识，提高斗争能力。</w:t>
      </w:r>
      <w:r>
        <w:rPr>
          <w:rFonts w:hint="eastAsia" w:ascii="仿宋_GB2312" w:hAnsi="黑体" w:eastAsia="仿宋_GB2312"/>
          <w:sz w:val="32"/>
          <w:szCs w:val="32"/>
        </w:rPr>
        <w:t>引导党员干部进一步践行“十个坚持、十个反对”，坚持对党忠诚，反对“两面人”；坚持胸怀大局，反对“局外人”；坚持真抓实干，反对“找借口”；坚持攻坚克难，反对“等靠要”；坚持改革创新，反对“凭经验”；坚持细致精致，反对“差不多”；坚持实事求是，反对“一刀切”；坚持为民服务，反对“不尽责”；坚持服从组织，反对“讲条件”；坚持廉洁自律，反对“潜规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三、重点任务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（一）聚焦“两个维护”，强化干部队伍政治建设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坚定维护党中央权威和集中统一领导，建立健全学习贯彻落实习近平总书记重要指示批示工作机制，坚持台账化管理、清单化运行，拧紧传达学习、研究部署、推进落实、监督检查、报告情况、“回头看”检验的闭环链条，在向党中央对标对表中把稳政治方向，真正把捍卫“两个确立”、做到“两个维护”内化于心、外化于行。〔县委办公室牵头，</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推进政治监督具体化、精准化、常态化，围绕完整准确全面贯彻新发展理念、加快构建新发展格局、着力推动高质量发展等重大战略部署，紧盯党中央和省、市、县委各项决策要求，一体跟进“五个眉县”建设具体任务落实，确保执行落实不偏向、不变通、不走样。〔县纪委监委机关牵头，</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严明政治纪律和政治规矩，深刻汲取秦岭违建事件教训，对照“七个有之”问题和“五个必须”要求，认真开展自查整改，着力解决执行决策做选择、贯彻要求搞变通、落实政策打折扣，以及干部队伍中存在的不担当不作为乱作为等问题。〔县纪委监委机关牵头，</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（二）聚焦习近平新时代中国特色社会主义思想，用党的创新理论凝心铸魂</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全面加强党的思想建设，实施党的创新理论学习教育计划，教育引导党员干部深入学习贯彻习近平新时代中国特色社会主义思想，全面准确把握“六个必须坚持”的世界观和方法论。〔县委宣传部牵头，</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严格落实“第一议题”制度，坚持把学习贯彻党的二十大精神和习近平总书记最新重要讲话重要指示，作为县委常委会首要议题和县委理论学习中心组核心学习内容。〔县委办公室、县委宣传部牵头，</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（三）聚焦学懂弄通做实，持续强化理论武装</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6</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分批次开展科级领导干部学习贯彻党的二十大精神集中轮训，通过专题辅导、专家讲座、巡回宣讲等方式，完成党的二十大精神党员干部全员培训。〔县委组织部牵头，</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7</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开展“弘扬延安精神、培塑优良作风”专题培训，常态化长效化开展党史学习教育，实施“传承基因、铸魂提能”培训计划，发挥眉县党员政治生活馆（党性教育中心）平台作用，深度挖掘扶眉战役纪念馆、李达故居等红色教育资源，加快完成郭何村全国红色美丽村庄建设，积极争取横渠村红色村项目落地。〔县委组织部、县档案馆（党史研究室）牵头，</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8</w:t>
      </w:r>
      <w:r>
        <w:rPr>
          <w:rFonts w:hint="eastAsia" w:ascii="仿宋_GB2312" w:hAnsi="黑体" w:eastAsia="仿宋_GB2312"/>
          <w:sz w:val="32"/>
          <w:szCs w:val="32"/>
          <w:lang w:val="en-US" w:eastAsia="zh-CN"/>
        </w:rPr>
        <w:t xml:space="preserve">. </w:t>
      </w:r>
      <w:r>
        <w:rPr>
          <w:rFonts w:hint="eastAsia" w:ascii="仿宋_GB2312" w:eastAsia="仿宋_GB2312"/>
          <w:sz w:val="32"/>
          <w:szCs w:val="32"/>
        </w:rPr>
        <w:t>总结梳理县域生态文明建设实践经验，打造一批具有眉县特色的“两山理论”教育培训点位，助推产业生态化、生态产业化。〔县委组织部牵头，</w:t>
      </w:r>
      <w:r>
        <w:rPr>
          <w:rFonts w:hint="eastAsia" w:ascii="仿宋_GB2312" w:eastAsia="仿宋_GB2312"/>
          <w:sz w:val="32"/>
          <w:szCs w:val="32"/>
          <w:lang w:eastAsia="zh-CN"/>
        </w:rPr>
        <w:t>相关</w:t>
      </w:r>
      <w:r>
        <w:rPr>
          <w:rFonts w:hint="eastAsia" w:ascii="仿宋_GB2312" w:eastAsia="仿宋_GB2312"/>
          <w:sz w:val="32"/>
          <w:szCs w:val="32"/>
        </w:rPr>
        <w:t>镇（街）、县级</w:t>
      </w:r>
      <w:r>
        <w:rPr>
          <w:rFonts w:hint="eastAsia" w:ascii="仿宋_GB2312" w:eastAsia="仿宋_GB2312"/>
          <w:sz w:val="32"/>
          <w:szCs w:val="32"/>
          <w:lang w:eastAsia="zh-CN"/>
        </w:rPr>
        <w:t>相关</w:t>
      </w:r>
      <w:r>
        <w:rPr>
          <w:rFonts w:hint="eastAsia" w:ascii="仿宋_GB2312" w:eastAsia="仿宋_GB2312"/>
          <w:sz w:val="32"/>
          <w:szCs w:val="32"/>
        </w:rPr>
        <w:t>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（四）聚焦系统培养，全面提升干部综合素质</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9</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实施干部专业化能力提升工程，紧盯县域高质量发展重难点问题，有针对性地组织干部</w:t>
      </w:r>
      <w:r>
        <w:rPr>
          <w:rFonts w:hint="eastAsia" w:ascii="仿宋_GB2312" w:eastAsia="仿宋_GB2312"/>
          <w:sz w:val="32"/>
          <w:szCs w:val="32"/>
        </w:rPr>
        <w:t>赴发达地区、知名高校“走出去”充电蓄能。〔县委组织部</w:t>
      </w:r>
      <w:r>
        <w:rPr>
          <w:rFonts w:hint="eastAsia" w:ascii="仿宋_GB2312" w:hAnsi="黑体" w:eastAsia="仿宋_GB2312"/>
          <w:sz w:val="32"/>
          <w:szCs w:val="32"/>
        </w:rPr>
        <w:t>牵头，县发改局、县生态环境局、县应急管理局、县乡村振兴局、县招商局分工负责，</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val="en-US" w:eastAsia="zh-CN"/>
        </w:rPr>
        <w:t>.</w:t>
      </w:r>
      <w:r>
        <w:rPr>
          <w:rFonts w:hint="eastAsia" w:ascii="仿宋_GB2312" w:eastAsia="仿宋_GB2312"/>
          <w:sz w:val="32"/>
          <w:szCs w:val="32"/>
        </w:rPr>
        <w:t>指导各行业领域开展岗位大练兵、技能大比武、轮岗大交流，通过业务学习、揭榜挂帅、擂台比武、专题研修、实战演练等方式，强化各条战线干部推动高质量发展的能力本领。〔县委组织部牵头，县商信局、县人社局分工负责，</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11</w:t>
      </w:r>
      <w:r>
        <w:rPr>
          <w:rFonts w:hint="eastAsia" w:ascii="仿宋_GB2312" w:hAnsi="黑体" w:eastAsia="仿宋_GB2312"/>
          <w:sz w:val="32"/>
          <w:szCs w:val="32"/>
          <w:lang w:val="en-US" w:eastAsia="zh-CN"/>
        </w:rPr>
        <w:t>.</w:t>
      </w:r>
      <w:r>
        <w:rPr>
          <w:rFonts w:hint="eastAsia" w:ascii="仿宋_GB2312" w:hAnsi="黑体" w:eastAsia="仿宋_GB2312"/>
          <w:sz w:val="32"/>
          <w:szCs w:val="32"/>
        </w:rPr>
        <w:t>实施“四个一批”工程</w:t>
      </w:r>
      <w:r>
        <w:rPr>
          <w:rFonts w:hint="eastAsia" w:ascii="仿宋_GB2312" w:hAnsi="黑体" w:eastAsia="仿宋_GB2312"/>
          <w:sz w:val="32"/>
          <w:szCs w:val="32"/>
          <w:lang w:eastAsia="zh-CN"/>
        </w:rPr>
        <w:t>，</w:t>
      </w:r>
      <w:r>
        <w:rPr>
          <w:rFonts w:hint="eastAsia" w:ascii="仿宋_GB2312" w:hAnsi="黑体" w:eastAsia="仿宋_GB2312"/>
          <w:sz w:val="32"/>
          <w:szCs w:val="32"/>
        </w:rPr>
        <w:t>深化“内派外挂”机制，注重在基层一线、发展前沿、吃劲岗位锻炼干部、淬炼本领。</w:t>
      </w:r>
      <w:r>
        <w:rPr>
          <w:rFonts w:hint="eastAsia" w:ascii="仿宋_GB2312" w:eastAsia="仿宋_GB2312"/>
          <w:sz w:val="32"/>
          <w:szCs w:val="32"/>
        </w:rPr>
        <w:t>〔县委组织部牵头，县发改局、县商信局（科技局）、县人社局、县乡村振兴局分工负责，</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（五）聚焦实干实绩，树立鲜明用人导向</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12</w:t>
      </w:r>
      <w:r>
        <w:rPr>
          <w:rFonts w:hint="eastAsia" w:ascii="仿宋_GB2312" w:hAnsi="黑体" w:eastAsia="仿宋_GB2312"/>
          <w:sz w:val="32"/>
          <w:szCs w:val="32"/>
          <w:lang w:val="en-US" w:eastAsia="zh-CN"/>
        </w:rPr>
        <w:t>.</w:t>
      </w:r>
      <w:r>
        <w:rPr>
          <w:rFonts w:hint="eastAsia" w:ascii="仿宋_GB2312" w:hAnsi="黑体" w:eastAsia="仿宋_GB2312"/>
          <w:sz w:val="32"/>
          <w:szCs w:val="32"/>
        </w:rPr>
        <w:t>在大力发展县域经济、民营经济、开放型经济、数字经济等方面谋实招、求突破，完善产业链链长制和市、县班子成员包抓重点项目工作机制，推动“五个眉县”建设取得新突破。</w:t>
      </w:r>
      <w:r>
        <w:rPr>
          <w:rFonts w:hint="eastAsia" w:ascii="仿宋_GB2312" w:eastAsia="仿宋_GB2312"/>
          <w:sz w:val="32"/>
          <w:szCs w:val="32"/>
        </w:rPr>
        <w:t>〔县委办公室牵头，县委统战部、县发改局、县商信局、县市场监管局分工负责〕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13</w:t>
      </w:r>
      <w:r>
        <w:rPr>
          <w:rFonts w:hint="eastAsia" w:ascii="仿宋_GB2312" w:hAnsi="黑体" w:eastAsia="仿宋_GB2312"/>
          <w:sz w:val="32"/>
          <w:szCs w:val="32"/>
          <w:lang w:val="en-US" w:eastAsia="zh-CN"/>
        </w:rPr>
        <w:t>.</w:t>
      </w:r>
      <w:r>
        <w:rPr>
          <w:rFonts w:hint="eastAsia" w:ascii="仿宋_GB2312" w:hAnsi="黑体" w:eastAsia="仿宋_GB2312"/>
          <w:sz w:val="32"/>
          <w:szCs w:val="32"/>
        </w:rPr>
        <w:t>以正确用人导向引领干事创业方向，注重在高质量项目推进、营商环境突破、急难险重等重点工作一线考察识别干部。</w:t>
      </w:r>
      <w:r>
        <w:rPr>
          <w:rFonts w:hint="eastAsia" w:ascii="仿宋_GB2312" w:eastAsia="仿宋_GB2312"/>
          <w:sz w:val="32"/>
          <w:szCs w:val="32"/>
        </w:rPr>
        <w:t>〔县委组织部牵头，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hAnsi="黑体" w:eastAsia="仿宋_GB2312"/>
          <w:sz w:val="32"/>
          <w:szCs w:val="32"/>
        </w:rPr>
        <w:t>14</w:t>
      </w:r>
      <w:r>
        <w:rPr>
          <w:rFonts w:hint="eastAsia" w:ascii="仿宋_GB2312" w:hAnsi="黑体" w:eastAsia="仿宋_GB2312"/>
          <w:sz w:val="32"/>
          <w:szCs w:val="32"/>
          <w:lang w:val="en-US" w:eastAsia="zh-CN"/>
        </w:rPr>
        <w:t>.</w:t>
      </w:r>
      <w:r>
        <w:rPr>
          <w:rFonts w:hint="eastAsia" w:ascii="仿宋_GB2312" w:hAnsi="黑体" w:eastAsia="仿宋_GB2312"/>
          <w:sz w:val="32"/>
          <w:szCs w:val="32"/>
        </w:rPr>
        <w:t>充分发挥考核“指挥棒”作用，将“三个年”活动、“五个眉县”建设等重点工作纳入年度目标责任考核，加大季度排名和通报力度，强化考核结果运用。</w:t>
      </w:r>
      <w:r>
        <w:rPr>
          <w:rFonts w:hint="eastAsia" w:ascii="仿宋_GB2312" w:eastAsia="仿宋_GB2312"/>
          <w:sz w:val="32"/>
          <w:szCs w:val="32"/>
        </w:rPr>
        <w:t>〔县委组织部牵头，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15</w:t>
      </w:r>
      <w:r>
        <w:rPr>
          <w:rFonts w:hint="eastAsia" w:ascii="仿宋_GB2312" w:hAnsi="黑体" w:eastAsia="仿宋_GB2312"/>
          <w:sz w:val="32"/>
          <w:szCs w:val="32"/>
          <w:lang w:val="en-US" w:eastAsia="zh-CN"/>
        </w:rPr>
        <w:t>.</w:t>
      </w:r>
      <w:r>
        <w:rPr>
          <w:rFonts w:hint="eastAsia" w:ascii="仿宋_GB2312" w:hAnsi="黑体" w:eastAsia="仿宋_GB2312"/>
          <w:sz w:val="32"/>
          <w:szCs w:val="32"/>
        </w:rPr>
        <w:t>认真落实中办《推进领导干部能上能下若干规定》和省、市实施细则，常态化整治干部“六不现象”，细化“下”的情形，畅通“能下”渠道。</w:t>
      </w:r>
      <w:r>
        <w:rPr>
          <w:rFonts w:hint="eastAsia" w:ascii="仿宋_GB2312" w:eastAsia="仿宋_GB2312"/>
          <w:sz w:val="32"/>
          <w:szCs w:val="32"/>
        </w:rPr>
        <w:t>〔县委组织部牵头，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16</w:t>
      </w:r>
      <w:r>
        <w:rPr>
          <w:rFonts w:hint="eastAsia" w:ascii="仿宋_GB2312" w:hAnsi="黑体" w:eastAsia="仿宋_GB2312"/>
          <w:sz w:val="32"/>
          <w:szCs w:val="32"/>
          <w:lang w:val="en-US" w:eastAsia="zh-CN"/>
        </w:rPr>
        <w:t>.</w:t>
      </w:r>
      <w:r>
        <w:rPr>
          <w:rFonts w:hint="eastAsia" w:ascii="仿宋_GB2312" w:hAnsi="黑体" w:eastAsia="仿宋_GB2312"/>
          <w:sz w:val="32"/>
          <w:szCs w:val="32"/>
        </w:rPr>
        <w:t>制定推荐提名领导干部工作规范和县级部门商调转任干部工作规范，安排镇（街）、县级部门现岗工作较长时间机关干部轮岗锻炼，开展清退违规聘用人员专项整治。</w:t>
      </w:r>
      <w:r>
        <w:rPr>
          <w:rFonts w:hint="eastAsia" w:ascii="仿宋_GB2312" w:eastAsia="仿宋_GB2312"/>
          <w:sz w:val="32"/>
          <w:szCs w:val="32"/>
        </w:rPr>
        <w:t>〔县委组织部、县人社局牵头，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（六）聚焦权利运行，强化党内党外监督和警示教育</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17</w:t>
      </w:r>
      <w:r>
        <w:rPr>
          <w:rFonts w:hint="eastAsia" w:ascii="仿宋_GB2312" w:hAnsi="黑体" w:eastAsia="仿宋_GB2312"/>
          <w:sz w:val="32"/>
          <w:szCs w:val="32"/>
          <w:lang w:val="en-US" w:eastAsia="zh-CN"/>
        </w:rPr>
        <w:t>.</w:t>
      </w:r>
      <w:r>
        <w:rPr>
          <w:rFonts w:hint="eastAsia" w:ascii="仿宋_GB2312" w:hAnsi="黑体" w:eastAsia="仿宋_GB2312"/>
          <w:sz w:val="32"/>
          <w:szCs w:val="32"/>
        </w:rPr>
        <w:t>坚持执行全面从严治党主体责任清单和落实情况纪实制度，对主体责任、监督责任和领导责任落实不力的，精准规范问责。</w:t>
      </w:r>
      <w:r>
        <w:rPr>
          <w:rFonts w:hint="eastAsia" w:ascii="仿宋_GB2312" w:eastAsia="仿宋_GB2312"/>
          <w:sz w:val="32"/>
          <w:szCs w:val="32"/>
        </w:rPr>
        <w:t>〔县纪委监委机关牵头，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18</w:t>
      </w:r>
      <w:r>
        <w:rPr>
          <w:rFonts w:hint="eastAsia" w:ascii="仿宋_GB2312" w:hAnsi="黑体" w:eastAsia="仿宋_GB2312"/>
          <w:sz w:val="32"/>
          <w:szCs w:val="32"/>
          <w:lang w:val="en-US" w:eastAsia="zh-CN"/>
        </w:rPr>
        <w:t>.</w:t>
      </w:r>
      <w:r>
        <w:rPr>
          <w:rFonts w:hint="eastAsia" w:ascii="仿宋_GB2312" w:hAnsi="黑体" w:eastAsia="仿宋_GB2312"/>
          <w:sz w:val="32"/>
          <w:szCs w:val="32"/>
        </w:rPr>
        <w:t>加大对领导干部履职用权情况的监督，常态化开展党委（党组、工委）“一把手”向县委常委会扩大会议述责述廉，紧盯被巡察单位“一把手”强化政治巡察，做实做细“一报告两评议”等工作。</w:t>
      </w:r>
      <w:r>
        <w:rPr>
          <w:rFonts w:hint="eastAsia" w:ascii="仿宋_GB2312" w:eastAsia="仿宋_GB2312"/>
          <w:sz w:val="32"/>
          <w:szCs w:val="32"/>
        </w:rPr>
        <w:t>〔县纪委监委机关牵头，县委组织部、县委巡察办分工负责，</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19</w:t>
      </w:r>
      <w:r>
        <w:rPr>
          <w:rFonts w:hint="eastAsia" w:ascii="仿宋_GB2312" w:hAnsi="黑体" w:eastAsia="仿宋_GB2312"/>
          <w:sz w:val="32"/>
          <w:szCs w:val="32"/>
          <w:lang w:val="en-US" w:eastAsia="zh-CN"/>
        </w:rPr>
        <w:t>.</w:t>
      </w:r>
      <w:r>
        <w:rPr>
          <w:rFonts w:hint="eastAsia" w:ascii="仿宋_GB2312" w:hAnsi="黑体" w:eastAsia="仿宋_GB2312"/>
          <w:sz w:val="32"/>
          <w:szCs w:val="32"/>
        </w:rPr>
        <w:t>强化对领导干部的日常监督，严格执行个人有关事项报告制度，进一步规范领导干部配偶、子女及其配偶经商办企业行为。</w:t>
      </w:r>
      <w:r>
        <w:rPr>
          <w:rFonts w:hint="eastAsia" w:ascii="仿宋_GB2312" w:eastAsia="仿宋_GB2312"/>
          <w:sz w:val="32"/>
          <w:szCs w:val="32"/>
        </w:rPr>
        <w:t>〔县委组织部牵头，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20</w:t>
      </w:r>
      <w:r>
        <w:rPr>
          <w:rFonts w:hint="eastAsia" w:ascii="仿宋_GB2312" w:hAnsi="黑体" w:eastAsia="仿宋_GB2312"/>
          <w:sz w:val="32"/>
          <w:szCs w:val="32"/>
          <w:lang w:val="en-US" w:eastAsia="zh-CN"/>
        </w:rPr>
        <w:t>.</w:t>
      </w:r>
      <w:r>
        <w:rPr>
          <w:rFonts w:hint="eastAsia" w:ascii="仿宋_GB2312" w:hAnsi="黑体" w:eastAsia="仿宋_GB2312"/>
          <w:sz w:val="32"/>
          <w:szCs w:val="32"/>
        </w:rPr>
        <w:t>推动各类监督贯通融合，增强监管合力。</w:t>
      </w:r>
      <w:r>
        <w:rPr>
          <w:rFonts w:hint="eastAsia" w:ascii="仿宋_GB2312" w:eastAsia="仿宋_GB2312"/>
          <w:sz w:val="32"/>
          <w:szCs w:val="32"/>
        </w:rPr>
        <w:t>〔县纪委监委机关牵头，县委巡察办、县信访局分工负责，</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21</w:t>
      </w:r>
      <w:r>
        <w:rPr>
          <w:rFonts w:hint="eastAsia" w:ascii="仿宋_GB2312" w:hAnsi="黑体" w:eastAsia="仿宋_GB2312"/>
          <w:sz w:val="32"/>
          <w:szCs w:val="32"/>
          <w:lang w:val="en-US" w:eastAsia="zh-CN"/>
        </w:rPr>
        <w:t>.</w:t>
      </w:r>
      <w:r>
        <w:rPr>
          <w:rFonts w:hint="eastAsia" w:ascii="仿宋_GB2312" w:hAnsi="黑体" w:eastAsia="仿宋_GB2312"/>
          <w:sz w:val="32"/>
          <w:szCs w:val="32"/>
        </w:rPr>
        <w:t>扎实开展“学党章、悟思想、强党性、善作为”主题纪律教育，探索实行领导干部任前集体观看警示教育片制度。</w:t>
      </w:r>
      <w:r>
        <w:rPr>
          <w:rFonts w:hint="eastAsia" w:ascii="仿宋_GB2312" w:eastAsia="仿宋_GB2312"/>
          <w:sz w:val="32"/>
          <w:szCs w:val="32"/>
        </w:rPr>
        <w:t>〔县纪委监委机关牵头，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（七）</w:t>
      </w:r>
      <w:r>
        <w:rPr>
          <w:rFonts w:hint="eastAsia" w:ascii="楷体_GB2312" w:hAnsi="楷体_GB2312" w:eastAsia="楷体_GB2312" w:cs="楷体_GB2312"/>
          <w:b/>
          <w:bCs w:val="0"/>
          <w:sz w:val="32"/>
          <w:szCs w:val="32"/>
        </w:rPr>
        <w:t>聚焦</w:t>
      </w:r>
      <w:r>
        <w:rPr>
          <w:rFonts w:hint="eastAsia" w:ascii="楷体_GB2312" w:hAnsi="楷体_GB2312" w:eastAsia="楷体_GB2312" w:cs="楷体_GB2312"/>
          <w:b/>
          <w:bCs w:val="0"/>
          <w:color w:val="000000"/>
          <w:sz w:val="32"/>
          <w:szCs w:val="32"/>
        </w:rPr>
        <w:t>中央八项规定精神</w:t>
      </w:r>
      <w:r>
        <w:rPr>
          <w:rFonts w:hint="eastAsia" w:ascii="楷体_GB2312" w:hAnsi="黑体" w:eastAsia="楷体_GB2312"/>
          <w:b/>
          <w:sz w:val="32"/>
          <w:szCs w:val="32"/>
        </w:rPr>
        <w:t>，持之以恒纠治“四风”</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22</w:t>
      </w:r>
      <w:r>
        <w:rPr>
          <w:rFonts w:hint="eastAsia" w:ascii="仿宋_GB2312" w:hAnsi="黑体" w:eastAsia="仿宋_GB2312"/>
          <w:sz w:val="32"/>
          <w:szCs w:val="32"/>
          <w:lang w:val="en-US" w:eastAsia="zh-CN"/>
        </w:rPr>
        <w:t>.</w:t>
      </w:r>
      <w:r>
        <w:rPr>
          <w:rFonts w:hint="eastAsia" w:ascii="仿宋_GB2312" w:hAnsi="黑体" w:eastAsia="仿宋_GB2312"/>
          <w:sz w:val="32"/>
          <w:szCs w:val="32"/>
        </w:rPr>
        <w:t>严肃整治享乐主义、奢靡之风，紧盯反复性顽固性问题、隐蔽隐性问题，严查公款吃喝、“不吃公款吃老板”“隔空送礼”等各类违纪违法行为。</w:t>
      </w:r>
      <w:r>
        <w:rPr>
          <w:rFonts w:hint="eastAsia" w:ascii="仿宋_GB2312" w:eastAsia="仿宋_GB2312"/>
          <w:sz w:val="32"/>
          <w:szCs w:val="32"/>
        </w:rPr>
        <w:t>〔县纪委监委机关牵头，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23</w:t>
      </w:r>
      <w:r>
        <w:rPr>
          <w:rFonts w:hint="eastAsia" w:ascii="仿宋_GB2312" w:hAnsi="黑体" w:eastAsia="仿宋_GB2312"/>
          <w:sz w:val="32"/>
          <w:szCs w:val="32"/>
          <w:lang w:val="en-US" w:eastAsia="zh-CN"/>
        </w:rPr>
        <w:t>.</w:t>
      </w:r>
      <w:r>
        <w:rPr>
          <w:rFonts w:hint="eastAsia" w:ascii="仿宋_GB2312" w:hAnsi="黑体" w:eastAsia="仿宋_GB2312"/>
          <w:sz w:val="32"/>
          <w:szCs w:val="32"/>
        </w:rPr>
        <w:t>重点纠治形式主义和官僚主义，着力解决空喊口号、“一刀切”“堆盆景”等典型问题。</w:t>
      </w:r>
      <w:r>
        <w:rPr>
          <w:rFonts w:hint="eastAsia" w:ascii="仿宋_GB2312" w:eastAsia="仿宋_GB2312"/>
          <w:sz w:val="32"/>
          <w:szCs w:val="32"/>
        </w:rPr>
        <w:t>〔县纪委监委机关牵头，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24</w:t>
      </w:r>
      <w:r>
        <w:rPr>
          <w:rFonts w:hint="eastAsia" w:ascii="仿宋_GB2312" w:hAnsi="黑体" w:eastAsia="仿宋_GB2312"/>
          <w:sz w:val="32"/>
          <w:szCs w:val="32"/>
          <w:lang w:val="en-US" w:eastAsia="zh-CN"/>
        </w:rPr>
        <w:t>.</w:t>
      </w:r>
      <w:r>
        <w:rPr>
          <w:rFonts w:hint="eastAsia" w:ascii="仿宋_GB2312" w:hAnsi="黑体" w:eastAsia="仿宋_GB2312"/>
          <w:sz w:val="32"/>
          <w:szCs w:val="32"/>
        </w:rPr>
        <w:t>持续为基层“松绑”减负，从严控制发文数量，严格落实年度会议计划管理和审批备案制度，统筹规范督查检查。</w:t>
      </w:r>
      <w:r>
        <w:rPr>
          <w:rFonts w:hint="eastAsia" w:ascii="仿宋_GB2312" w:eastAsia="仿宋_GB2312"/>
          <w:sz w:val="32"/>
          <w:szCs w:val="32"/>
        </w:rPr>
        <w:t>〔县委办公室牵头，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pacing w:val="-6"/>
          <w:sz w:val="32"/>
          <w:szCs w:val="32"/>
        </w:rPr>
      </w:pPr>
      <w:r>
        <w:rPr>
          <w:rFonts w:hint="eastAsia" w:ascii="楷体_GB2312" w:hAnsi="黑体" w:eastAsia="楷体_GB2312"/>
          <w:b/>
          <w:sz w:val="32"/>
          <w:szCs w:val="32"/>
        </w:rPr>
        <w:t>（八）</w:t>
      </w:r>
      <w:r>
        <w:rPr>
          <w:rFonts w:hint="eastAsia" w:ascii="楷体_GB2312" w:hAnsi="黑体" w:eastAsia="楷体_GB2312"/>
          <w:b/>
          <w:spacing w:val="-6"/>
          <w:sz w:val="32"/>
          <w:szCs w:val="32"/>
        </w:rPr>
        <w:t>聚焦“最后一公里”，整治群众身边腐败和作风问题</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25</w:t>
      </w:r>
      <w:r>
        <w:rPr>
          <w:rFonts w:hint="eastAsia" w:ascii="仿宋_GB2312" w:hAnsi="黑体" w:eastAsia="仿宋_GB2312"/>
          <w:sz w:val="32"/>
          <w:szCs w:val="32"/>
          <w:lang w:val="en-US" w:eastAsia="zh-CN"/>
        </w:rPr>
        <w:t>.</w:t>
      </w:r>
      <w:r>
        <w:rPr>
          <w:rFonts w:hint="eastAsia" w:ascii="仿宋_GB2312" w:hAnsi="黑体" w:eastAsia="仿宋_GB2312"/>
          <w:sz w:val="32"/>
          <w:szCs w:val="32"/>
        </w:rPr>
        <w:t>持续治理就业创业、教育医疗、养老社保、食品药品安全、执法司法、生态环保等民生领域突出问题，找准群众的操心事烦心事揪心事，坚决惩治群众身边“蝇贪”。</w:t>
      </w:r>
      <w:r>
        <w:rPr>
          <w:rFonts w:hint="eastAsia" w:ascii="仿宋_GB2312" w:eastAsia="仿宋_GB2312"/>
          <w:sz w:val="32"/>
          <w:szCs w:val="32"/>
        </w:rPr>
        <w:t>〔县纪委监委机关牵头，县委政法委、县教体局、县民政局、县司法局、县人社局、县卫健局、县市场监管局、县医保局、县城管执法局分工负责〕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26</w:t>
      </w:r>
      <w:r>
        <w:rPr>
          <w:rFonts w:hint="eastAsia" w:ascii="仿宋_GB2312" w:hAnsi="黑体" w:eastAsia="仿宋_GB2312"/>
          <w:sz w:val="32"/>
          <w:szCs w:val="32"/>
          <w:lang w:val="en-US" w:eastAsia="zh-CN"/>
        </w:rPr>
        <w:t>.</w:t>
      </w:r>
      <w:r>
        <w:rPr>
          <w:rFonts w:hint="eastAsia" w:ascii="仿宋_GB2312" w:hAnsi="黑体" w:eastAsia="仿宋_GB2312"/>
          <w:sz w:val="32"/>
          <w:szCs w:val="32"/>
        </w:rPr>
        <w:t>认真落实乡村振兴责任制实施办法，开展乡村振兴领域不正之风和腐败问题专项整治，深化农村集体“三资”管理、粮食购销、涉水领域等专项整治，加大对“村霸”“街霸”“矿霸”等整治力度，严查黑恶案件背后的腐败和“保护伞”。</w:t>
      </w:r>
      <w:r>
        <w:rPr>
          <w:rFonts w:hint="eastAsia" w:ascii="仿宋_GB2312" w:eastAsia="仿宋_GB2312"/>
          <w:sz w:val="32"/>
          <w:szCs w:val="32"/>
        </w:rPr>
        <w:t>〔县纪委监委机关牵头，县委政法委、县发改局、县水利局、县农业农村局、县乡村振兴局分工负责〕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27</w:t>
      </w:r>
      <w:r>
        <w:rPr>
          <w:rFonts w:hint="eastAsia" w:ascii="仿宋_GB2312" w:hAnsi="黑体" w:eastAsia="仿宋_GB2312"/>
          <w:sz w:val="32"/>
          <w:szCs w:val="32"/>
          <w:lang w:val="en-US" w:eastAsia="zh-CN"/>
        </w:rPr>
        <w:t>.</w:t>
      </w:r>
      <w:r>
        <w:rPr>
          <w:rFonts w:hint="eastAsia" w:ascii="仿宋_GB2312" w:hAnsi="黑体" w:eastAsia="仿宋_GB2312"/>
          <w:sz w:val="32"/>
          <w:szCs w:val="32"/>
        </w:rPr>
        <w:t>开展医疗系统突出问题专项治理，深入整治医疗采购“量身定制”“吃回扣”等问题，规范医疗服务行为，着力解决群众看病难问题。</w:t>
      </w:r>
      <w:r>
        <w:rPr>
          <w:rFonts w:hint="eastAsia" w:ascii="仿宋_GB2312" w:eastAsia="仿宋_GB2312"/>
          <w:sz w:val="32"/>
          <w:szCs w:val="32"/>
        </w:rPr>
        <w:t>〔县纪委监委机关牵头，县卫健局负责〕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28</w:t>
      </w:r>
      <w:r>
        <w:rPr>
          <w:rFonts w:hint="eastAsia" w:ascii="仿宋_GB2312" w:hAnsi="黑体" w:eastAsia="仿宋_GB2312"/>
          <w:sz w:val="32"/>
          <w:szCs w:val="32"/>
          <w:lang w:val="en-US" w:eastAsia="zh-CN"/>
        </w:rPr>
        <w:t>.</w:t>
      </w:r>
      <w:r>
        <w:rPr>
          <w:rFonts w:hint="eastAsia" w:ascii="仿宋_GB2312" w:hAnsi="黑体" w:eastAsia="仿宋_GB2312"/>
          <w:sz w:val="32"/>
          <w:szCs w:val="32"/>
        </w:rPr>
        <w:t>开展住房保障领域问题专项治理，着力解决交房难、办证难等问题，严肃查处把关不严、违规审批、监管不力等失职失责行为，加快“交房即办证”制度落实，督促强化行业监管。</w:t>
      </w:r>
      <w:r>
        <w:rPr>
          <w:rFonts w:hint="eastAsia" w:ascii="仿宋_GB2312" w:eastAsia="仿宋_GB2312"/>
          <w:sz w:val="32"/>
          <w:szCs w:val="32"/>
        </w:rPr>
        <w:t>〔县纪委监委机关牵头，县自然资源局、县住建局分工负责〕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（九）聚焦严管厚爱结合，保护激发干部干事创业积极性</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29</w:t>
      </w:r>
      <w:r>
        <w:rPr>
          <w:rFonts w:hint="eastAsia" w:ascii="仿宋_GB2312" w:hAnsi="黑体" w:eastAsia="仿宋_GB2312"/>
          <w:sz w:val="32"/>
          <w:szCs w:val="32"/>
          <w:lang w:val="en-US" w:eastAsia="zh-CN"/>
        </w:rPr>
        <w:t>.</w:t>
      </w:r>
      <w:r>
        <w:rPr>
          <w:rFonts w:hint="eastAsia" w:ascii="仿宋_GB2312" w:hAnsi="黑体" w:eastAsia="仿宋_GB2312"/>
          <w:sz w:val="32"/>
          <w:szCs w:val="32"/>
        </w:rPr>
        <w:t>认真落实“三个区分开来”，精准运用“四种形态”开展容错纠错，历史辩证地、公平公正地对待干部。</w:t>
      </w:r>
      <w:r>
        <w:rPr>
          <w:rFonts w:hint="eastAsia" w:ascii="仿宋_GB2312" w:eastAsia="仿宋_GB2312"/>
          <w:sz w:val="32"/>
          <w:szCs w:val="32"/>
        </w:rPr>
        <w:t>〔县纪委监委机关牵头，县委组织部、县人社局配合〕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30</w:t>
      </w:r>
      <w:r>
        <w:rPr>
          <w:rFonts w:hint="eastAsia" w:ascii="仿宋_GB2312" w:hAnsi="黑体" w:eastAsia="仿宋_GB2312"/>
          <w:sz w:val="32"/>
          <w:szCs w:val="32"/>
          <w:lang w:val="en-US" w:eastAsia="zh-CN"/>
        </w:rPr>
        <w:t>.</w:t>
      </w:r>
      <w:r>
        <w:rPr>
          <w:rFonts w:hint="eastAsia" w:ascii="仿宋_GB2312" w:hAnsi="黑体" w:eastAsia="仿宋_GB2312"/>
          <w:sz w:val="32"/>
          <w:szCs w:val="32"/>
        </w:rPr>
        <w:t>常态化开展被问责和受处分干部跟踪“回访”，对影响期满、积极改正、表现优秀的，经考核认定后大胆使用，促进干部从“有错”向“有为”转变。</w:t>
      </w:r>
      <w:r>
        <w:rPr>
          <w:rFonts w:hint="eastAsia" w:ascii="仿宋_GB2312" w:eastAsia="仿宋_GB2312"/>
          <w:sz w:val="32"/>
          <w:szCs w:val="32"/>
        </w:rPr>
        <w:t>〔县纪委监委机关牵头，县委组织部、县人社局配合〕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31</w:t>
      </w:r>
      <w:r>
        <w:rPr>
          <w:rFonts w:hint="eastAsia" w:ascii="仿宋_GB2312" w:hAnsi="黑体" w:eastAsia="仿宋_GB2312"/>
          <w:sz w:val="32"/>
          <w:szCs w:val="32"/>
          <w:lang w:val="en-US" w:eastAsia="zh-CN"/>
        </w:rPr>
        <w:t>.</w:t>
      </w:r>
      <w:r>
        <w:rPr>
          <w:rFonts w:hint="eastAsia" w:ascii="仿宋_GB2312" w:hAnsi="黑体" w:eastAsia="仿宋_GB2312"/>
          <w:sz w:val="32"/>
          <w:szCs w:val="32"/>
        </w:rPr>
        <w:t>完善落实举报失实干部澄清问题工作办法，严肃查处诬告陷害行为，共同营造风清气正的政治生态。</w:t>
      </w:r>
      <w:r>
        <w:rPr>
          <w:rFonts w:hint="eastAsia" w:ascii="仿宋_GB2312" w:eastAsia="仿宋_GB2312"/>
          <w:sz w:val="32"/>
          <w:szCs w:val="32"/>
        </w:rPr>
        <w:t>〔县纪委监委机关牵头，县委组织部、县人社局配合〕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r>
        <w:rPr>
          <w:rFonts w:hint="eastAsia" w:ascii="楷体_GB2312" w:hAnsi="黑体" w:eastAsia="楷体_GB2312"/>
          <w:b/>
          <w:sz w:val="32"/>
          <w:szCs w:val="32"/>
        </w:rPr>
        <w:t>（十）</w:t>
      </w:r>
      <w:r>
        <w:rPr>
          <w:rFonts w:hint="eastAsia" w:ascii="楷体_GB2312" w:hAnsi="黑体" w:eastAsia="楷体_GB2312"/>
          <w:b/>
          <w:spacing w:val="-6"/>
          <w:sz w:val="32"/>
          <w:szCs w:val="32"/>
        </w:rPr>
        <w:t>聚焦“十个坚持十个反对”，推动干部作风持续提升</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sz w:val="32"/>
          <w:szCs w:val="32"/>
        </w:rPr>
      </w:pPr>
      <w:r>
        <w:rPr>
          <w:rFonts w:hint="eastAsia" w:ascii="仿宋_GB2312" w:hAnsi="黑体" w:eastAsia="仿宋_GB2312"/>
          <w:sz w:val="32"/>
          <w:szCs w:val="32"/>
        </w:rPr>
        <w:t>32</w:t>
      </w:r>
      <w:r>
        <w:rPr>
          <w:rFonts w:hint="eastAsia" w:ascii="仿宋_GB2312" w:hAnsi="黑体" w:eastAsia="仿宋_GB2312"/>
          <w:sz w:val="32"/>
          <w:szCs w:val="32"/>
          <w:lang w:val="en-US" w:eastAsia="zh-CN"/>
        </w:rPr>
        <w:t>.</w:t>
      </w:r>
      <w:r>
        <w:rPr>
          <w:rFonts w:hint="eastAsia" w:ascii="仿宋_GB2312" w:hAnsi="黑体" w:eastAsia="仿宋_GB2312"/>
          <w:sz w:val="32"/>
          <w:szCs w:val="32"/>
        </w:rPr>
        <w:t>坚持把干部作风提升与其他重点工作紧密结合，把重点任务分解到相关部门单位，实施责任清单、任务清单、问题清单“三单”管理。</w:t>
      </w:r>
      <w:r>
        <w:rPr>
          <w:rFonts w:hint="eastAsia" w:ascii="仿宋_GB2312" w:eastAsia="仿宋_GB2312"/>
          <w:sz w:val="32"/>
          <w:szCs w:val="32"/>
        </w:rPr>
        <w:t>〔县委党的建设工作领导小组办公室（县委组织部）牵头，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hAnsi="黑体" w:eastAsia="仿宋_GB2312"/>
          <w:sz w:val="32"/>
          <w:szCs w:val="32"/>
        </w:rPr>
        <w:t>33</w:t>
      </w:r>
      <w:r>
        <w:rPr>
          <w:rFonts w:hint="eastAsia" w:ascii="仿宋_GB2312" w:hAnsi="黑体" w:eastAsia="仿宋_GB2312"/>
          <w:sz w:val="32"/>
          <w:szCs w:val="32"/>
          <w:lang w:val="en-US" w:eastAsia="zh-CN"/>
        </w:rPr>
        <w:t>.</w:t>
      </w:r>
      <w:r>
        <w:rPr>
          <w:rFonts w:hint="eastAsia" w:ascii="仿宋_GB2312" w:hAnsi="黑体" w:eastAsia="仿宋_GB2312"/>
          <w:sz w:val="32"/>
          <w:szCs w:val="32"/>
        </w:rPr>
        <w:t>坚持用制度激励保障干部干事创业热情，认真落实《眉县激励干部担当作为十条措施（试行）》，每年评选表彰一批“促进县域发展优秀干部标兵”“干事创业好班长”“团结共事好班副”“服务经济发展先锋”，为想干事、能干事、干成事的干部撑腰鼓劲。</w:t>
      </w:r>
      <w:r>
        <w:rPr>
          <w:rFonts w:hint="eastAsia" w:ascii="仿宋_GB2312" w:eastAsia="仿宋_GB2312"/>
          <w:sz w:val="32"/>
          <w:szCs w:val="32"/>
        </w:rPr>
        <w:t>〔县委组织部牵头，</w:t>
      </w:r>
      <w:r>
        <w:rPr>
          <w:rFonts w:hint="eastAsia" w:ascii="仿宋_GB2312" w:eastAsia="仿宋_GB2312"/>
          <w:sz w:val="32"/>
          <w:szCs w:val="32"/>
          <w:lang w:eastAsia="zh-CN"/>
        </w:rPr>
        <w:t>各镇街</w:t>
      </w:r>
      <w:r>
        <w:rPr>
          <w:rFonts w:hint="eastAsia" w:ascii="仿宋_GB2312" w:eastAsia="仿宋_GB2312"/>
          <w:sz w:val="32"/>
          <w:szCs w:val="32"/>
        </w:rPr>
        <w:t>、县级各部门配合〕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四、组织保障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楷体_GB2312" w:hAnsi="黑体" w:eastAsia="楷体_GB2312"/>
          <w:b/>
          <w:sz w:val="32"/>
          <w:szCs w:val="32"/>
        </w:rPr>
      </w:pPr>
      <w:bookmarkStart w:id="0" w:name="_Hlk126139540"/>
      <w:r>
        <w:rPr>
          <w:rFonts w:hint="eastAsia" w:ascii="楷体_GB2312" w:hAnsi="黑体" w:eastAsia="楷体_GB2312"/>
          <w:b/>
          <w:sz w:val="32"/>
          <w:szCs w:val="32"/>
        </w:rPr>
        <w:t>（一）</w:t>
      </w:r>
      <w:bookmarkEnd w:id="0"/>
      <w:r>
        <w:rPr>
          <w:rFonts w:hint="eastAsia" w:ascii="楷体_GB2312" w:hAnsi="黑体" w:eastAsia="楷体_GB2312"/>
          <w:b/>
          <w:sz w:val="32"/>
          <w:szCs w:val="32"/>
        </w:rPr>
        <w:t>强化领导，压实责任。</w:t>
      </w:r>
      <w:r>
        <w:rPr>
          <w:rFonts w:hint="eastAsia" w:ascii="仿宋_GB2312" w:hAnsi="黑体" w:eastAsia="仿宋_GB2312"/>
          <w:sz w:val="32"/>
          <w:szCs w:val="32"/>
        </w:rPr>
        <w:t>全县干部作风能力提升年活动在县委统一领导下开展，由县委党的建设工作领导小组办公室（县委组织部）牵头负责，成立工作专班，县委办公室、县纪委监委机关、县委宣传部等部门抓好具体工作落实。</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、县级各部门党委（党组、工委）要坚持“五个一”推进机制，高质量制定一个方案、组建一个专班、开好一个动员会、出台一些新机制、选树一批好典型</w:t>
      </w:r>
      <w:bookmarkStart w:id="1" w:name="_Hlk126139523"/>
      <w:r>
        <w:rPr>
          <w:rFonts w:hint="eastAsia" w:ascii="仿宋_GB2312" w:hAnsi="黑体" w:eastAsia="仿宋_GB2312"/>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（二）</w:t>
      </w:r>
      <w:bookmarkEnd w:id="1"/>
      <w:r>
        <w:rPr>
          <w:rFonts w:hint="eastAsia" w:ascii="楷体_GB2312" w:hAnsi="黑体" w:eastAsia="楷体_GB2312"/>
          <w:b/>
          <w:sz w:val="32"/>
          <w:szCs w:val="32"/>
        </w:rPr>
        <w:t>深入一线，做实调研。</w:t>
      </w:r>
      <w:r>
        <w:rPr>
          <w:rFonts w:hint="eastAsia" w:ascii="仿宋_GB2312" w:hAnsi="黑体" w:eastAsia="仿宋_GB2312"/>
          <w:sz w:val="32"/>
          <w:szCs w:val="32"/>
          <w:lang w:eastAsia="zh-CN"/>
        </w:rPr>
        <w:t>各镇街</w:t>
      </w:r>
      <w:r>
        <w:rPr>
          <w:rFonts w:hint="eastAsia" w:ascii="仿宋_GB2312" w:hAnsi="黑体" w:eastAsia="仿宋_GB2312"/>
          <w:sz w:val="32"/>
          <w:szCs w:val="32"/>
        </w:rPr>
        <w:t>、县级各部门领导班子和各级领导干部，特别是“一把手”同志要认真贯彻《关于在全党大兴调查研究的工作方案》要求，带头完善落实领导干部联系群众、下访接访、结对帮扶等制度，抓住突出问题开展调研走访，摸清基层实情、纠正工作偏差。要认真梳理调研情况，深入分析问题症结，研究提出务实举措，切实把调研成效转化为干好本职工作、推进高质量发展的生动实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（三）加强宣教，正面引导。</w:t>
      </w:r>
      <w:r>
        <w:rPr>
          <w:rFonts w:hint="eastAsia" w:ascii="仿宋_GB2312" w:hAnsi="黑体" w:eastAsia="仿宋_GB2312"/>
          <w:sz w:val="32"/>
          <w:szCs w:val="32"/>
        </w:rPr>
        <w:t>县委宣传部要制定干部作风能力提升年活动对外宣传专项计划，经常性深度挖掘一批有创新、成效好的做法，选树和宣传县内各条战线涌现出的先进典型，协商有关方面定期公开曝光一批有代表性的反面典型案例，充分发挥正向激励和反向警示作用。坚持开门搞活动，畅通群众参与、群众监督、群众评判渠道，最大限度调动各方面积极因素，为深入开展活动营造良好舆论氛围。</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（四）改进方法，不走过场。</w:t>
      </w:r>
      <w:r>
        <w:rPr>
          <w:rFonts w:hint="eastAsia" w:ascii="仿宋_GB2312" w:hAnsi="黑体" w:eastAsia="仿宋_GB2312"/>
          <w:sz w:val="32"/>
          <w:szCs w:val="32"/>
        </w:rPr>
        <w:t>开展干部作风能力提升年活动要锚定高质量发展首要任务，紧密结合其他重点工作，注重发展效能升级，坚决做到“十要十不要”，即：</w:t>
      </w:r>
      <w:r>
        <w:rPr>
          <w:rFonts w:hint="eastAsia" w:ascii="仿宋_GB2312" w:hAnsi="黑体" w:eastAsia="仿宋_GB2312"/>
          <w:b/>
          <w:sz w:val="32"/>
          <w:szCs w:val="32"/>
        </w:rPr>
        <w:t>要</w:t>
      </w:r>
      <w:r>
        <w:rPr>
          <w:rFonts w:hint="eastAsia" w:ascii="仿宋_GB2312" w:hAnsi="黑体" w:eastAsia="仿宋_GB2312"/>
          <w:sz w:val="32"/>
          <w:szCs w:val="32"/>
        </w:rPr>
        <w:t>把稳政治方向、对标对表，</w:t>
      </w:r>
      <w:r>
        <w:rPr>
          <w:rFonts w:hint="eastAsia" w:ascii="仿宋_GB2312" w:hAnsi="黑体" w:eastAsia="仿宋_GB2312"/>
          <w:b/>
          <w:sz w:val="32"/>
          <w:szCs w:val="32"/>
        </w:rPr>
        <w:t>不要</w:t>
      </w:r>
      <w:r>
        <w:rPr>
          <w:rFonts w:hint="eastAsia" w:ascii="仿宋_GB2312" w:hAnsi="黑体" w:eastAsia="仿宋_GB2312"/>
          <w:sz w:val="32"/>
          <w:szCs w:val="32"/>
        </w:rPr>
        <w:t>另起炉灶；</w:t>
      </w:r>
      <w:r>
        <w:rPr>
          <w:rFonts w:hint="eastAsia" w:ascii="仿宋_GB2312" w:hAnsi="黑体" w:eastAsia="仿宋_GB2312"/>
          <w:b/>
          <w:sz w:val="32"/>
          <w:szCs w:val="32"/>
        </w:rPr>
        <w:t>要</w:t>
      </w:r>
      <w:r>
        <w:rPr>
          <w:rFonts w:hint="eastAsia" w:ascii="仿宋_GB2312" w:hAnsi="黑体" w:eastAsia="仿宋_GB2312"/>
          <w:sz w:val="32"/>
          <w:szCs w:val="32"/>
        </w:rPr>
        <w:t>调查研究、厘清思路，</w:t>
      </w:r>
      <w:r>
        <w:rPr>
          <w:rFonts w:hint="eastAsia" w:ascii="仿宋_GB2312" w:hAnsi="黑体" w:eastAsia="仿宋_GB2312"/>
          <w:b/>
          <w:sz w:val="32"/>
          <w:szCs w:val="32"/>
        </w:rPr>
        <w:t>不要</w:t>
      </w:r>
      <w:r>
        <w:rPr>
          <w:rFonts w:hint="eastAsia" w:ascii="仿宋_GB2312" w:hAnsi="黑体" w:eastAsia="仿宋_GB2312"/>
          <w:sz w:val="32"/>
          <w:szCs w:val="32"/>
        </w:rPr>
        <w:t>盲目冒进；</w:t>
      </w:r>
      <w:r>
        <w:rPr>
          <w:rFonts w:hint="eastAsia" w:ascii="仿宋_GB2312" w:hAnsi="黑体" w:eastAsia="仿宋_GB2312"/>
          <w:b/>
          <w:sz w:val="32"/>
          <w:szCs w:val="32"/>
        </w:rPr>
        <w:t>要</w:t>
      </w:r>
      <w:r>
        <w:rPr>
          <w:rFonts w:hint="eastAsia" w:ascii="仿宋_GB2312" w:hAnsi="黑体" w:eastAsia="仿宋_GB2312"/>
          <w:sz w:val="32"/>
          <w:szCs w:val="32"/>
        </w:rPr>
        <w:t>脚踏实地出风采，</w:t>
      </w:r>
      <w:r>
        <w:rPr>
          <w:rFonts w:hint="eastAsia" w:ascii="仿宋_GB2312" w:hAnsi="黑体" w:eastAsia="仿宋_GB2312"/>
          <w:b/>
          <w:sz w:val="32"/>
          <w:szCs w:val="32"/>
        </w:rPr>
        <w:t>不要</w:t>
      </w:r>
      <w:r>
        <w:rPr>
          <w:rFonts w:hint="eastAsia" w:ascii="仿宋_GB2312" w:hAnsi="黑体" w:eastAsia="仿宋_GB2312"/>
          <w:sz w:val="32"/>
          <w:szCs w:val="32"/>
        </w:rPr>
        <w:t>追求形式出风头；</w:t>
      </w:r>
      <w:r>
        <w:rPr>
          <w:rFonts w:hint="eastAsia" w:ascii="仿宋_GB2312" w:hAnsi="黑体" w:eastAsia="仿宋_GB2312"/>
          <w:b/>
          <w:sz w:val="32"/>
          <w:szCs w:val="32"/>
        </w:rPr>
        <w:t>要</w:t>
      </w:r>
      <w:r>
        <w:rPr>
          <w:rFonts w:hint="eastAsia" w:ascii="仿宋_GB2312" w:hAnsi="黑体" w:eastAsia="仿宋_GB2312"/>
          <w:sz w:val="32"/>
          <w:szCs w:val="32"/>
        </w:rPr>
        <w:t>反复尝试、笃定前行，</w:t>
      </w:r>
      <w:r>
        <w:rPr>
          <w:rFonts w:hint="eastAsia" w:ascii="仿宋_GB2312" w:hAnsi="黑体" w:eastAsia="仿宋_GB2312"/>
          <w:b/>
          <w:sz w:val="32"/>
          <w:szCs w:val="32"/>
        </w:rPr>
        <w:t>不要</w:t>
      </w:r>
      <w:r>
        <w:rPr>
          <w:rFonts w:hint="eastAsia" w:ascii="仿宋_GB2312" w:hAnsi="黑体" w:eastAsia="仿宋_GB2312"/>
          <w:sz w:val="32"/>
          <w:szCs w:val="32"/>
        </w:rPr>
        <w:t>怕否定自己；</w:t>
      </w:r>
      <w:r>
        <w:rPr>
          <w:rFonts w:hint="eastAsia" w:ascii="仿宋_GB2312" w:hAnsi="黑体" w:eastAsia="仿宋_GB2312"/>
          <w:b/>
          <w:sz w:val="32"/>
          <w:szCs w:val="32"/>
        </w:rPr>
        <w:t>要</w:t>
      </w:r>
      <w:r>
        <w:rPr>
          <w:rFonts w:hint="eastAsia" w:ascii="仿宋_GB2312" w:hAnsi="黑体" w:eastAsia="仿宋_GB2312"/>
          <w:sz w:val="32"/>
          <w:szCs w:val="32"/>
        </w:rPr>
        <w:t>鼓励下级大胆作为，</w:t>
      </w:r>
      <w:r>
        <w:rPr>
          <w:rFonts w:hint="eastAsia" w:ascii="仿宋_GB2312" w:hAnsi="黑体" w:eastAsia="仿宋_GB2312"/>
          <w:b/>
          <w:sz w:val="32"/>
          <w:szCs w:val="32"/>
        </w:rPr>
        <w:t>不要</w:t>
      </w:r>
      <w:r>
        <w:rPr>
          <w:rFonts w:hint="eastAsia" w:ascii="仿宋_GB2312" w:hAnsi="黑体" w:eastAsia="仿宋_GB2312"/>
          <w:sz w:val="32"/>
          <w:szCs w:val="32"/>
        </w:rPr>
        <w:t>指责包办；</w:t>
      </w:r>
      <w:r>
        <w:rPr>
          <w:rFonts w:hint="eastAsia" w:ascii="仿宋_GB2312" w:hAnsi="黑体" w:eastAsia="仿宋_GB2312"/>
          <w:b/>
          <w:sz w:val="32"/>
          <w:szCs w:val="32"/>
        </w:rPr>
        <w:t>要</w:t>
      </w:r>
      <w:r>
        <w:rPr>
          <w:rFonts w:hint="eastAsia" w:ascii="仿宋_GB2312" w:hAnsi="黑体" w:eastAsia="仿宋_GB2312"/>
          <w:sz w:val="32"/>
          <w:szCs w:val="32"/>
        </w:rPr>
        <w:t>雷厉风行快干，</w:t>
      </w:r>
      <w:r>
        <w:rPr>
          <w:rFonts w:hint="eastAsia" w:ascii="仿宋_GB2312" w:hAnsi="黑体" w:eastAsia="仿宋_GB2312"/>
          <w:b/>
          <w:sz w:val="32"/>
          <w:szCs w:val="32"/>
        </w:rPr>
        <w:t>不要</w:t>
      </w:r>
      <w:r>
        <w:rPr>
          <w:rFonts w:hint="eastAsia" w:ascii="仿宋_GB2312" w:hAnsi="黑体" w:eastAsia="仿宋_GB2312"/>
          <w:sz w:val="32"/>
          <w:szCs w:val="32"/>
        </w:rPr>
        <w:t>奉行事缓则圆；</w:t>
      </w:r>
      <w:r>
        <w:rPr>
          <w:rFonts w:hint="eastAsia" w:ascii="仿宋_GB2312" w:hAnsi="黑体" w:eastAsia="仿宋_GB2312"/>
          <w:b/>
          <w:sz w:val="32"/>
          <w:szCs w:val="32"/>
        </w:rPr>
        <w:t>要</w:t>
      </w:r>
      <w:r>
        <w:rPr>
          <w:rFonts w:hint="eastAsia" w:ascii="仿宋_GB2312" w:hAnsi="黑体" w:eastAsia="仿宋_GB2312"/>
          <w:sz w:val="32"/>
          <w:szCs w:val="32"/>
        </w:rPr>
        <w:t>精益求精、追求完美，</w:t>
      </w:r>
      <w:r>
        <w:rPr>
          <w:rFonts w:hint="eastAsia" w:ascii="仿宋_GB2312" w:hAnsi="黑体" w:eastAsia="仿宋_GB2312"/>
          <w:b/>
          <w:sz w:val="32"/>
          <w:szCs w:val="32"/>
        </w:rPr>
        <w:t>不要</w:t>
      </w:r>
      <w:r>
        <w:rPr>
          <w:rFonts w:hint="eastAsia" w:ascii="仿宋_GB2312" w:hAnsi="黑体" w:eastAsia="仿宋_GB2312"/>
          <w:sz w:val="32"/>
          <w:szCs w:val="32"/>
        </w:rPr>
        <w:t>得过且过；</w:t>
      </w:r>
      <w:r>
        <w:rPr>
          <w:rFonts w:hint="eastAsia" w:ascii="仿宋_GB2312" w:hAnsi="黑体" w:eastAsia="仿宋_GB2312"/>
          <w:b/>
          <w:sz w:val="32"/>
          <w:szCs w:val="32"/>
        </w:rPr>
        <w:t>要</w:t>
      </w:r>
      <w:r>
        <w:rPr>
          <w:rFonts w:hint="eastAsia" w:ascii="仿宋_GB2312" w:hAnsi="黑体" w:eastAsia="仿宋_GB2312"/>
          <w:sz w:val="32"/>
          <w:szCs w:val="32"/>
        </w:rPr>
        <w:t>增强预判、守牢底线，</w:t>
      </w:r>
      <w:r>
        <w:rPr>
          <w:rFonts w:hint="eastAsia" w:ascii="仿宋_GB2312" w:hAnsi="黑体" w:eastAsia="仿宋_GB2312"/>
          <w:b/>
          <w:sz w:val="32"/>
          <w:szCs w:val="32"/>
        </w:rPr>
        <w:t>不要</w:t>
      </w:r>
      <w:r>
        <w:rPr>
          <w:rFonts w:hint="eastAsia" w:ascii="仿宋_GB2312" w:hAnsi="黑体" w:eastAsia="仿宋_GB2312"/>
          <w:sz w:val="32"/>
          <w:szCs w:val="32"/>
        </w:rPr>
        <w:t>心存侥幸；</w:t>
      </w:r>
      <w:r>
        <w:rPr>
          <w:rFonts w:hint="eastAsia" w:ascii="仿宋_GB2312" w:hAnsi="黑体" w:eastAsia="仿宋_GB2312"/>
          <w:b/>
          <w:sz w:val="32"/>
          <w:szCs w:val="32"/>
        </w:rPr>
        <w:t>要</w:t>
      </w:r>
      <w:r>
        <w:rPr>
          <w:rFonts w:hint="eastAsia" w:ascii="仿宋_GB2312" w:hAnsi="黑体" w:eastAsia="仿宋_GB2312"/>
          <w:sz w:val="32"/>
          <w:szCs w:val="32"/>
        </w:rPr>
        <w:t>广开言路、问计于民，</w:t>
      </w:r>
      <w:r>
        <w:rPr>
          <w:rFonts w:hint="eastAsia" w:ascii="仿宋_GB2312" w:hAnsi="黑体" w:eastAsia="仿宋_GB2312"/>
          <w:b/>
          <w:sz w:val="32"/>
          <w:szCs w:val="32"/>
        </w:rPr>
        <w:t>不要</w:t>
      </w:r>
      <w:r>
        <w:rPr>
          <w:rFonts w:hint="eastAsia" w:ascii="仿宋_GB2312" w:hAnsi="黑体" w:eastAsia="仿宋_GB2312"/>
          <w:sz w:val="32"/>
          <w:szCs w:val="32"/>
        </w:rPr>
        <w:t>闭门造车；</w:t>
      </w:r>
      <w:r>
        <w:rPr>
          <w:rFonts w:hint="eastAsia" w:ascii="仿宋_GB2312" w:hAnsi="黑体" w:eastAsia="仿宋_GB2312"/>
          <w:b/>
          <w:sz w:val="32"/>
          <w:szCs w:val="32"/>
        </w:rPr>
        <w:t>要</w:t>
      </w:r>
      <w:r>
        <w:rPr>
          <w:rFonts w:hint="eastAsia" w:ascii="仿宋_GB2312" w:hAnsi="黑体" w:eastAsia="仿宋_GB2312"/>
          <w:sz w:val="32"/>
          <w:szCs w:val="32"/>
        </w:rPr>
        <w:t>建章立制、长效常治，</w:t>
      </w:r>
      <w:r>
        <w:rPr>
          <w:rFonts w:hint="eastAsia" w:ascii="仿宋_GB2312" w:hAnsi="黑体" w:eastAsia="仿宋_GB2312"/>
          <w:b/>
          <w:sz w:val="32"/>
          <w:szCs w:val="32"/>
        </w:rPr>
        <w:t>不要</w:t>
      </w:r>
      <w:r>
        <w:rPr>
          <w:rFonts w:hint="eastAsia" w:ascii="仿宋_GB2312" w:hAnsi="黑体" w:eastAsia="仿宋_GB2312"/>
          <w:sz w:val="32"/>
          <w:szCs w:val="32"/>
        </w:rPr>
        <w:t>随性随意。</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2" w:firstLineChars="200"/>
        <w:textAlignment w:val="auto"/>
        <w:outlineLvl w:val="9"/>
        <w:rPr>
          <w:rFonts w:hint="eastAsia" w:ascii="仿宋_GB2312" w:hAnsi="黑体" w:eastAsia="仿宋_GB2312"/>
          <w:sz w:val="32"/>
          <w:szCs w:val="32"/>
        </w:rPr>
      </w:pPr>
      <w:r>
        <w:rPr>
          <w:rFonts w:hint="eastAsia" w:ascii="楷体_GB2312" w:hAnsi="黑体" w:eastAsia="楷体_GB2312"/>
          <w:b/>
          <w:sz w:val="32"/>
          <w:szCs w:val="32"/>
        </w:rPr>
        <w:t>（五）从严督查，长效常治。</w:t>
      </w:r>
      <w:r>
        <w:rPr>
          <w:rFonts w:hint="eastAsia" w:ascii="仿宋_GB2312" w:hAnsi="黑体" w:eastAsia="仿宋_GB2312"/>
          <w:sz w:val="32"/>
          <w:szCs w:val="32"/>
        </w:rPr>
        <w:t>坚持问题导向、结果导向，加强督导检查，对发现问题及时反馈、限期整改，严肃追责问责。准确把握作风建设区域性、行业性、阶段性特点，将督导检查与指导、帮助、服务结合起来，既要“把脉问诊”找准问题，还要“对症下药”开出良方，推动堵塞漏洞、完善制度机制，实现作风建设常态化长效化。</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黑体" w:eastAsia="仿宋_GB2312"/>
          <w:sz w:val="32"/>
          <w:szCs w:val="32"/>
        </w:rPr>
      </w:pPr>
    </w:p>
    <w:p>
      <w:pPr>
        <w:pStyle w:val="2"/>
        <w:rPr>
          <w:rFonts w:hint="eastAsia" w:ascii="仿宋_GB2312" w:hAnsi="黑体" w:eastAsia="仿宋_GB2312"/>
          <w:sz w:val="32"/>
          <w:szCs w:val="32"/>
        </w:rPr>
      </w:pPr>
    </w:p>
    <w:p>
      <w:pPr>
        <w:rPr>
          <w:rFonts w:hint="eastAsia" w:ascii="仿宋_GB2312" w:hAnsi="黑体" w:eastAsia="仿宋_GB2312"/>
          <w:sz w:val="32"/>
          <w:szCs w:val="32"/>
        </w:rPr>
      </w:pPr>
    </w:p>
    <w:p>
      <w:pPr>
        <w:pStyle w:val="2"/>
        <w:rPr>
          <w:rFonts w:hint="eastAsia" w:ascii="仿宋_GB2312" w:hAnsi="黑体" w:eastAsia="仿宋_GB2312"/>
          <w:sz w:val="32"/>
          <w:szCs w:val="32"/>
        </w:rPr>
      </w:pPr>
    </w:p>
    <w:p>
      <w:pPr>
        <w:rPr>
          <w:rFonts w:hint="eastAsia" w:ascii="仿宋_GB2312" w:hAnsi="黑体" w:eastAsia="仿宋_GB2312"/>
          <w:sz w:val="32"/>
          <w:szCs w:val="32"/>
        </w:rPr>
      </w:pPr>
    </w:p>
    <w:p>
      <w:pPr>
        <w:pStyle w:val="2"/>
        <w:rPr>
          <w:rFonts w:hint="eastAsia" w:ascii="仿宋_GB2312" w:hAnsi="黑体" w:eastAsia="仿宋_GB2312"/>
          <w:sz w:val="32"/>
          <w:szCs w:val="32"/>
        </w:rPr>
      </w:pPr>
    </w:p>
    <w:p>
      <w:pPr>
        <w:rPr>
          <w:rFonts w:hint="eastAsia"/>
        </w:rPr>
      </w:pPr>
    </w:p>
    <w:p>
      <w:pPr>
        <w:pStyle w:val="18"/>
        <w:keepNext w:val="0"/>
        <w:keepLines w:val="0"/>
        <w:pageBreakBefore w:val="0"/>
        <w:widowControl/>
        <w:pBdr>
          <w:bottom w:val="none" w:color="auto" w:sz="0" w:space="0"/>
        </w:pBdr>
        <w:kinsoku/>
        <w:wordWrap/>
        <w:overflowPunct/>
        <w:topLinePunct w:val="0"/>
        <w:autoSpaceDE/>
        <w:autoSpaceDN/>
        <w:bidi w:val="0"/>
        <w:adjustRightInd/>
        <w:snapToGrid w:val="0"/>
        <w:spacing w:line="200" w:lineRule="exact"/>
        <w:textAlignment w:val="auto"/>
        <w:rPr>
          <w:rFonts w:hint="eastAsia"/>
          <w:color w:val="000000"/>
          <w:u w:val="single"/>
        </w:rPr>
      </w:pPr>
    </w:p>
    <w:p>
      <w:pPr>
        <w:pStyle w:val="18"/>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val="0"/>
        <w:spacing w:line="560" w:lineRule="exact"/>
        <w:ind w:left="0" w:leftChars="0" w:right="0" w:rightChars="0" w:firstLine="280" w:firstLineChars="100"/>
        <w:jc w:val="both"/>
        <w:textAlignment w:val="auto"/>
        <w:outlineLvl w:val="9"/>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z w:val="28"/>
          <w:szCs w:val="28"/>
          <w:lang w:val="en-US" w:eastAsia="zh-CN"/>
        </w:rPr>
        <w:t xml:space="preserve">中共眉县县委办公室                     </w:t>
      </w:r>
      <w:r>
        <w:rPr>
          <w:rFonts w:hint="eastAsia" w:ascii="仿宋_GB2312" w:hAnsi="仿宋_GB2312" w:eastAsia="仿宋_GB2312" w:cs="仿宋_GB2312"/>
          <w:spacing w:val="0"/>
          <w:kern w:val="2"/>
          <w:sz w:val="28"/>
          <w:szCs w:val="28"/>
          <w:lang w:val="en-US" w:eastAsia="zh-CN" w:bidi="ar-SA"/>
        </w:rPr>
        <w:t>2023年3月22日印发</w:t>
      </w:r>
    </w:p>
    <w:p>
      <w:pPr>
        <w:pStyle w:val="18"/>
        <w:keepNext w:val="0"/>
        <w:keepLines w:val="0"/>
        <w:pageBreakBefore w:val="0"/>
        <w:widowControl/>
        <w:pBdr>
          <w:top w:val="single" w:color="auto" w:sz="4" w:space="0"/>
          <w:bottom w:val="single" w:color="auto" w:sz="4" w:space="0"/>
        </w:pBdr>
        <w:kinsoku/>
        <w:wordWrap/>
        <w:overflowPunct/>
        <w:topLinePunct w:val="0"/>
        <w:autoSpaceDE/>
        <w:autoSpaceDN/>
        <w:bidi w:val="0"/>
        <w:adjustRightInd/>
        <w:snapToGrid w:val="0"/>
        <w:spacing w:line="60" w:lineRule="exact"/>
        <w:ind w:left="0" w:leftChars="0" w:right="0" w:rightChars="0" w:firstLine="280" w:firstLineChars="100"/>
        <w:jc w:val="both"/>
        <w:textAlignment w:val="auto"/>
        <w:outlineLvl w:val="9"/>
        <w:rPr>
          <w:rFonts w:hint="default" w:ascii="仿宋_GB2312" w:hAnsi="仿宋_GB2312" w:eastAsia="仿宋_GB2312" w:cs="仿宋_GB2312"/>
          <w:spacing w:val="0"/>
          <w:kern w:val="2"/>
          <w:sz w:val="28"/>
          <w:szCs w:val="28"/>
          <w:lang w:val="en-US" w:eastAsia="zh-CN" w:bidi="ar-SA"/>
        </w:rPr>
      </w:pPr>
    </w:p>
    <w:sectPr>
      <w:pgSz w:w="11906" w:h="16838"/>
      <w:pgMar w:top="1417"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光小标宋_CNKI">
    <w:altName w:val="宋体"/>
    <w:panose1 w:val="020005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NGQzMmUwY2Q0MTQyZjZmNzJkM2E5MzE1NzQwY2UifQ=="/>
  </w:docVars>
  <w:rsids>
    <w:rsidRoot w:val="032E2E69"/>
    <w:rsid w:val="00377076"/>
    <w:rsid w:val="00733E26"/>
    <w:rsid w:val="007402CA"/>
    <w:rsid w:val="0087167F"/>
    <w:rsid w:val="009A7605"/>
    <w:rsid w:val="00A40483"/>
    <w:rsid w:val="00C46A2B"/>
    <w:rsid w:val="00D9637F"/>
    <w:rsid w:val="00E84814"/>
    <w:rsid w:val="013303CB"/>
    <w:rsid w:val="01415CD2"/>
    <w:rsid w:val="01671BDD"/>
    <w:rsid w:val="0179546C"/>
    <w:rsid w:val="01C0753F"/>
    <w:rsid w:val="01EA636A"/>
    <w:rsid w:val="01FD609D"/>
    <w:rsid w:val="02070CCA"/>
    <w:rsid w:val="020E466C"/>
    <w:rsid w:val="02156F0A"/>
    <w:rsid w:val="02315D47"/>
    <w:rsid w:val="02317AF5"/>
    <w:rsid w:val="02683048"/>
    <w:rsid w:val="02CD3CC1"/>
    <w:rsid w:val="02D1374D"/>
    <w:rsid w:val="032E2E69"/>
    <w:rsid w:val="033071CF"/>
    <w:rsid w:val="03A5079A"/>
    <w:rsid w:val="03DE572A"/>
    <w:rsid w:val="03EF1A15"/>
    <w:rsid w:val="04071455"/>
    <w:rsid w:val="045C213B"/>
    <w:rsid w:val="04A86794"/>
    <w:rsid w:val="04B0389B"/>
    <w:rsid w:val="04B50EB1"/>
    <w:rsid w:val="04DC4690"/>
    <w:rsid w:val="04E46D47"/>
    <w:rsid w:val="04F43EED"/>
    <w:rsid w:val="051A0D14"/>
    <w:rsid w:val="05264CA8"/>
    <w:rsid w:val="053B7608"/>
    <w:rsid w:val="053F716F"/>
    <w:rsid w:val="05634469"/>
    <w:rsid w:val="05816FE5"/>
    <w:rsid w:val="058A7C48"/>
    <w:rsid w:val="05C375FE"/>
    <w:rsid w:val="05E337FC"/>
    <w:rsid w:val="06A967F3"/>
    <w:rsid w:val="06C54CB0"/>
    <w:rsid w:val="06DE46EF"/>
    <w:rsid w:val="074958E1"/>
    <w:rsid w:val="074F274F"/>
    <w:rsid w:val="076369A2"/>
    <w:rsid w:val="076F17EB"/>
    <w:rsid w:val="07780C92"/>
    <w:rsid w:val="07A34FF1"/>
    <w:rsid w:val="07B94814"/>
    <w:rsid w:val="07FB4E2D"/>
    <w:rsid w:val="081B727D"/>
    <w:rsid w:val="08232813"/>
    <w:rsid w:val="0825634E"/>
    <w:rsid w:val="089D030F"/>
    <w:rsid w:val="089E4AB6"/>
    <w:rsid w:val="08B66FA6"/>
    <w:rsid w:val="08BA1E60"/>
    <w:rsid w:val="08D310C7"/>
    <w:rsid w:val="090B5543"/>
    <w:rsid w:val="09150170"/>
    <w:rsid w:val="092906CB"/>
    <w:rsid w:val="095A22D8"/>
    <w:rsid w:val="099077F7"/>
    <w:rsid w:val="099E0166"/>
    <w:rsid w:val="09C0632E"/>
    <w:rsid w:val="0A0F696E"/>
    <w:rsid w:val="0A430D0D"/>
    <w:rsid w:val="0A634F0B"/>
    <w:rsid w:val="0A6842D0"/>
    <w:rsid w:val="0A786C09"/>
    <w:rsid w:val="0AB47515"/>
    <w:rsid w:val="0ACE05D7"/>
    <w:rsid w:val="0ACE4A7B"/>
    <w:rsid w:val="0AE20526"/>
    <w:rsid w:val="0AE53B72"/>
    <w:rsid w:val="0AF02C43"/>
    <w:rsid w:val="0B0264D2"/>
    <w:rsid w:val="0B1D330C"/>
    <w:rsid w:val="0B224DC6"/>
    <w:rsid w:val="0B5A21E3"/>
    <w:rsid w:val="0BB2614A"/>
    <w:rsid w:val="0C0B585A"/>
    <w:rsid w:val="0C177D5B"/>
    <w:rsid w:val="0C28640C"/>
    <w:rsid w:val="0C3B7EEE"/>
    <w:rsid w:val="0C503E37"/>
    <w:rsid w:val="0C803B53"/>
    <w:rsid w:val="0C8C24F7"/>
    <w:rsid w:val="0CD520F0"/>
    <w:rsid w:val="0CD914B5"/>
    <w:rsid w:val="0CE57E5A"/>
    <w:rsid w:val="0D532B91"/>
    <w:rsid w:val="0D6E7E4F"/>
    <w:rsid w:val="0D9D52A4"/>
    <w:rsid w:val="0DEE2D3E"/>
    <w:rsid w:val="0E15476E"/>
    <w:rsid w:val="0E7202A7"/>
    <w:rsid w:val="0EB65F51"/>
    <w:rsid w:val="0ED40186"/>
    <w:rsid w:val="0EED1247"/>
    <w:rsid w:val="0EF80318"/>
    <w:rsid w:val="0F4075C9"/>
    <w:rsid w:val="0F4D7DE5"/>
    <w:rsid w:val="0F5F3EF3"/>
    <w:rsid w:val="0F67724C"/>
    <w:rsid w:val="0F87344A"/>
    <w:rsid w:val="0F9D2C6D"/>
    <w:rsid w:val="0F9F53C6"/>
    <w:rsid w:val="0FA91612"/>
    <w:rsid w:val="0FB22F76"/>
    <w:rsid w:val="0FD06B9F"/>
    <w:rsid w:val="10354C54"/>
    <w:rsid w:val="10702130"/>
    <w:rsid w:val="10817E99"/>
    <w:rsid w:val="108856CC"/>
    <w:rsid w:val="10CB7366"/>
    <w:rsid w:val="1145536B"/>
    <w:rsid w:val="11823EC9"/>
    <w:rsid w:val="11C73FD2"/>
    <w:rsid w:val="12033868"/>
    <w:rsid w:val="12185725"/>
    <w:rsid w:val="12415B32"/>
    <w:rsid w:val="124E2774"/>
    <w:rsid w:val="12D06EB6"/>
    <w:rsid w:val="12D35BAB"/>
    <w:rsid w:val="13001549"/>
    <w:rsid w:val="13196AAF"/>
    <w:rsid w:val="13573133"/>
    <w:rsid w:val="13737F6D"/>
    <w:rsid w:val="139C49F3"/>
    <w:rsid w:val="13B10A95"/>
    <w:rsid w:val="13E0471A"/>
    <w:rsid w:val="13E96481"/>
    <w:rsid w:val="13F05A62"/>
    <w:rsid w:val="143C2A55"/>
    <w:rsid w:val="146D0E60"/>
    <w:rsid w:val="14A93830"/>
    <w:rsid w:val="151B4D60"/>
    <w:rsid w:val="15802E15"/>
    <w:rsid w:val="15F31284"/>
    <w:rsid w:val="164200CB"/>
    <w:rsid w:val="1684121E"/>
    <w:rsid w:val="16B14F09"/>
    <w:rsid w:val="16D50F3F"/>
    <w:rsid w:val="17365E81"/>
    <w:rsid w:val="176A5B2B"/>
    <w:rsid w:val="17976F43"/>
    <w:rsid w:val="17B9260F"/>
    <w:rsid w:val="17CE7E68"/>
    <w:rsid w:val="17EE22B8"/>
    <w:rsid w:val="17F3167D"/>
    <w:rsid w:val="17F65611"/>
    <w:rsid w:val="182C1032"/>
    <w:rsid w:val="18357EE7"/>
    <w:rsid w:val="18AB7EE0"/>
    <w:rsid w:val="18DB2714"/>
    <w:rsid w:val="19720CC7"/>
    <w:rsid w:val="19C72DC1"/>
    <w:rsid w:val="19DD0836"/>
    <w:rsid w:val="19F32565"/>
    <w:rsid w:val="19F85670"/>
    <w:rsid w:val="1A7A6085"/>
    <w:rsid w:val="1A7D55C0"/>
    <w:rsid w:val="1AED2CFB"/>
    <w:rsid w:val="1B1A0876"/>
    <w:rsid w:val="1B383B70"/>
    <w:rsid w:val="1B3A1219"/>
    <w:rsid w:val="1B3E70B3"/>
    <w:rsid w:val="1B6D1746"/>
    <w:rsid w:val="1BAF6202"/>
    <w:rsid w:val="1BCC2910"/>
    <w:rsid w:val="1BDE0896"/>
    <w:rsid w:val="1BF260EF"/>
    <w:rsid w:val="1BF754B3"/>
    <w:rsid w:val="1BFE4A94"/>
    <w:rsid w:val="1C281B11"/>
    <w:rsid w:val="1C2C33AF"/>
    <w:rsid w:val="1C6A3ED7"/>
    <w:rsid w:val="1C80663E"/>
    <w:rsid w:val="1C876837"/>
    <w:rsid w:val="1C9B0535"/>
    <w:rsid w:val="1CA7394F"/>
    <w:rsid w:val="1CF406A4"/>
    <w:rsid w:val="1D13456F"/>
    <w:rsid w:val="1D237907"/>
    <w:rsid w:val="1D2D73DF"/>
    <w:rsid w:val="1D4110DC"/>
    <w:rsid w:val="1D4F3830"/>
    <w:rsid w:val="1D65301C"/>
    <w:rsid w:val="1D6B43AB"/>
    <w:rsid w:val="1DB45D52"/>
    <w:rsid w:val="1E605592"/>
    <w:rsid w:val="1ED657D3"/>
    <w:rsid w:val="1F134CFA"/>
    <w:rsid w:val="1F1667DA"/>
    <w:rsid w:val="1F3A285A"/>
    <w:rsid w:val="1F574BE7"/>
    <w:rsid w:val="1F707A57"/>
    <w:rsid w:val="1FA3607E"/>
    <w:rsid w:val="1FC3402A"/>
    <w:rsid w:val="20174376"/>
    <w:rsid w:val="20182BD0"/>
    <w:rsid w:val="20390790"/>
    <w:rsid w:val="20452C91"/>
    <w:rsid w:val="20964C3C"/>
    <w:rsid w:val="20A0436C"/>
    <w:rsid w:val="20B3409F"/>
    <w:rsid w:val="20C22534"/>
    <w:rsid w:val="20D901F2"/>
    <w:rsid w:val="21187848"/>
    <w:rsid w:val="21194631"/>
    <w:rsid w:val="21463165"/>
    <w:rsid w:val="21661111"/>
    <w:rsid w:val="21B31E7D"/>
    <w:rsid w:val="21E36C06"/>
    <w:rsid w:val="220426D8"/>
    <w:rsid w:val="229B4DEB"/>
    <w:rsid w:val="229D6DB5"/>
    <w:rsid w:val="22E26EBD"/>
    <w:rsid w:val="232902AE"/>
    <w:rsid w:val="238B1303"/>
    <w:rsid w:val="23941F17"/>
    <w:rsid w:val="23992EC0"/>
    <w:rsid w:val="23AB72AF"/>
    <w:rsid w:val="23B02B18"/>
    <w:rsid w:val="23DC03B7"/>
    <w:rsid w:val="23F10FE8"/>
    <w:rsid w:val="242F7EE0"/>
    <w:rsid w:val="249661B1"/>
    <w:rsid w:val="249B7324"/>
    <w:rsid w:val="249D7540"/>
    <w:rsid w:val="24D22D35"/>
    <w:rsid w:val="24D97E4C"/>
    <w:rsid w:val="25205A7B"/>
    <w:rsid w:val="255F2A47"/>
    <w:rsid w:val="25F25669"/>
    <w:rsid w:val="262E5F76"/>
    <w:rsid w:val="265C6F87"/>
    <w:rsid w:val="26977FBF"/>
    <w:rsid w:val="26C3198C"/>
    <w:rsid w:val="26DB3C7F"/>
    <w:rsid w:val="27814EF7"/>
    <w:rsid w:val="278E278E"/>
    <w:rsid w:val="27D25752"/>
    <w:rsid w:val="27DF5779"/>
    <w:rsid w:val="27F52125"/>
    <w:rsid w:val="28333D17"/>
    <w:rsid w:val="283D06F2"/>
    <w:rsid w:val="284D6B87"/>
    <w:rsid w:val="287700A8"/>
    <w:rsid w:val="288602EB"/>
    <w:rsid w:val="289871BE"/>
    <w:rsid w:val="28C52BC1"/>
    <w:rsid w:val="28FD67FF"/>
    <w:rsid w:val="292229D1"/>
    <w:rsid w:val="294A1318"/>
    <w:rsid w:val="296323DA"/>
    <w:rsid w:val="296D0649"/>
    <w:rsid w:val="29780591"/>
    <w:rsid w:val="29A46C7B"/>
    <w:rsid w:val="29DF233E"/>
    <w:rsid w:val="29F00112"/>
    <w:rsid w:val="29FA0F90"/>
    <w:rsid w:val="2A205F85"/>
    <w:rsid w:val="2A4D10C0"/>
    <w:rsid w:val="2A8E3487"/>
    <w:rsid w:val="2AAF3B29"/>
    <w:rsid w:val="2AC033A1"/>
    <w:rsid w:val="2AE35581"/>
    <w:rsid w:val="2AF91248"/>
    <w:rsid w:val="2B0D58A2"/>
    <w:rsid w:val="2B275DB5"/>
    <w:rsid w:val="2B2D7144"/>
    <w:rsid w:val="2B8155EF"/>
    <w:rsid w:val="2BAD5B8F"/>
    <w:rsid w:val="2C1005F7"/>
    <w:rsid w:val="2C3047F6"/>
    <w:rsid w:val="2CAD5E46"/>
    <w:rsid w:val="2CB27900"/>
    <w:rsid w:val="2CBB4816"/>
    <w:rsid w:val="2CD57196"/>
    <w:rsid w:val="2CE850D0"/>
    <w:rsid w:val="2D3A7CAF"/>
    <w:rsid w:val="2D3C71CA"/>
    <w:rsid w:val="2D6F134E"/>
    <w:rsid w:val="2D88240F"/>
    <w:rsid w:val="2DB11C23"/>
    <w:rsid w:val="2DC810BF"/>
    <w:rsid w:val="2E020414"/>
    <w:rsid w:val="2E0979F4"/>
    <w:rsid w:val="2E530C6F"/>
    <w:rsid w:val="2E861045"/>
    <w:rsid w:val="2EA8720D"/>
    <w:rsid w:val="2ED7364E"/>
    <w:rsid w:val="2F407445"/>
    <w:rsid w:val="2F6E087F"/>
    <w:rsid w:val="302B43D2"/>
    <w:rsid w:val="30322C37"/>
    <w:rsid w:val="303F594F"/>
    <w:rsid w:val="30427582"/>
    <w:rsid w:val="30450A8C"/>
    <w:rsid w:val="30DD0CC4"/>
    <w:rsid w:val="30E42053"/>
    <w:rsid w:val="310620F4"/>
    <w:rsid w:val="310D525E"/>
    <w:rsid w:val="311566B0"/>
    <w:rsid w:val="31216E03"/>
    <w:rsid w:val="31342FDA"/>
    <w:rsid w:val="31864EB8"/>
    <w:rsid w:val="31B82C24"/>
    <w:rsid w:val="31E367AE"/>
    <w:rsid w:val="31F6203D"/>
    <w:rsid w:val="31FD161E"/>
    <w:rsid w:val="320C360F"/>
    <w:rsid w:val="32186458"/>
    <w:rsid w:val="321B31F3"/>
    <w:rsid w:val="32230959"/>
    <w:rsid w:val="32496611"/>
    <w:rsid w:val="32661391"/>
    <w:rsid w:val="32717916"/>
    <w:rsid w:val="32821B23"/>
    <w:rsid w:val="32B55A55"/>
    <w:rsid w:val="32CE4D68"/>
    <w:rsid w:val="331D184C"/>
    <w:rsid w:val="338D4C23"/>
    <w:rsid w:val="339E298D"/>
    <w:rsid w:val="33B977C6"/>
    <w:rsid w:val="33D75E9F"/>
    <w:rsid w:val="340233D0"/>
    <w:rsid w:val="344D35BF"/>
    <w:rsid w:val="346E2761"/>
    <w:rsid w:val="347D6A46"/>
    <w:rsid w:val="34C46423"/>
    <w:rsid w:val="35386E11"/>
    <w:rsid w:val="356B2D42"/>
    <w:rsid w:val="3589141A"/>
    <w:rsid w:val="35EB79DF"/>
    <w:rsid w:val="36033316"/>
    <w:rsid w:val="36080591"/>
    <w:rsid w:val="360C62D3"/>
    <w:rsid w:val="365145BB"/>
    <w:rsid w:val="36527A5E"/>
    <w:rsid w:val="36681030"/>
    <w:rsid w:val="36AA1648"/>
    <w:rsid w:val="37307DA0"/>
    <w:rsid w:val="37CB5D1A"/>
    <w:rsid w:val="37D20E57"/>
    <w:rsid w:val="37D54FF8"/>
    <w:rsid w:val="37D84772"/>
    <w:rsid w:val="37DA7D0B"/>
    <w:rsid w:val="37EB70FE"/>
    <w:rsid w:val="38123949"/>
    <w:rsid w:val="382F0057"/>
    <w:rsid w:val="38AF73EA"/>
    <w:rsid w:val="38D3500A"/>
    <w:rsid w:val="38F31085"/>
    <w:rsid w:val="38F60B75"/>
    <w:rsid w:val="39243934"/>
    <w:rsid w:val="39AD3929"/>
    <w:rsid w:val="39C66799"/>
    <w:rsid w:val="39CB3764"/>
    <w:rsid w:val="3A1125F9"/>
    <w:rsid w:val="3A1219DE"/>
    <w:rsid w:val="3A2160C5"/>
    <w:rsid w:val="3A3951BD"/>
    <w:rsid w:val="3A667F7C"/>
    <w:rsid w:val="3A995C5C"/>
    <w:rsid w:val="3AF95754"/>
    <w:rsid w:val="3B3767F1"/>
    <w:rsid w:val="3B7A783B"/>
    <w:rsid w:val="3B7E2F1A"/>
    <w:rsid w:val="3BC767F9"/>
    <w:rsid w:val="3C177780"/>
    <w:rsid w:val="3C5E0F0B"/>
    <w:rsid w:val="3C722C08"/>
    <w:rsid w:val="3C7A1ABD"/>
    <w:rsid w:val="3C8D17F0"/>
    <w:rsid w:val="3CA97838"/>
    <w:rsid w:val="3CB72D11"/>
    <w:rsid w:val="3CD4741F"/>
    <w:rsid w:val="3CDB69FF"/>
    <w:rsid w:val="3CFE449C"/>
    <w:rsid w:val="3D127F47"/>
    <w:rsid w:val="3D141F11"/>
    <w:rsid w:val="3D202664"/>
    <w:rsid w:val="3D2C2DB7"/>
    <w:rsid w:val="3D3D4FC4"/>
    <w:rsid w:val="3D7A6218"/>
    <w:rsid w:val="3D8A68C2"/>
    <w:rsid w:val="3DDD2303"/>
    <w:rsid w:val="3DF5589F"/>
    <w:rsid w:val="3DFB09DB"/>
    <w:rsid w:val="3E126180"/>
    <w:rsid w:val="3E4B6F33"/>
    <w:rsid w:val="3EAF4ABF"/>
    <w:rsid w:val="3EB8BDAC"/>
    <w:rsid w:val="3EEC4EF4"/>
    <w:rsid w:val="3F60143E"/>
    <w:rsid w:val="3F636838"/>
    <w:rsid w:val="3F780536"/>
    <w:rsid w:val="3FC714BD"/>
    <w:rsid w:val="3FD61700"/>
    <w:rsid w:val="403B1563"/>
    <w:rsid w:val="40A37834"/>
    <w:rsid w:val="40A97E53"/>
    <w:rsid w:val="40B27F79"/>
    <w:rsid w:val="40C61775"/>
    <w:rsid w:val="40EA7211"/>
    <w:rsid w:val="41087697"/>
    <w:rsid w:val="410B7187"/>
    <w:rsid w:val="412A58C9"/>
    <w:rsid w:val="415B010F"/>
    <w:rsid w:val="41962EF5"/>
    <w:rsid w:val="41BB0BAE"/>
    <w:rsid w:val="41CF4659"/>
    <w:rsid w:val="41F8595E"/>
    <w:rsid w:val="423D5A66"/>
    <w:rsid w:val="426B25D4"/>
    <w:rsid w:val="426E3E72"/>
    <w:rsid w:val="42976F25"/>
    <w:rsid w:val="42BD2703"/>
    <w:rsid w:val="42DE0FF8"/>
    <w:rsid w:val="42F205FF"/>
    <w:rsid w:val="43086D0B"/>
    <w:rsid w:val="43192A65"/>
    <w:rsid w:val="432D1637"/>
    <w:rsid w:val="43370708"/>
    <w:rsid w:val="434A3F97"/>
    <w:rsid w:val="43C7695B"/>
    <w:rsid w:val="43C81360"/>
    <w:rsid w:val="43D321DE"/>
    <w:rsid w:val="43D32748"/>
    <w:rsid w:val="441E71D2"/>
    <w:rsid w:val="44613C8E"/>
    <w:rsid w:val="448E104E"/>
    <w:rsid w:val="44B93CE8"/>
    <w:rsid w:val="44BF6C07"/>
    <w:rsid w:val="44DF60B2"/>
    <w:rsid w:val="44F20D8A"/>
    <w:rsid w:val="44F71EFD"/>
    <w:rsid w:val="45120AE5"/>
    <w:rsid w:val="453A003B"/>
    <w:rsid w:val="467D0E18"/>
    <w:rsid w:val="46C2653A"/>
    <w:rsid w:val="471C20EE"/>
    <w:rsid w:val="47290367"/>
    <w:rsid w:val="474D04FA"/>
    <w:rsid w:val="478A52AA"/>
    <w:rsid w:val="47A520E4"/>
    <w:rsid w:val="47CD33E9"/>
    <w:rsid w:val="47D604EF"/>
    <w:rsid w:val="47F92430"/>
    <w:rsid w:val="48284AC3"/>
    <w:rsid w:val="482C45B3"/>
    <w:rsid w:val="482E5F75"/>
    <w:rsid w:val="485D476D"/>
    <w:rsid w:val="48BD520B"/>
    <w:rsid w:val="499441BE"/>
    <w:rsid w:val="49C83E68"/>
    <w:rsid w:val="4A01737A"/>
    <w:rsid w:val="4A1D0657"/>
    <w:rsid w:val="4A2F2139"/>
    <w:rsid w:val="4A755CCA"/>
    <w:rsid w:val="4A761B16"/>
    <w:rsid w:val="4A800BE6"/>
    <w:rsid w:val="4AA762AD"/>
    <w:rsid w:val="4AE579EA"/>
    <w:rsid w:val="4B092874"/>
    <w:rsid w:val="4B3A6458"/>
    <w:rsid w:val="4B481704"/>
    <w:rsid w:val="4B5F25AA"/>
    <w:rsid w:val="4B9764AE"/>
    <w:rsid w:val="4C29701F"/>
    <w:rsid w:val="4C3641D9"/>
    <w:rsid w:val="4C583BC9"/>
    <w:rsid w:val="4C714CB1"/>
    <w:rsid w:val="4C8A18A8"/>
    <w:rsid w:val="4C975D73"/>
    <w:rsid w:val="4CA74208"/>
    <w:rsid w:val="4CE52865"/>
    <w:rsid w:val="4D07114B"/>
    <w:rsid w:val="4D510618"/>
    <w:rsid w:val="4D7A78E7"/>
    <w:rsid w:val="4D866514"/>
    <w:rsid w:val="4DB0533F"/>
    <w:rsid w:val="4DB36BDD"/>
    <w:rsid w:val="4DD70B1D"/>
    <w:rsid w:val="4DE83C21"/>
    <w:rsid w:val="4E397DB0"/>
    <w:rsid w:val="4E5D3762"/>
    <w:rsid w:val="4E7F1DB3"/>
    <w:rsid w:val="4E93713A"/>
    <w:rsid w:val="4EC45545"/>
    <w:rsid w:val="4EC54874"/>
    <w:rsid w:val="4EDD03B5"/>
    <w:rsid w:val="4EE96D5A"/>
    <w:rsid w:val="4F1418FD"/>
    <w:rsid w:val="4F2A1BE1"/>
    <w:rsid w:val="4F710AFD"/>
    <w:rsid w:val="4F7F355A"/>
    <w:rsid w:val="4F824AB9"/>
    <w:rsid w:val="4F9B5B7A"/>
    <w:rsid w:val="4FA115FA"/>
    <w:rsid w:val="4FA62E9D"/>
    <w:rsid w:val="4FAF6A71"/>
    <w:rsid w:val="4FBF3F5F"/>
    <w:rsid w:val="4FF5172F"/>
    <w:rsid w:val="500E27F0"/>
    <w:rsid w:val="5049110A"/>
    <w:rsid w:val="50580754"/>
    <w:rsid w:val="50874A7C"/>
    <w:rsid w:val="50A82C45"/>
    <w:rsid w:val="50AB5953"/>
    <w:rsid w:val="50CE348B"/>
    <w:rsid w:val="50E83041"/>
    <w:rsid w:val="50EF43D0"/>
    <w:rsid w:val="51252566"/>
    <w:rsid w:val="512A5408"/>
    <w:rsid w:val="512F2A1E"/>
    <w:rsid w:val="514F30C0"/>
    <w:rsid w:val="51856AE2"/>
    <w:rsid w:val="51E67581"/>
    <w:rsid w:val="527C6137"/>
    <w:rsid w:val="528F5E6A"/>
    <w:rsid w:val="52AD009F"/>
    <w:rsid w:val="52DB2E5E"/>
    <w:rsid w:val="531D5787"/>
    <w:rsid w:val="53803BE5"/>
    <w:rsid w:val="53B35B89"/>
    <w:rsid w:val="53C673CA"/>
    <w:rsid w:val="53E723A1"/>
    <w:rsid w:val="53F1220D"/>
    <w:rsid w:val="53FF2B7C"/>
    <w:rsid w:val="541B2F90"/>
    <w:rsid w:val="543E3B4B"/>
    <w:rsid w:val="54640C31"/>
    <w:rsid w:val="54D062C6"/>
    <w:rsid w:val="54E56216"/>
    <w:rsid w:val="550F6DEF"/>
    <w:rsid w:val="55200136"/>
    <w:rsid w:val="554636FD"/>
    <w:rsid w:val="55557E9D"/>
    <w:rsid w:val="55711857"/>
    <w:rsid w:val="55935C72"/>
    <w:rsid w:val="55CC1183"/>
    <w:rsid w:val="564B654C"/>
    <w:rsid w:val="565A678F"/>
    <w:rsid w:val="56A1616C"/>
    <w:rsid w:val="56B45E9F"/>
    <w:rsid w:val="56E10003"/>
    <w:rsid w:val="57853398"/>
    <w:rsid w:val="579F3D83"/>
    <w:rsid w:val="57A51C8C"/>
    <w:rsid w:val="57B91294"/>
    <w:rsid w:val="57C93BCD"/>
    <w:rsid w:val="57DC6871"/>
    <w:rsid w:val="57E14298"/>
    <w:rsid w:val="585A4825"/>
    <w:rsid w:val="58873140"/>
    <w:rsid w:val="58B101BD"/>
    <w:rsid w:val="59012EF2"/>
    <w:rsid w:val="595A0883"/>
    <w:rsid w:val="5999137D"/>
    <w:rsid w:val="59A57D21"/>
    <w:rsid w:val="59A71CEC"/>
    <w:rsid w:val="59D423B5"/>
    <w:rsid w:val="59F44805"/>
    <w:rsid w:val="5A0C7DA1"/>
    <w:rsid w:val="5A64097C"/>
    <w:rsid w:val="5A6B0F6B"/>
    <w:rsid w:val="5A6C03A3"/>
    <w:rsid w:val="5B3C6463"/>
    <w:rsid w:val="5B44356A"/>
    <w:rsid w:val="5B6A2D43"/>
    <w:rsid w:val="5B7C2D04"/>
    <w:rsid w:val="5C054590"/>
    <w:rsid w:val="5C1B42CB"/>
    <w:rsid w:val="5C384E7D"/>
    <w:rsid w:val="5C8956D8"/>
    <w:rsid w:val="5CAF0167"/>
    <w:rsid w:val="5CF36FF6"/>
    <w:rsid w:val="5D0B433F"/>
    <w:rsid w:val="5D1219BA"/>
    <w:rsid w:val="5D1A6C78"/>
    <w:rsid w:val="5D35760E"/>
    <w:rsid w:val="5D3A7404"/>
    <w:rsid w:val="5D447851"/>
    <w:rsid w:val="5E7B3747"/>
    <w:rsid w:val="5EA93E10"/>
    <w:rsid w:val="5EE66E12"/>
    <w:rsid w:val="5F170948"/>
    <w:rsid w:val="5F1F0576"/>
    <w:rsid w:val="5F5C5326"/>
    <w:rsid w:val="5FB7383E"/>
    <w:rsid w:val="5FBE5AAD"/>
    <w:rsid w:val="600A0901"/>
    <w:rsid w:val="602A2D2E"/>
    <w:rsid w:val="602D6CC3"/>
    <w:rsid w:val="60693EDE"/>
    <w:rsid w:val="608508AD"/>
    <w:rsid w:val="60A54D60"/>
    <w:rsid w:val="60AF76D8"/>
    <w:rsid w:val="60B66CB8"/>
    <w:rsid w:val="60BF7E5A"/>
    <w:rsid w:val="60C74A21"/>
    <w:rsid w:val="60FF6C65"/>
    <w:rsid w:val="612C2AD6"/>
    <w:rsid w:val="617007F7"/>
    <w:rsid w:val="617C7D17"/>
    <w:rsid w:val="61A94127"/>
    <w:rsid w:val="61B2122D"/>
    <w:rsid w:val="61DC44FC"/>
    <w:rsid w:val="61F96E5C"/>
    <w:rsid w:val="625E7607"/>
    <w:rsid w:val="626B71FE"/>
    <w:rsid w:val="62854B94"/>
    <w:rsid w:val="6292105F"/>
    <w:rsid w:val="62AF39D2"/>
    <w:rsid w:val="62C7450D"/>
    <w:rsid w:val="62CD32A3"/>
    <w:rsid w:val="62D43425"/>
    <w:rsid w:val="6376752F"/>
    <w:rsid w:val="63925F8E"/>
    <w:rsid w:val="63C4349A"/>
    <w:rsid w:val="63F26259"/>
    <w:rsid w:val="63FA6EBC"/>
    <w:rsid w:val="6408357D"/>
    <w:rsid w:val="64246747"/>
    <w:rsid w:val="642524E2"/>
    <w:rsid w:val="643B7C00"/>
    <w:rsid w:val="644963EC"/>
    <w:rsid w:val="64722EF6"/>
    <w:rsid w:val="649F75B2"/>
    <w:rsid w:val="64A37553"/>
    <w:rsid w:val="64B871BD"/>
    <w:rsid w:val="64FA6E2A"/>
    <w:rsid w:val="6502071E"/>
    <w:rsid w:val="656E5DB3"/>
    <w:rsid w:val="65738437"/>
    <w:rsid w:val="658D5E37"/>
    <w:rsid w:val="65B17A4E"/>
    <w:rsid w:val="661E50E3"/>
    <w:rsid w:val="662621EA"/>
    <w:rsid w:val="662914CD"/>
    <w:rsid w:val="66664CDC"/>
    <w:rsid w:val="6670349F"/>
    <w:rsid w:val="669C06FE"/>
    <w:rsid w:val="66B71094"/>
    <w:rsid w:val="66CD4D5B"/>
    <w:rsid w:val="67445B14"/>
    <w:rsid w:val="677C4DC5"/>
    <w:rsid w:val="6796339F"/>
    <w:rsid w:val="67D068B1"/>
    <w:rsid w:val="67F81964"/>
    <w:rsid w:val="67FA56DC"/>
    <w:rsid w:val="68C55CEA"/>
    <w:rsid w:val="690E2177"/>
    <w:rsid w:val="69450BD9"/>
    <w:rsid w:val="69472BA3"/>
    <w:rsid w:val="6962178B"/>
    <w:rsid w:val="69B63885"/>
    <w:rsid w:val="69CF4947"/>
    <w:rsid w:val="6A215319"/>
    <w:rsid w:val="6A216DF7"/>
    <w:rsid w:val="6A4610AD"/>
    <w:rsid w:val="6A8B2F63"/>
    <w:rsid w:val="6AA51D8B"/>
    <w:rsid w:val="6AB26742"/>
    <w:rsid w:val="6AEB57B0"/>
    <w:rsid w:val="6B482E04"/>
    <w:rsid w:val="6B5275DD"/>
    <w:rsid w:val="6BBC2645"/>
    <w:rsid w:val="6BC058CD"/>
    <w:rsid w:val="6BE2035B"/>
    <w:rsid w:val="6BF54B38"/>
    <w:rsid w:val="6C292A34"/>
    <w:rsid w:val="6C2E3BA6"/>
    <w:rsid w:val="6C506213"/>
    <w:rsid w:val="6C6C6FD7"/>
    <w:rsid w:val="6C6D0B73"/>
    <w:rsid w:val="6C6F1B1E"/>
    <w:rsid w:val="6C7331BB"/>
    <w:rsid w:val="6CC05D61"/>
    <w:rsid w:val="6CCC5257"/>
    <w:rsid w:val="6CD72490"/>
    <w:rsid w:val="6CDE737B"/>
    <w:rsid w:val="6CFC1EF7"/>
    <w:rsid w:val="6D0B249B"/>
    <w:rsid w:val="6D4F64CA"/>
    <w:rsid w:val="6DB02925"/>
    <w:rsid w:val="6DDE15FC"/>
    <w:rsid w:val="6DE704B1"/>
    <w:rsid w:val="6DFB15C2"/>
    <w:rsid w:val="6E8C308E"/>
    <w:rsid w:val="6ED749C9"/>
    <w:rsid w:val="6EE9790F"/>
    <w:rsid w:val="6F1572A0"/>
    <w:rsid w:val="6F196D90"/>
    <w:rsid w:val="6F1D6147"/>
    <w:rsid w:val="6F2968A7"/>
    <w:rsid w:val="6F370FC4"/>
    <w:rsid w:val="700E441B"/>
    <w:rsid w:val="70311EB7"/>
    <w:rsid w:val="703379DD"/>
    <w:rsid w:val="703B0F88"/>
    <w:rsid w:val="703B4AE4"/>
    <w:rsid w:val="704E4817"/>
    <w:rsid w:val="705B5186"/>
    <w:rsid w:val="70671D7D"/>
    <w:rsid w:val="70B7060E"/>
    <w:rsid w:val="70C1323B"/>
    <w:rsid w:val="70D46219"/>
    <w:rsid w:val="70DA42FD"/>
    <w:rsid w:val="710D6480"/>
    <w:rsid w:val="713A4D9B"/>
    <w:rsid w:val="71875052"/>
    <w:rsid w:val="71A072F4"/>
    <w:rsid w:val="71A64801"/>
    <w:rsid w:val="71BE777B"/>
    <w:rsid w:val="71FB17C3"/>
    <w:rsid w:val="71FB3A37"/>
    <w:rsid w:val="724F2AC9"/>
    <w:rsid w:val="725F5851"/>
    <w:rsid w:val="72B62B48"/>
    <w:rsid w:val="72B8241C"/>
    <w:rsid w:val="72D74F98"/>
    <w:rsid w:val="72F5541E"/>
    <w:rsid w:val="736CC62E"/>
    <w:rsid w:val="73893DB8"/>
    <w:rsid w:val="738E13CF"/>
    <w:rsid w:val="73A62BBC"/>
    <w:rsid w:val="73CF3EC1"/>
    <w:rsid w:val="745B5755"/>
    <w:rsid w:val="749D668F"/>
    <w:rsid w:val="74D472B5"/>
    <w:rsid w:val="74D9413E"/>
    <w:rsid w:val="74FA4F6E"/>
    <w:rsid w:val="757A60AE"/>
    <w:rsid w:val="759A405B"/>
    <w:rsid w:val="75A153E9"/>
    <w:rsid w:val="75C86E1A"/>
    <w:rsid w:val="75E17EDC"/>
    <w:rsid w:val="760649B4"/>
    <w:rsid w:val="76780840"/>
    <w:rsid w:val="76BE08FC"/>
    <w:rsid w:val="76D417EE"/>
    <w:rsid w:val="76E2215D"/>
    <w:rsid w:val="76FA74A7"/>
    <w:rsid w:val="76FD63BA"/>
    <w:rsid w:val="77004391"/>
    <w:rsid w:val="77073972"/>
    <w:rsid w:val="77EE068E"/>
    <w:rsid w:val="78081EAE"/>
    <w:rsid w:val="78283BA0"/>
    <w:rsid w:val="783138DB"/>
    <w:rsid w:val="7840538D"/>
    <w:rsid w:val="7883171E"/>
    <w:rsid w:val="78BD69DE"/>
    <w:rsid w:val="78DD0E2E"/>
    <w:rsid w:val="78F9378E"/>
    <w:rsid w:val="792425B9"/>
    <w:rsid w:val="79615874"/>
    <w:rsid w:val="799A287B"/>
    <w:rsid w:val="79A60F46"/>
    <w:rsid w:val="79BA2F1D"/>
    <w:rsid w:val="7A440A39"/>
    <w:rsid w:val="7A6B4218"/>
    <w:rsid w:val="7A6D4434"/>
    <w:rsid w:val="7A755041"/>
    <w:rsid w:val="7A7E3F4B"/>
    <w:rsid w:val="7ABC1417"/>
    <w:rsid w:val="7AE6329D"/>
    <w:rsid w:val="7B65510B"/>
    <w:rsid w:val="7B660122"/>
    <w:rsid w:val="7C32323F"/>
    <w:rsid w:val="7C39281F"/>
    <w:rsid w:val="7C605FFE"/>
    <w:rsid w:val="7C6A0C2B"/>
    <w:rsid w:val="7C7223AE"/>
    <w:rsid w:val="7C920181"/>
    <w:rsid w:val="7CD51E1C"/>
    <w:rsid w:val="7D957F29"/>
    <w:rsid w:val="7DC91981"/>
    <w:rsid w:val="7DE1242D"/>
    <w:rsid w:val="7DEC566F"/>
    <w:rsid w:val="7DFF53A3"/>
    <w:rsid w:val="7E0D6AC7"/>
    <w:rsid w:val="7E10135E"/>
    <w:rsid w:val="7E156974"/>
    <w:rsid w:val="7E1917B0"/>
    <w:rsid w:val="7E4436FD"/>
    <w:rsid w:val="7EB268B9"/>
    <w:rsid w:val="7ED625A7"/>
    <w:rsid w:val="7EEF18BB"/>
    <w:rsid w:val="7EEF3669"/>
    <w:rsid w:val="7EFB4DA9"/>
    <w:rsid w:val="7F080287"/>
    <w:rsid w:val="7F192494"/>
    <w:rsid w:val="7F1E7AAB"/>
    <w:rsid w:val="7F5636E8"/>
    <w:rsid w:val="7F6E0A32"/>
    <w:rsid w:val="7F6F56E2"/>
    <w:rsid w:val="7F7B314F"/>
    <w:rsid w:val="7F7D7A10"/>
    <w:rsid w:val="7F822EBC"/>
    <w:rsid w:val="7F9164CE"/>
    <w:rsid w:val="7F9B12B6"/>
    <w:rsid w:val="7FCA378E"/>
    <w:rsid w:val="7FCD7428"/>
    <w:rsid w:val="7FD93418"/>
    <w:rsid w:val="7FEDE852"/>
    <w:rsid w:val="7FEE1B73"/>
    <w:rsid w:val="7FF3587C"/>
    <w:rsid w:val="A597E72E"/>
    <w:rsid w:val="B3FF77F7"/>
    <w:rsid w:val="BFEFF24F"/>
    <w:rsid w:val="CD79B206"/>
    <w:rsid w:val="CFCF5D08"/>
    <w:rsid w:val="E7FDA0BF"/>
    <w:rsid w:val="EBF79E98"/>
    <w:rsid w:val="EFFE0FF8"/>
    <w:rsid w:val="FBDF24C0"/>
    <w:rsid w:val="FFBFB456"/>
    <w:rsid w:val="FFDBC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line="360" w:lineRule="auto"/>
      <w:ind w:left="840" w:leftChars="200" w:hanging="420" w:hangingChars="200"/>
    </w:pPr>
    <w:rPr>
      <w:color w:val="000000"/>
      <w:kern w:val="0"/>
      <w:sz w:val="24"/>
      <w:szCs w:val="20"/>
    </w:rPr>
  </w:style>
  <w:style w:type="paragraph" w:styleId="3">
    <w:name w:val="Normal Indent"/>
    <w:basedOn w:val="1"/>
    <w:next w:val="4"/>
    <w:qFormat/>
    <w:uiPriority w:val="0"/>
    <w:pPr>
      <w:ind w:firstLine="200" w:firstLineChars="200"/>
    </w:pPr>
    <w:rPr>
      <w:rFonts w:ascii="Times New Roman" w:hAnsi="Times New Roman"/>
      <w:szCs w:val="24"/>
    </w:r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Body Text 3"/>
    <w:basedOn w:val="1"/>
    <w:next w:val="6"/>
    <w:unhideWhenUsed/>
    <w:qFormat/>
    <w:uiPriority w:val="99"/>
    <w:pPr>
      <w:spacing w:after="120"/>
    </w:pPr>
    <w:rPr>
      <w:rFonts w:ascii="等线" w:hAnsi="等线" w:eastAsia="等线"/>
      <w:sz w:val="16"/>
      <w:szCs w:val="16"/>
    </w:rPr>
  </w:style>
  <w:style w:type="paragraph" w:customStyle="1" w:styleId="6">
    <w:name w:val="Char1"/>
    <w:basedOn w:val="1"/>
    <w:qFormat/>
    <w:uiPriority w:val="0"/>
    <w:pPr>
      <w:tabs>
        <w:tab w:val="left" w:pos="840"/>
      </w:tabs>
      <w:ind w:left="840" w:hanging="420"/>
    </w:pPr>
    <w:rPr>
      <w:rFonts w:ascii="Calibri" w:hAnsi="Calibri"/>
      <w:sz w:val="24"/>
      <w:szCs w:val="30"/>
    </w:rPr>
  </w:style>
  <w:style w:type="paragraph" w:styleId="7">
    <w:name w:val="Body Text"/>
    <w:basedOn w:val="1"/>
    <w:next w:val="8"/>
    <w:qFormat/>
    <w:uiPriority w:val="99"/>
    <w:pPr>
      <w:spacing w:line="240" w:lineRule="atLeast"/>
      <w:jc w:val="center"/>
    </w:pPr>
    <w:rPr>
      <w:rFonts w:ascii="黑体" w:hAnsi="Times New Roman" w:eastAsia="黑体"/>
      <w:spacing w:val="-40"/>
      <w:sz w:val="28"/>
      <w:szCs w:val="24"/>
    </w:rPr>
  </w:style>
  <w:style w:type="paragraph" w:customStyle="1" w:styleId="8">
    <w:name w:val="列表段落1"/>
    <w:next w:val="1"/>
    <w:qFormat/>
    <w:uiPriority w:val="99"/>
    <w:pPr>
      <w:wordWrap w:val="0"/>
      <w:ind w:left="850"/>
      <w:jc w:val="both"/>
    </w:pPr>
    <w:rPr>
      <w:rFonts w:ascii="Calibri" w:hAnsi="Calibri" w:eastAsia="宋体" w:cs="Calibri"/>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paragraph" w:customStyle="1" w:styleId="18">
    <w:name w:val="p0"/>
    <w:basedOn w:val="1"/>
    <w:qFormat/>
    <w:uiPriority w:val="0"/>
    <w:pPr>
      <w:widowControl/>
    </w:pPr>
    <w:rPr>
      <w:kern w:val="0"/>
      <w:szCs w:val="21"/>
    </w:rPr>
  </w:style>
  <w:style w:type="paragraph" w:customStyle="1" w:styleId="19">
    <w:name w:val="Normal Indent1"/>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0">
    <w:name w:val="正文缩进1"/>
    <w:basedOn w:val="1"/>
    <w:qFormat/>
    <w:uiPriority w:val="0"/>
    <w:pPr>
      <w:ind w:firstLine="420" w:firstLineChars="200"/>
    </w:p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27619</Words>
  <Characters>28055</Characters>
  <Lines>0</Lines>
  <Paragraphs>0</Paragraphs>
  <TotalTime>1</TotalTime>
  <ScaleCrop>false</ScaleCrop>
  <LinksUpToDate>false</LinksUpToDate>
  <CharactersWithSpaces>28148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2023-02-25T17:26:00Z</dcterms:created>
  <dc:creator>pc</dc:creator>
  <cp:lastModifiedBy>guest</cp:lastModifiedBy>
  <cp:lastPrinted>2023-03-23T17:44:00Z</cp:lastPrinted>
  <dcterms:modified xsi:type="dcterms:W3CDTF">2026-01-13T14:22:03Z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7250306CFF619E798BE46569EEBC37EA</vt:lpwstr>
  </property>
</Properties>
</file>