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方正小标宋简体" w:hAnsi="方正小标宋简体" w:eastAsia="方正小标宋简体"/>
          <w:sz w:val="44"/>
          <w:szCs w:val="44"/>
        </w:rPr>
      </w:pPr>
    </w:p>
    <w:p>
      <w:pPr>
        <w:adjustRightInd w:val="0"/>
        <w:snapToGrid w:val="0"/>
        <w:spacing w:line="600" w:lineRule="exact"/>
        <w:jc w:val="center"/>
        <w:rPr>
          <w:rFonts w:ascii="仿宋_GB2312" w:hAnsi="仿宋_GB2312" w:eastAsia="仿宋_GB2312" w:cs="仿宋_GB2312"/>
          <w:color w:val="000000"/>
          <w:sz w:val="32"/>
          <w:szCs w:val="32"/>
        </w:rPr>
      </w:pPr>
    </w:p>
    <w:p>
      <w:pPr>
        <w:adjustRightInd w:val="0"/>
        <w:snapToGrid w:val="0"/>
        <w:spacing w:line="600" w:lineRule="exact"/>
        <w:jc w:val="center"/>
        <w:rPr>
          <w:rFonts w:ascii="仿宋_GB2312" w:hAnsi="仿宋_GB2312" w:eastAsia="仿宋_GB2312" w:cs="仿宋_GB2312"/>
          <w:color w:val="000000"/>
          <w:sz w:val="32"/>
          <w:szCs w:val="32"/>
        </w:rPr>
      </w:pPr>
    </w:p>
    <w:p>
      <w:pPr>
        <w:adjustRightInd w:val="0"/>
        <w:snapToGrid w:val="0"/>
        <w:spacing w:line="600" w:lineRule="exact"/>
        <w:jc w:val="center"/>
        <w:rPr>
          <w:rFonts w:ascii="仿宋_GB2312" w:hAnsi="仿宋_GB2312" w:eastAsia="仿宋_GB2312" w:cs="仿宋_GB2312"/>
          <w:color w:val="000000"/>
          <w:sz w:val="32"/>
          <w:szCs w:val="32"/>
        </w:rPr>
      </w:pPr>
    </w:p>
    <w:p>
      <w:pPr>
        <w:adjustRightInd w:val="0"/>
        <w:snapToGrid w:val="0"/>
        <w:spacing w:line="600" w:lineRule="exact"/>
        <w:jc w:val="center"/>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outlineLvl w:val="9"/>
        <w:rPr>
          <w:rFonts w:ascii="仿宋_GB2312" w:hAnsi="仿宋_GB2312" w:eastAsia="仿宋_GB2312" w:cs="仿宋_GB2312"/>
          <w:color w:val="000000"/>
          <w:sz w:val="32"/>
          <w:szCs w:val="32"/>
        </w:rPr>
      </w:pPr>
    </w:p>
    <w:p>
      <w:pPr>
        <w:adjustRightInd w:val="0"/>
        <w:snapToGrid w:val="0"/>
        <w:spacing w:line="600" w:lineRule="exact"/>
        <w:jc w:val="center"/>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both"/>
        <w:textAlignment w:val="auto"/>
        <w:outlineLvl w:val="9"/>
        <w:rPr>
          <w:rFonts w:ascii="仿宋_GB2312" w:hAnsi="仿宋_GB2312" w:eastAsia="仿宋_GB2312" w:cs="仿宋_GB2312"/>
          <w:color w:val="000000"/>
          <w:sz w:val="32"/>
          <w:szCs w:val="32"/>
        </w:rPr>
      </w:pPr>
    </w:p>
    <w:p>
      <w:pPr>
        <w:adjustRightInd w:val="0"/>
        <w:snapToGrid w:val="0"/>
        <w:spacing w:before="62" w:beforeLines="20" w:after="156" w:afterLines="50" w:line="56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眉政办发〔2023</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43</w:t>
      </w:r>
      <w:r>
        <w:rPr>
          <w:rFonts w:hint="eastAsia" w:ascii="仿宋_GB2312" w:hAnsi="仿宋_GB2312" w:eastAsia="仿宋_GB2312" w:cs="仿宋_GB2312"/>
          <w:color w:val="000000"/>
          <w:sz w:val="32"/>
          <w:szCs w:val="32"/>
        </w:rPr>
        <w:t>号</w:t>
      </w:r>
    </w:p>
    <w:p>
      <w:pPr>
        <w:adjustRightInd w:val="0"/>
        <w:snapToGrid w:val="0"/>
        <w:spacing w:line="500" w:lineRule="exact"/>
        <w:rPr>
          <w:color w:val="000000"/>
        </w:rPr>
      </w:pPr>
    </w:p>
    <w:p>
      <w:pPr>
        <w:keepNext w:val="0"/>
        <w:keepLines w:val="0"/>
        <w:pageBreakBefore w:val="0"/>
        <w:kinsoku/>
        <w:wordWrap/>
        <w:overflowPunct w:val="0"/>
        <w:topLinePunct w:val="0"/>
        <w:autoSpaceDE/>
        <w:autoSpaceDN/>
        <w:bidi w:val="0"/>
        <w:adjustRightInd/>
        <w:snapToGrid/>
        <w:spacing w:line="560" w:lineRule="exact"/>
        <w:ind w:firstLine="0" w:firstLineChars="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眉县人民政府办公室</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关于印发《眉县</w:t>
      </w:r>
      <w:r>
        <w:rPr>
          <w:rFonts w:hint="eastAsia" w:ascii="方正小标宋简体" w:hAnsi="方正小标宋简体" w:eastAsia="方正小标宋简体" w:cs="方正小标宋简体"/>
          <w:sz w:val="44"/>
          <w:szCs w:val="44"/>
          <w:lang w:eastAsia="zh-CN"/>
        </w:rPr>
        <w:t>气象高质量发展实施方案（</w:t>
      </w:r>
      <w:r>
        <w:rPr>
          <w:rFonts w:hint="eastAsia" w:ascii="方正小标宋简体" w:hAnsi="方正小标宋简体" w:eastAsia="方正小标宋简体" w:cs="方正小标宋简体"/>
          <w:sz w:val="44"/>
          <w:szCs w:val="44"/>
          <w:lang w:val="en-US" w:eastAsia="zh-CN"/>
        </w:rPr>
        <w:t>2023-2025</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spacing w:line="560" w:lineRule="exact"/>
        <w:ind w:firstLine="640" w:firstLineChars="200"/>
        <w:rPr>
          <w:rFonts w:ascii="FangSong_GB2312" w:hAnsi="FangSong_GB2312" w:eastAsia="FangSong_GB2312" w:cs="FangSong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rPr>
        <w:t>各镇人民政府、街道办事处，县政府各有关工作部门、</w:t>
      </w:r>
      <w:r>
        <w:rPr>
          <w:rFonts w:hint="eastAsia" w:ascii="仿宋_GB2312" w:hAnsi="仿宋_GB2312" w:eastAsia="仿宋_GB2312" w:cs="仿宋_GB2312"/>
          <w:color w:val="000000"/>
          <w:spacing w:val="-6"/>
          <w:sz w:val="32"/>
          <w:szCs w:val="32"/>
          <w:lang w:val="en-US" w:eastAsia="zh-CN"/>
        </w:rPr>
        <w:t>各</w:t>
      </w:r>
      <w:r>
        <w:rPr>
          <w:rFonts w:hint="eastAsia" w:ascii="仿宋_GB2312" w:hAnsi="仿宋_GB2312" w:eastAsia="仿宋_GB2312" w:cs="仿宋_GB2312"/>
          <w:color w:val="000000"/>
          <w:spacing w:val="-6"/>
          <w:sz w:val="32"/>
          <w:szCs w:val="32"/>
        </w:rPr>
        <w:t>直属机构</w:t>
      </w:r>
      <w:r>
        <w:rPr>
          <w:rFonts w:hint="eastAsia" w:ascii="仿宋_GB2312" w:hAnsi="仿宋_GB2312" w:eastAsia="仿宋_GB2312" w:cs="仿宋_GB2312"/>
          <w:color w:val="000000"/>
          <w:sz w:val="32"/>
          <w:szCs w:val="32"/>
        </w:rPr>
        <w:t>：</w:t>
      </w:r>
    </w:p>
    <w:p>
      <w:pPr>
        <w:spacing w:line="560" w:lineRule="exact"/>
        <w:ind w:firstLine="616"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w:t>
      </w:r>
      <w:r>
        <w:rPr>
          <w:rFonts w:hint="eastAsia" w:ascii="仿宋_GB2312" w:hAnsi="仿宋_GB2312" w:eastAsia="仿宋_GB2312" w:cs="仿宋_GB2312"/>
          <w:color w:val="000000"/>
          <w:spacing w:val="-6"/>
          <w:sz w:val="32"/>
          <w:szCs w:val="32"/>
          <w:lang w:eastAsia="zh-CN"/>
        </w:rPr>
        <w:t>眉县气象高质量发展实施方案（</w:t>
      </w:r>
      <w:r>
        <w:rPr>
          <w:rFonts w:hint="eastAsia" w:ascii="仿宋_GB2312" w:hAnsi="仿宋_GB2312" w:eastAsia="仿宋_GB2312" w:cs="仿宋_GB2312"/>
          <w:color w:val="000000"/>
          <w:spacing w:val="-6"/>
          <w:sz w:val="32"/>
          <w:szCs w:val="32"/>
          <w:lang w:val="en-US" w:eastAsia="zh-CN"/>
        </w:rPr>
        <w:t>2023-2025</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》已经县政府同意，现印发你们，请</w:t>
      </w:r>
      <w:r>
        <w:rPr>
          <w:rFonts w:hint="eastAsia" w:ascii="仿宋_GB2312" w:hAnsi="仿宋_GB2312" w:eastAsia="仿宋_GB2312" w:cs="仿宋_GB2312"/>
          <w:color w:val="000000"/>
          <w:spacing w:val="-6"/>
          <w:sz w:val="32"/>
          <w:szCs w:val="32"/>
          <w:lang w:val="en-US" w:eastAsia="zh-CN"/>
        </w:rPr>
        <w:t>认真</w:t>
      </w:r>
      <w:r>
        <w:rPr>
          <w:rFonts w:hint="eastAsia" w:ascii="仿宋_GB2312" w:hAnsi="仿宋_GB2312" w:eastAsia="仿宋_GB2312" w:cs="仿宋_GB2312"/>
          <w:color w:val="000000"/>
          <w:spacing w:val="-6"/>
          <w:sz w:val="32"/>
          <w:szCs w:val="32"/>
        </w:rPr>
        <w:t>抓好贯彻落实。</w:t>
      </w:r>
    </w:p>
    <w:p>
      <w:pPr>
        <w:spacing w:line="560" w:lineRule="exact"/>
        <w:rPr>
          <w:rFonts w:hint="eastAsia" w:ascii="仿宋_GB2312" w:hAnsi="仿宋_GB2312" w:eastAsia="仿宋_GB2312" w:cs="仿宋_GB2312"/>
          <w:color w:val="000000"/>
          <w:spacing w:val="-6"/>
          <w:sz w:val="32"/>
          <w:szCs w:val="32"/>
        </w:rPr>
      </w:pP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480" w:firstLineChars="1400"/>
        <w:rPr>
          <w:rFonts w:hint="eastAsia" w:ascii="仿宋_GB2312" w:hAnsi="仿宋_GB2312" w:eastAsia="仿宋_GB2312" w:cs="仿宋_GB2312"/>
          <w:sz w:val="32"/>
          <w:szCs w:val="32"/>
        </w:rPr>
      </w:pPr>
    </w:p>
    <w:p>
      <w:pPr>
        <w:spacing w:line="560" w:lineRule="exact"/>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眉县人民政府办公室</w:t>
      </w:r>
    </w:p>
    <w:p>
      <w:pPr>
        <w:spacing w:line="56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keepNext w:val="0"/>
        <w:keepLines w:val="0"/>
        <w:pageBreakBefore w:val="0"/>
        <w:widowControl w:val="0"/>
        <w:kinsoku/>
        <w:wordWrap/>
        <w:overflowPunct w:val="0"/>
        <w:topLinePunct w:val="0"/>
        <w:autoSpaceDE/>
        <w:autoSpaceDN/>
        <w:bidi w:val="0"/>
        <w:spacing w:line="580" w:lineRule="exact"/>
        <w:ind w:left="0" w:leftChars="0" w:right="0" w:rightChars="0"/>
        <w:jc w:val="center"/>
        <w:textAlignment w:val="auto"/>
        <w:outlineLvl w:val="9"/>
        <w:rPr>
          <w:rFonts w:hint="eastAsia" w:ascii="仿宋_GB2312" w:hAnsi="仿宋_GB2312" w:eastAsia="仿宋_GB2312" w:cs="仿宋_GB2312"/>
          <w:color w:val="000000" w:themeColor="text1"/>
          <w:spacing w:val="0"/>
          <w:sz w:val="44"/>
          <w:szCs w:val="44"/>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80" w:lineRule="exact"/>
        <w:ind w:left="0" w:leftChars="0" w:right="0" w:rightChars="0"/>
        <w:jc w:val="center"/>
        <w:textAlignment w:val="auto"/>
        <w:outlineLvl w:val="9"/>
        <w:rPr>
          <w:rFonts w:ascii="方正小标宋简体" w:hAnsi="方正小标宋简体" w:eastAsia="方正小标宋简体" w:cs="方正小标宋简体"/>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眉县气象高质量发展实施方案</w:t>
      </w:r>
    </w:p>
    <w:p>
      <w:pPr>
        <w:keepNext w:val="0"/>
        <w:keepLines w:val="0"/>
        <w:pageBreakBefore w:val="0"/>
        <w:widowControl w:val="0"/>
        <w:kinsoku/>
        <w:wordWrap/>
        <w:overflowPunct w:val="0"/>
        <w:topLinePunct w:val="0"/>
        <w:autoSpaceDE/>
        <w:autoSpaceDN/>
        <w:bidi w:val="0"/>
        <w:spacing w:line="580" w:lineRule="exact"/>
        <w:ind w:left="0" w:leftChars="0" w:right="0" w:rightChars="0"/>
        <w:jc w:val="center"/>
        <w:textAlignment w:val="auto"/>
        <w:outlineLvl w:val="9"/>
        <w:rPr>
          <w:rFonts w:hint="eastAsia" w:ascii="楷体_GB2312" w:hAnsi="楷体_GB2312" w:eastAsia="楷体_GB2312" w:cs="楷体_GB2312"/>
          <w:b/>
          <w:bCs/>
          <w:color w:val="000000" w:themeColor="text1"/>
          <w:spacing w:val="0"/>
          <w:sz w:val="44"/>
          <w:szCs w:val="44"/>
          <w14:textFill>
            <w14:solidFill>
              <w14:schemeClr w14:val="tx1"/>
            </w14:solidFill>
          </w14:textFill>
        </w:rPr>
      </w:pPr>
      <w:r>
        <w:rPr>
          <w:rFonts w:hint="eastAsia" w:ascii="楷体_GB2312" w:hAnsi="楷体_GB2312" w:eastAsia="楷体_GB2312" w:cs="楷体_GB2312"/>
          <w:b/>
          <w:bCs/>
          <w:color w:val="000000" w:themeColor="text1"/>
          <w:spacing w:val="0"/>
          <w:sz w:val="44"/>
          <w:szCs w:val="44"/>
          <w14:textFill>
            <w14:solidFill>
              <w14:schemeClr w14:val="tx1"/>
            </w14:solidFill>
          </w14:textFill>
        </w:rPr>
        <w:t>（2023-2025）</w:t>
      </w:r>
    </w:p>
    <w:p>
      <w:pPr>
        <w:pStyle w:val="3"/>
        <w:keepNext w:val="0"/>
        <w:keepLines w:val="0"/>
        <w:pageBreakBefore w:val="0"/>
        <w:widowControl w:val="0"/>
        <w:kinsoku/>
        <w:wordWrap/>
        <w:overflowPunct w:val="0"/>
        <w:topLinePunct w:val="0"/>
        <w:autoSpaceDE/>
        <w:autoSpaceDN/>
        <w:bidi w:val="0"/>
        <w:spacing w:line="580" w:lineRule="exact"/>
        <w:ind w:left="0" w:leftChars="0" w:right="0" w:rightChars="0"/>
        <w:jc w:val="both"/>
        <w:textAlignment w:val="auto"/>
        <w:outlineLvl w:val="9"/>
        <w:rPr>
          <w:rFonts w:hint="eastAsia" w:eastAsia="宋体"/>
          <w:color w:val="000000" w:themeColor="text1"/>
          <w:lang w:eastAsia="zh-CN"/>
          <w14:textFill>
            <w14:solidFill>
              <w14:schemeClr w14:val="tx1"/>
            </w14:solidFill>
          </w14:textFill>
        </w:rPr>
      </w:pPr>
      <w:r>
        <w:rPr>
          <w:rFonts w:hint="eastAsia" w:ascii="KaiTi_GB2312" w:hAnsi="KaiTi_GB2312" w:cs="KaiTi_GB2312"/>
          <w:b/>
          <w:bCs/>
          <w:color w:val="000000" w:themeColor="text1"/>
          <w:spacing w:val="0"/>
          <w:szCs w:val="32"/>
          <w:lang w:val="en-US" w:eastAsia="zh-CN"/>
          <w14:textFill>
            <w14:solidFill>
              <w14:schemeClr w14:val="tx1"/>
            </w14:solidFill>
          </w14:textFill>
        </w:rPr>
        <w:t xml:space="preserve"> </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szCs w:val="32"/>
          <w14:textFill>
            <w14:solidFill>
              <w14:schemeClr w14:val="tx1"/>
            </w14:solidFill>
          </w14:textFill>
        </w:rPr>
      </w:pPr>
      <w:r>
        <w:rPr>
          <w:rFonts w:hint="eastAsia" w:ascii="仿宋_GB2312" w:hAnsi="仿宋_GB2312" w:eastAsia="仿宋_GB2312" w:cs="仿宋_GB2312"/>
          <w:color w:val="000000" w:themeColor="text1"/>
          <w:spacing w:val="0"/>
          <w:szCs w:val="32"/>
          <w14:textFill>
            <w14:solidFill>
              <w14:schemeClr w14:val="tx1"/>
            </w14:solidFill>
          </w14:textFill>
        </w:rPr>
        <w:t>为深入贯彻习近平总书记关于气象工作重要指示和来陕考察重要讲话重要指示精神，加快推进眉县高质量气象现代化建设，不断提升气象防灾建设服务保障能力。根据宝鸡市人民政府办公室《关于印发宝鸡市全省气象高质量发展先行试点暨气象防灾减灾示范市创建实施方案的通知》（宝政办发〔2022〕58号），结合县政府与市气象局签署的《共同推进眉县气象事业高质量发展 共建高新农业气象服务示范县合作协议（2022-2025年）》建设任务，制定本方案。</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黑体" w:hAnsi="黑体" w:eastAsia="黑体"/>
          <w:color w:val="000000" w:themeColor="text1"/>
          <w:spacing w:val="0"/>
          <w:kern w:val="44"/>
          <w:szCs w:val="32"/>
          <w14:textFill>
            <w14:solidFill>
              <w14:schemeClr w14:val="tx1"/>
            </w14:solidFill>
          </w14:textFill>
        </w:rPr>
      </w:pPr>
      <w:r>
        <w:rPr>
          <w:rFonts w:hint="eastAsia" w:ascii="黑体" w:hAnsi="黑体" w:eastAsia="黑体"/>
          <w:color w:val="000000" w:themeColor="text1"/>
          <w:spacing w:val="0"/>
          <w:kern w:val="44"/>
          <w:szCs w:val="32"/>
          <w14:textFill>
            <w14:solidFill>
              <w14:schemeClr w14:val="tx1"/>
            </w14:solidFill>
          </w14:textFill>
        </w:rPr>
        <w:t>一、指导思想</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szCs w:val="32"/>
          <w14:textFill>
            <w14:solidFill>
              <w14:schemeClr w14:val="tx1"/>
            </w14:solidFill>
          </w14:textFill>
        </w:rPr>
      </w:pPr>
      <w:r>
        <w:rPr>
          <w:rFonts w:hint="eastAsia" w:ascii="仿宋_GB2312" w:hAnsi="仿宋_GB2312" w:eastAsia="仿宋_GB2312" w:cs="仿宋_GB2312"/>
          <w:color w:val="000000" w:themeColor="text1"/>
          <w:spacing w:val="0"/>
          <w:szCs w:val="32"/>
          <w14:textFill>
            <w14:solidFill>
              <w14:schemeClr w14:val="tx1"/>
            </w14:solidFill>
          </w14:textFill>
        </w:rPr>
        <w:t>以习近平新时代中国特色社会主义思想为指导，围绕“融入西安都市圈，建设关中高质量发展先行县”的总体目标，以提供高质量气象服务为导向，大力推进智慧气象建设，不断提高气象防灾减灾工作法治化、规范化、现代化水平，努力构建“监测精密、预报精准、服务精细”的现代气象体系，全面提升气象灾害综合防御能力，为加快建设实力眉县、活力眉县、美丽眉县、幸福眉县、清廉眉县提供更高水平气象服务保障。</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outlineLvl w:val="9"/>
        <w:rPr>
          <w:rFonts w:eastAsia="黑体"/>
          <w:color w:val="000000" w:themeColor="text1"/>
          <w:spacing w:val="0"/>
          <w:szCs w:val="32"/>
          <w14:textFill>
            <w14:solidFill>
              <w14:schemeClr w14:val="tx1"/>
            </w14:solidFill>
          </w14:textFill>
        </w:rPr>
      </w:pPr>
      <w:r>
        <w:rPr>
          <w:rFonts w:hint="eastAsia" w:ascii="黑体" w:hAnsi="黑体" w:eastAsia="黑体"/>
          <w:color w:val="000000" w:themeColor="text1"/>
          <w:spacing w:val="0"/>
          <w:kern w:val="44"/>
          <w:szCs w:val="32"/>
          <w14:textFill>
            <w14:solidFill>
              <w14:schemeClr w14:val="tx1"/>
            </w14:solidFill>
          </w14:textFill>
        </w:rPr>
        <w:t>二、工作目标</w:t>
      </w:r>
    </w:p>
    <w:p>
      <w:pPr>
        <w:pStyle w:val="18"/>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jc w:val="both"/>
        <w:textAlignment w:val="auto"/>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到2025年，基本建成全省高质量气象现代化示范县，气象站网密度提至8公里，多要素站点占比提高至90%以上；晴雨预报、暴雨预警信号准确率分别达到90%和92%以上，强对流天气预警发布时间提前45分钟以上；气象预警信息覆盖率达到96%以上，公众气象服务满意度提高到96%以上；以气象预警信号为先导的“党委领导、政府主导、部门联动、社会参与”的气象防灾减灾工作机制更加健全，气象现代化水平全面提升，气象防灾减灾第一道防线更加稳固，服务保障“五个眉县建设”、乡村振兴战略实施等方面贡献更有成效。</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outlineLvl w:val="9"/>
        <w:rPr>
          <w:rFonts w:ascii="黑体" w:hAnsi="黑体" w:eastAsia="黑体" w:cs="黑体"/>
          <w:color w:val="000000" w:themeColor="text1"/>
          <w:spacing w:val="0"/>
          <w:szCs w:val="32"/>
          <w14:textFill>
            <w14:solidFill>
              <w14:schemeClr w14:val="tx1"/>
            </w14:solidFill>
          </w14:textFill>
        </w:rPr>
      </w:pPr>
      <w:r>
        <w:rPr>
          <w:rFonts w:hint="eastAsia" w:ascii="黑体" w:hAnsi="黑体" w:eastAsia="黑体" w:cs="黑体"/>
          <w:color w:val="000000" w:themeColor="text1"/>
          <w:spacing w:val="0"/>
          <w:szCs w:val="32"/>
          <w14:textFill>
            <w14:solidFill>
              <w14:schemeClr w14:val="tx1"/>
            </w14:solidFill>
          </w14:textFill>
        </w:rPr>
        <w:t>三、重点任务</w:t>
      </w:r>
    </w:p>
    <w:p>
      <w:pPr>
        <w:pStyle w:val="3"/>
        <w:keepNext w:val="0"/>
        <w:keepLines w:val="0"/>
        <w:pageBreakBefore w:val="0"/>
        <w:widowControl w:val="0"/>
        <w:kinsoku/>
        <w:wordWrap/>
        <w:overflowPunct w:val="0"/>
        <w:topLinePunct w:val="0"/>
        <w:autoSpaceDE/>
        <w:autoSpaceDN/>
        <w:bidi w:val="0"/>
        <w:spacing w:line="580" w:lineRule="exact"/>
        <w:ind w:left="0" w:leftChars="0" w:right="0" w:rightChars="0" w:firstLine="643"/>
        <w:jc w:val="both"/>
        <w:textAlignment w:val="auto"/>
        <w:outlineLvl w:val="9"/>
        <w:rPr>
          <w:rFonts w:hint="eastAsia" w:ascii="楷体_GB2312" w:hAnsi="楷体_GB2312" w:eastAsia="楷体_GB2312" w:cs="楷体_GB2312"/>
          <w:b/>
          <w:bCs/>
          <w:color w:val="000000" w:themeColor="text1"/>
          <w:spacing w:val="0"/>
          <w14:textFill>
            <w14:solidFill>
              <w14:schemeClr w14:val="tx1"/>
            </w14:solidFill>
          </w14:textFill>
        </w:rPr>
      </w:pPr>
      <w:r>
        <w:rPr>
          <w:rFonts w:hint="eastAsia" w:ascii="楷体_GB2312" w:hAnsi="楷体_GB2312" w:eastAsia="楷体_GB2312" w:cs="楷体_GB2312"/>
          <w:b/>
          <w:bCs/>
          <w:color w:val="000000" w:themeColor="text1"/>
          <w:spacing w:val="0"/>
          <w14:textFill>
            <w14:solidFill>
              <w14:schemeClr w14:val="tx1"/>
            </w14:solidFill>
          </w14:textFill>
        </w:rPr>
        <w:t>（一）加强气象灾害防御能力建设，充分发挥气象防灾减灾第一道防线作用</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kern w:val="0"/>
          <w:szCs w:val="32"/>
          <w14:textFill>
            <w14:solidFill>
              <w14:schemeClr w14:val="tx1"/>
            </w14:solidFill>
          </w14:textFill>
        </w:rPr>
      </w:pPr>
      <w:r>
        <w:rPr>
          <w:rFonts w:hint="eastAsia" w:ascii="仿宋_GB2312" w:hAnsi="仿宋_GB2312" w:eastAsia="仿宋_GB2312" w:cs="仿宋_GB2312"/>
          <w:b/>
          <w:color w:val="000000" w:themeColor="text1"/>
          <w:spacing w:val="0"/>
          <w:szCs w:val="32"/>
          <w14:textFill>
            <w14:solidFill>
              <w14:schemeClr w14:val="tx1"/>
            </w14:solidFill>
          </w14:textFill>
        </w:rPr>
        <w:t>1.健全完善气象灾害防御体系。</w:t>
      </w:r>
      <w:r>
        <w:rPr>
          <w:rFonts w:hint="eastAsia" w:ascii="仿宋_GB2312" w:hAnsi="仿宋_GB2312" w:eastAsia="仿宋_GB2312" w:cs="仿宋_GB2312"/>
          <w:color w:val="000000" w:themeColor="text1"/>
          <w:spacing w:val="0"/>
          <w:szCs w:val="32"/>
          <w14:textFill>
            <w14:solidFill>
              <w14:schemeClr w14:val="tx1"/>
            </w14:solidFill>
          </w14:textFill>
        </w:rPr>
        <w:t>制定出台《关于加强极端天气风险防范应对工作的若干措施》，逐步建立极端天气风险防范应对工作体系。健全以气象灾害预警为先导的各级政府快速决策调度机制、部门快速应急联动机制和社会响应机制，完善党委政府“遇强降水即调度、遇极端天气必叫应、高效科学防抢撤”工作机制。修订完善《眉县气象灾害应急预案》，规范各单位、各镇（街）接收气象灾害预警信号后的应急响应联动工作。坚持属地管理、综合减灾，将气象灾害防御工作纳入综合防灾减灾体系，纳入基层网格化社会治理体系，纳入基层基本公共服务，纳入政府对镇（街）年度考核。强化气象防灾减灾工作行政首长负责制，压实分级负责的气象灾害防御主体责任，夯实各镇人民政府、街道办事处的气象防灾减灾救灾管理职能，推动气象灾害防御向基层延伸。</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kern w:val="0"/>
          <w:szCs w:val="32"/>
          <w14:textFill>
            <w14:solidFill>
              <w14:schemeClr w14:val="tx1"/>
            </w14:solidFill>
          </w14:textFill>
        </w:rPr>
      </w:pPr>
      <w:r>
        <w:rPr>
          <w:rFonts w:hint="eastAsia" w:ascii="仿宋_GB2312" w:hAnsi="仿宋_GB2312" w:eastAsia="仿宋_GB2312" w:cs="仿宋_GB2312"/>
          <w:b/>
          <w:color w:val="000000" w:themeColor="text1"/>
          <w:spacing w:val="0"/>
          <w:szCs w:val="32"/>
          <w14:textFill>
            <w14:solidFill>
              <w14:schemeClr w14:val="tx1"/>
            </w14:solidFill>
          </w14:textFill>
        </w:rPr>
        <w:t>2.提升气象灾害监测预报预警能力。</w:t>
      </w:r>
      <w:r>
        <w:rPr>
          <w:rFonts w:hint="eastAsia" w:ascii="仿宋_GB2312" w:hAnsi="仿宋_GB2312" w:eastAsia="仿宋_GB2312" w:cs="仿宋_GB2312"/>
          <w:color w:val="000000" w:themeColor="text1"/>
          <w:spacing w:val="0"/>
          <w:kern w:val="0"/>
          <w:szCs w:val="32"/>
          <w14:textFill>
            <w14:solidFill>
              <w14:schemeClr w14:val="tx1"/>
            </w14:solidFill>
          </w14:textFill>
        </w:rPr>
        <w:t>新建区域自动气象站、微型智能气象站10套，升级改造多要素区域站9套，新增便携式气象站1套，</w:t>
      </w:r>
      <w:r>
        <w:rPr>
          <w:rFonts w:hint="eastAsia" w:ascii="仿宋_GB2312" w:hAnsi="仿宋_GB2312" w:eastAsia="仿宋_GB2312" w:cs="仿宋_GB2312"/>
          <w:color w:val="000000" w:themeColor="text1"/>
          <w:spacing w:val="0"/>
          <w:szCs w:val="32"/>
          <w14:textFill>
            <w14:solidFill>
              <w14:schemeClr w14:val="tx1"/>
            </w14:solidFill>
          </w14:textFill>
        </w:rPr>
        <w:t>气象站网密度提升至8公里。建设眉县突发灾害性天气综合监测预报预警平台，</w:t>
      </w:r>
      <w:r>
        <w:rPr>
          <w:rFonts w:hint="eastAsia" w:ascii="仿宋_GB2312" w:hAnsi="仿宋_GB2312" w:eastAsia="仿宋_GB2312" w:cs="仿宋_GB2312"/>
          <w:color w:val="000000" w:themeColor="text1"/>
          <w:spacing w:val="0"/>
          <w:kern w:val="0"/>
          <w:szCs w:val="32"/>
          <w14:textFill>
            <w14:solidFill>
              <w14:schemeClr w14:val="tx1"/>
            </w14:solidFill>
          </w14:textFill>
        </w:rPr>
        <w:t>共建共享农业、林业、水利、交通、旅游、生态环境、电力等跨行业气象观测网，推动监测数据融入“数字政府”。在气象灾害防御重点区域广泛布设“气象哨兵”智能发布终端。</w:t>
      </w:r>
      <w:r>
        <w:rPr>
          <w:rFonts w:hint="eastAsia" w:ascii="仿宋_GB2312" w:hAnsi="仿宋_GB2312" w:eastAsia="仿宋_GB2312" w:cs="仿宋_GB2312"/>
          <w:color w:val="000000" w:themeColor="text1"/>
          <w:spacing w:val="0"/>
          <w:szCs w:val="32"/>
          <w14:textFill>
            <w14:solidFill>
              <w14:schemeClr w14:val="tx1"/>
            </w14:solidFill>
          </w14:textFill>
        </w:rPr>
        <w:t>应用人工智能、大数据等新技术，发展基于雷达、卫星等多源实况数据和数值预报相融合的客观天气识别和临近预报预警技术，</w:t>
      </w:r>
      <w:r>
        <w:rPr>
          <w:rFonts w:hint="eastAsia" w:ascii="仿宋_GB2312" w:hAnsi="仿宋_GB2312" w:eastAsia="仿宋_GB2312" w:cs="仿宋_GB2312"/>
          <w:color w:val="000000" w:themeColor="text1"/>
          <w:spacing w:val="0"/>
          <w:kern w:val="0"/>
          <w:szCs w:val="32"/>
          <w14:textFill>
            <w14:solidFill>
              <w14:schemeClr w14:val="tx1"/>
            </w14:solidFill>
          </w14:textFill>
        </w:rPr>
        <w:t>完善以突发灾害性天气为重点的快速滚动更新短时临近预报预警业务，优化监测预警业务流程，提高灾害性天气预警信号空间分辨率到镇（街）。依托移动通信、互联网、物联网等新技术，开展基于位置的气象预警信息推送，实现气象信息靶向发布。</w:t>
      </w:r>
    </w:p>
    <w:p>
      <w:pPr>
        <w:pStyle w:val="3"/>
        <w:keepNext w:val="0"/>
        <w:keepLines w:val="0"/>
        <w:pageBreakBefore w:val="0"/>
        <w:widowControl w:val="0"/>
        <w:kinsoku/>
        <w:wordWrap/>
        <w:overflowPunct w:val="0"/>
        <w:topLinePunct w:val="0"/>
        <w:autoSpaceDE/>
        <w:autoSpaceDN/>
        <w:bidi w:val="0"/>
        <w:spacing w:line="580" w:lineRule="exact"/>
        <w:ind w:left="0" w:leftChars="0" w:right="0" w:rightChars="0" w:firstLine="643"/>
        <w:jc w:val="both"/>
        <w:textAlignment w:val="auto"/>
        <w:outlineLvl w:val="9"/>
        <w:rPr>
          <w:rFonts w:hint="eastAsia" w:ascii="楷体_GB2312" w:hAnsi="楷体_GB2312" w:eastAsia="楷体_GB2312" w:cs="楷体_GB2312"/>
          <w:b/>
          <w:bCs/>
          <w:color w:val="000000" w:themeColor="text1"/>
          <w:spacing w:val="0"/>
          <w:szCs w:val="22"/>
          <w14:textFill>
            <w14:solidFill>
              <w14:schemeClr w14:val="tx1"/>
            </w14:solidFill>
          </w14:textFill>
        </w:rPr>
      </w:pPr>
      <w:r>
        <w:rPr>
          <w:rFonts w:hint="eastAsia" w:ascii="楷体_GB2312" w:hAnsi="楷体_GB2312" w:eastAsia="楷体_GB2312" w:cs="楷体_GB2312"/>
          <w:b/>
          <w:bCs/>
          <w:color w:val="000000" w:themeColor="text1"/>
          <w:spacing w:val="0"/>
          <w:szCs w:val="22"/>
          <w14:textFill>
            <w14:solidFill>
              <w14:schemeClr w14:val="tx1"/>
            </w14:solidFill>
          </w14:textFill>
        </w:rPr>
        <w:t>（二）加强气象为农和生态保护服务能力建设，提高乡村振兴和生态文明建设气象保障水平</w:t>
      </w:r>
    </w:p>
    <w:p>
      <w:pPr>
        <w:keepNext w:val="0"/>
        <w:keepLines w:val="0"/>
        <w:pageBreakBefore w:val="0"/>
        <w:widowControl w:val="0"/>
        <w:tabs>
          <w:tab w:val="left" w:pos="7380"/>
        </w:tabs>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kern w:val="44"/>
          <w:szCs w:val="32"/>
          <w14:textFill>
            <w14:solidFill>
              <w14:schemeClr w14:val="tx1"/>
            </w14:solidFill>
          </w14:textFill>
        </w:rPr>
      </w:pPr>
      <w:r>
        <w:rPr>
          <w:rFonts w:hint="eastAsia" w:ascii="仿宋_GB2312" w:hAnsi="仿宋_GB2312" w:eastAsia="仿宋_GB2312" w:cs="仿宋_GB2312"/>
          <w:b/>
          <w:color w:val="000000" w:themeColor="text1"/>
          <w:spacing w:val="0"/>
          <w:szCs w:val="32"/>
          <w14:textFill>
            <w14:solidFill>
              <w14:schemeClr w14:val="tx1"/>
            </w14:solidFill>
          </w14:textFill>
        </w:rPr>
        <w:t>3.提升气象服务乡村振兴能力。</w:t>
      </w:r>
      <w:r>
        <w:rPr>
          <w:rFonts w:hint="eastAsia" w:ascii="仿宋_GB2312" w:hAnsi="仿宋_GB2312" w:eastAsia="仿宋_GB2312" w:cs="仿宋_GB2312"/>
          <w:color w:val="000000" w:themeColor="text1"/>
          <w:spacing w:val="0"/>
          <w:kern w:val="44"/>
          <w:szCs w:val="32"/>
          <w14:textFill>
            <w14:solidFill>
              <w14:schemeClr w14:val="tx1"/>
            </w14:solidFill>
          </w14:textFill>
        </w:rPr>
        <w:t>深化眉县猕猴桃等特色果业气象服务，高质量推进省级猕猴桃气象服务中心建设，高标准建设3处智慧型猕猴桃气象服务示范点。</w:t>
      </w:r>
      <w:r>
        <w:rPr>
          <w:rFonts w:hint="eastAsia" w:ascii="仿宋_GB2312" w:hAnsi="仿宋_GB2312" w:eastAsia="仿宋_GB2312" w:cs="仿宋_GB2312"/>
          <w:color w:val="000000" w:themeColor="text1"/>
          <w:spacing w:val="0"/>
          <w:szCs w:val="32"/>
          <w14:textFill>
            <w14:solidFill>
              <w14:schemeClr w14:val="tx1"/>
            </w14:solidFill>
          </w14:textFill>
        </w:rPr>
        <w:t>联合省、市气象局和县农业部门，开展防霜冻试验，</w:t>
      </w:r>
      <w:r>
        <w:rPr>
          <w:rFonts w:hint="eastAsia" w:ascii="仿宋_GB2312" w:hAnsi="仿宋_GB2312" w:eastAsia="仿宋_GB2312" w:cs="仿宋_GB2312"/>
          <w:color w:val="000000" w:themeColor="text1"/>
          <w:spacing w:val="0"/>
          <w:kern w:val="44"/>
          <w:szCs w:val="32"/>
          <w14:textFill>
            <w14:solidFill>
              <w14:schemeClr w14:val="tx1"/>
            </w14:solidFill>
          </w14:textFill>
        </w:rPr>
        <w:t>开展分区域、分灾种、分影响的“直通式”猕猴桃防霜冻气象服务。发挥眉县猕猴桃</w:t>
      </w:r>
      <w:r>
        <w:rPr>
          <w:rFonts w:hint="eastAsia" w:ascii="仿宋_GB2312" w:hAnsi="仿宋_GB2312" w:eastAsia="仿宋_GB2312" w:cs="仿宋_GB2312"/>
          <w:bCs/>
          <w:color w:val="000000" w:themeColor="text1"/>
          <w:spacing w:val="0"/>
          <w:szCs w:val="32"/>
          <w:shd w:val="clear" w:color="auto" w:fill="FFFFFF"/>
          <w14:textFill>
            <w14:solidFill>
              <w14:schemeClr w14:val="tx1"/>
            </w14:solidFill>
          </w14:textFill>
        </w:rPr>
        <w:t>“国家气候标志”品牌效应，</w:t>
      </w:r>
      <w:r>
        <w:rPr>
          <w:rFonts w:hint="eastAsia" w:ascii="仿宋_GB2312" w:hAnsi="仿宋_GB2312" w:eastAsia="仿宋_GB2312" w:cs="仿宋_GB2312"/>
          <w:color w:val="000000" w:themeColor="text1"/>
          <w:spacing w:val="0"/>
          <w:kern w:val="44"/>
          <w:szCs w:val="32"/>
          <w14:textFill>
            <w14:solidFill>
              <w14:schemeClr w14:val="tx1"/>
            </w14:solidFill>
          </w14:textFill>
        </w:rPr>
        <w:t>推动生态效益向社会效益和经济效益的深入转化。强化对粮食等农作物的重大气象灾害监测、预报预警和评估服务，做好病虫害防治气象服务保障，为保障粮食安全提供更加精准的气象服务。推进气候区划在农业布局和结构优化中的应用，优化农业气象信息服务渠道，推进农业农村和气象部门信息共享，实现精细化、定制化、直通式农业气象信息服务。</w:t>
      </w:r>
    </w:p>
    <w:p>
      <w:pPr>
        <w:keepNext w:val="0"/>
        <w:keepLines w:val="0"/>
        <w:pageBreakBefore w:val="0"/>
        <w:widowControl w:val="0"/>
        <w:tabs>
          <w:tab w:val="left" w:pos="7380"/>
        </w:tabs>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kern w:val="44"/>
          <w:szCs w:val="32"/>
          <w14:textFill>
            <w14:solidFill>
              <w14:schemeClr w14:val="tx1"/>
            </w14:solidFill>
          </w14:textFill>
        </w:rPr>
      </w:pPr>
      <w:r>
        <w:rPr>
          <w:rFonts w:hint="eastAsia" w:ascii="仿宋_GB2312" w:hAnsi="仿宋_GB2312" w:eastAsia="仿宋_GB2312" w:cs="仿宋_GB2312"/>
          <w:b/>
          <w:color w:val="000000" w:themeColor="text1"/>
          <w:spacing w:val="0"/>
          <w:szCs w:val="32"/>
          <w14:textFill>
            <w14:solidFill>
              <w14:schemeClr w14:val="tx1"/>
            </w14:solidFill>
          </w14:textFill>
        </w:rPr>
        <w:t>4.提升生态文明气象服务能力。</w:t>
      </w:r>
      <w:r>
        <w:rPr>
          <w:rFonts w:hint="eastAsia" w:ascii="仿宋_GB2312" w:hAnsi="仿宋_GB2312" w:eastAsia="仿宋_GB2312" w:cs="仿宋_GB2312"/>
          <w:color w:val="000000" w:themeColor="text1"/>
          <w:spacing w:val="0"/>
          <w:kern w:val="44"/>
          <w:szCs w:val="32"/>
          <w14:textFill>
            <w14:solidFill>
              <w14:schemeClr w14:val="tx1"/>
            </w14:solidFill>
          </w14:textFill>
        </w:rPr>
        <w:t>以提升重点生态功能区的植被和空气质量、土壤水分自动连续观测能力为目标，建设植被和物候观测、粮食作物气象监测系统。联合生态环境、自然资源等部门开展多源协同观测，实现规划衔接、标准统一、资源共享。</w:t>
      </w:r>
      <w:r>
        <w:rPr>
          <w:rFonts w:hint="eastAsia" w:ascii="仿宋_GB2312" w:hAnsi="仿宋_GB2312" w:eastAsia="仿宋_GB2312" w:cs="仿宋_GB2312"/>
          <w:color w:val="000000" w:themeColor="text1"/>
          <w:spacing w:val="0"/>
          <w:kern w:val="44"/>
          <w:szCs w:val="32"/>
          <w:highlight w:val="none"/>
          <w14:textFill>
            <w14:solidFill>
              <w14:schemeClr w14:val="tx1"/>
            </w14:solidFill>
          </w14:textFill>
        </w:rPr>
        <w:t>开展大气污染物传输路径、溯源研究</w:t>
      </w:r>
      <w:r>
        <w:rPr>
          <w:rFonts w:hint="eastAsia" w:ascii="仿宋_GB2312" w:hAnsi="仿宋_GB2312" w:eastAsia="仿宋_GB2312" w:cs="仿宋_GB2312"/>
          <w:color w:val="000000" w:themeColor="text1"/>
          <w:spacing w:val="0"/>
          <w:kern w:val="44"/>
          <w:szCs w:val="32"/>
          <w14:textFill>
            <w14:solidFill>
              <w14:schemeClr w14:val="tx1"/>
            </w14:solidFill>
          </w14:textFill>
        </w:rPr>
        <w:t>，提升重污染天气的监测预报预警能力。推进气象与生态环境部门的数据共享、会商研判和应急联动，提升突发大气污染事件气象应急响应能力。坚持生态优先、绿色发展理念，建立完善森林火点、</w:t>
      </w:r>
      <w:r>
        <w:rPr>
          <w:rFonts w:hint="eastAsia" w:ascii="仿宋_GB2312" w:hAnsi="仿宋_GB2312" w:eastAsia="仿宋_GB2312" w:cs="仿宋_GB2312"/>
          <w:color w:val="000000" w:themeColor="text1"/>
          <w:spacing w:val="0"/>
          <w:kern w:val="0"/>
          <w:szCs w:val="32"/>
          <w14:textFill>
            <w14:solidFill>
              <w14:schemeClr w14:val="tx1"/>
            </w14:solidFill>
          </w14:textFill>
        </w:rPr>
        <w:t>秸秆焚烧气象遥感监测联动机制，</w:t>
      </w:r>
      <w:r>
        <w:rPr>
          <w:rFonts w:hint="eastAsia" w:ascii="仿宋_GB2312" w:hAnsi="仿宋_GB2312" w:eastAsia="仿宋_GB2312" w:cs="仿宋_GB2312"/>
          <w:color w:val="000000" w:themeColor="text1"/>
          <w:spacing w:val="0"/>
          <w:kern w:val="44"/>
          <w:szCs w:val="32"/>
          <w14:textFill>
            <w14:solidFill>
              <w14:schemeClr w14:val="tx1"/>
            </w14:solidFill>
          </w14:textFill>
        </w:rPr>
        <w:t>为渭河流域生态治理保护提供气象服务。</w:t>
      </w:r>
    </w:p>
    <w:p>
      <w:pPr>
        <w:pStyle w:val="3"/>
        <w:keepNext w:val="0"/>
        <w:keepLines w:val="0"/>
        <w:pageBreakBefore w:val="0"/>
        <w:widowControl w:val="0"/>
        <w:kinsoku/>
        <w:wordWrap/>
        <w:overflowPunct w:val="0"/>
        <w:topLinePunct w:val="0"/>
        <w:autoSpaceDE/>
        <w:autoSpaceDN/>
        <w:bidi w:val="0"/>
        <w:spacing w:line="580" w:lineRule="exact"/>
        <w:ind w:left="0" w:leftChars="0" w:right="0" w:rightChars="0" w:firstLine="643"/>
        <w:jc w:val="both"/>
        <w:textAlignment w:val="auto"/>
        <w:outlineLvl w:val="9"/>
        <w:rPr>
          <w:rFonts w:hint="eastAsia" w:ascii="楷体_GB2312" w:hAnsi="楷体_GB2312" w:eastAsia="楷体_GB2312" w:cs="楷体_GB2312"/>
          <w:b/>
          <w:bCs/>
          <w:color w:val="000000" w:themeColor="text1"/>
          <w:spacing w:val="0"/>
          <w:szCs w:val="22"/>
          <w14:textFill>
            <w14:solidFill>
              <w14:schemeClr w14:val="tx1"/>
            </w14:solidFill>
          </w14:textFill>
        </w:rPr>
      </w:pPr>
      <w:r>
        <w:rPr>
          <w:rFonts w:hint="eastAsia" w:ascii="楷体_GB2312" w:hAnsi="楷体_GB2312" w:eastAsia="楷体_GB2312" w:cs="楷体_GB2312"/>
          <w:b/>
          <w:bCs/>
          <w:color w:val="000000" w:themeColor="text1"/>
          <w:spacing w:val="0"/>
          <w:szCs w:val="22"/>
          <w14:textFill>
            <w14:solidFill>
              <w14:schemeClr w14:val="tx1"/>
            </w14:solidFill>
          </w14:textFill>
        </w:rPr>
        <w:t>（三）加强公共气象服务能力建设,提高服务经济社会发展和民生水平</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14:textFill>
            <w14:solidFill>
              <w14:schemeClr w14:val="tx1"/>
            </w14:solidFill>
          </w14:textFill>
        </w:rPr>
      </w:pPr>
      <w:r>
        <w:rPr>
          <w:rFonts w:hint="eastAsia" w:ascii="仿宋_GB2312" w:hAnsi="仿宋_GB2312" w:eastAsia="仿宋_GB2312" w:cs="仿宋_GB2312"/>
          <w:b/>
          <w:color w:val="000000" w:themeColor="text1"/>
          <w:spacing w:val="0"/>
          <w:szCs w:val="32"/>
          <w14:textFill>
            <w14:solidFill>
              <w14:schemeClr w14:val="tx1"/>
            </w14:solidFill>
          </w14:textFill>
        </w:rPr>
        <w:t>5.提升气象灾害风险治理能力。</w:t>
      </w:r>
      <w:r>
        <w:rPr>
          <w:rFonts w:hint="eastAsia" w:ascii="仿宋_GB2312" w:hAnsi="仿宋_GB2312" w:eastAsia="仿宋_GB2312" w:cs="仿宋_GB2312"/>
          <w:color w:val="000000" w:themeColor="text1"/>
          <w:spacing w:val="0"/>
          <w:szCs w:val="32"/>
          <w14:textFill>
            <w14:solidFill>
              <w14:schemeClr w14:val="tx1"/>
            </w14:solidFill>
          </w14:textFill>
        </w:rPr>
        <w:t>落实</w:t>
      </w:r>
      <w:r>
        <w:rPr>
          <w:rFonts w:hint="eastAsia" w:ascii="仿宋_GB2312" w:hAnsi="仿宋_GB2312" w:eastAsia="仿宋_GB2312" w:cs="仿宋_GB2312"/>
          <w:color w:val="000000" w:themeColor="text1"/>
          <w:spacing w:val="0"/>
          <w:kern w:val="44"/>
          <w:szCs w:val="32"/>
          <w14:textFill>
            <w14:solidFill>
              <w14:schemeClr w14:val="tx1"/>
            </w14:solidFill>
          </w14:textFill>
        </w:rPr>
        <w:t>《宝鸡市区域性气候可行性论证实施细则》，</w:t>
      </w:r>
      <w:r>
        <w:rPr>
          <w:rFonts w:hint="eastAsia" w:ascii="仿宋_GB2312" w:hAnsi="仿宋_GB2312" w:eastAsia="仿宋_GB2312" w:cs="仿宋_GB2312"/>
          <w:color w:val="000000" w:themeColor="text1"/>
          <w:spacing w:val="0"/>
          <w:kern w:val="0"/>
          <w:szCs w:val="32"/>
          <w14:textFill>
            <w14:solidFill>
              <w14:schemeClr w14:val="tx1"/>
            </w14:solidFill>
          </w14:textFill>
        </w:rPr>
        <w:t>开展工业园区区域性和重大工程的气候可行性论证工作，推动气象灾害风险防范关口前移，从源头降低气象灾害风险。常态化联合应急管理、住建等部门开展行政执法检查，全面落实防雷安全监管责任。完善“互联网+监管”工作模式，加强防雷安全信用管理，提高监管</w:t>
      </w:r>
      <w:r>
        <w:rPr>
          <w:rFonts w:hint="eastAsia" w:ascii="仿宋_GB2312" w:hAnsi="仿宋_GB2312" w:eastAsia="仿宋_GB2312" w:cs="仿宋_GB2312"/>
          <w:color w:val="000000" w:themeColor="text1"/>
          <w:spacing w:val="0"/>
          <w:kern w:val="44"/>
          <w:szCs w:val="32"/>
          <w14:textFill>
            <w14:solidFill>
              <w14:schemeClr w14:val="tx1"/>
            </w14:solidFill>
          </w14:textFill>
        </w:rPr>
        <w:t>效能。</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Cs/>
          <w:color w:val="000000" w:themeColor="text1"/>
          <w:spacing w:val="0"/>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pacing w:val="0"/>
          <w:szCs w:val="32"/>
          <w14:textFill>
            <w14:solidFill>
              <w14:schemeClr w14:val="tx1"/>
            </w14:solidFill>
          </w14:textFill>
        </w:rPr>
        <w:t>6.提升旅游气象服务能力。</w:t>
      </w:r>
      <w:r>
        <w:rPr>
          <w:rFonts w:hint="eastAsia" w:ascii="仿宋_GB2312" w:hAnsi="仿宋_GB2312" w:eastAsia="仿宋_GB2312" w:cs="仿宋_GB2312"/>
          <w:color w:val="000000" w:themeColor="text1"/>
          <w:spacing w:val="0"/>
          <w:kern w:val="0"/>
          <w:szCs w:val="32"/>
          <w14:textFill>
            <w14:solidFill>
              <w14:schemeClr w14:val="tx1"/>
            </w14:solidFill>
          </w14:textFill>
        </w:rPr>
        <w:t>开展太白山、红河谷景区智慧旅游气象服务示范建设，升级气象监测站、生态监测站，构建全域旅游气象监测网，提升极端天气监测能力。建设全域旅游智慧气象服务平台，实现文旅、水利等部门信息共享互通，联合制作发布各类旅游气象服务产品。建立旅游安全风险提示制度，联合制定旅游突发公共事件应急预案，提升气象灾害应对处置能力。</w:t>
      </w:r>
      <w:r>
        <w:rPr>
          <w:rFonts w:hint="eastAsia" w:ascii="仿宋_GB2312" w:hAnsi="仿宋_GB2312" w:eastAsia="仿宋_GB2312" w:cs="仿宋_GB2312"/>
          <w:bCs/>
          <w:color w:val="000000" w:themeColor="text1"/>
          <w:spacing w:val="0"/>
          <w:szCs w:val="32"/>
          <w:shd w:val="clear" w:color="auto" w:fill="FFFFFF"/>
          <w14:textFill>
            <w14:solidFill>
              <w14:schemeClr w14:val="tx1"/>
            </w14:solidFill>
          </w14:textFill>
        </w:rPr>
        <w:t>加强与旅游、交通、景区等深入合作，将气象和多行业大数据进行融合，开展基于用户当前位置到景区的景点实况、预报、预警、气象指数和道路交通气象服务。</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szCs w:val="32"/>
          <w14:textFill>
            <w14:solidFill>
              <w14:schemeClr w14:val="tx1"/>
            </w14:solidFill>
          </w14:textFill>
        </w:rPr>
      </w:pPr>
      <w:r>
        <w:rPr>
          <w:rFonts w:hint="eastAsia" w:ascii="仿宋_GB2312" w:hAnsi="仿宋_GB2312" w:eastAsia="仿宋_GB2312" w:cs="仿宋_GB2312"/>
          <w:b/>
          <w:color w:val="000000" w:themeColor="text1"/>
          <w:spacing w:val="0"/>
          <w:szCs w:val="32"/>
          <w14:textFill>
            <w14:solidFill>
              <w14:schemeClr w14:val="tx1"/>
            </w14:solidFill>
          </w14:textFill>
        </w:rPr>
        <w:t>7.提升公共气象服务能力。</w:t>
      </w:r>
      <w:r>
        <w:rPr>
          <w:rFonts w:hint="eastAsia" w:ascii="仿宋_GB2312" w:hAnsi="仿宋_GB2312" w:eastAsia="仿宋_GB2312" w:cs="仿宋_GB2312"/>
          <w:bCs/>
          <w:color w:val="000000" w:themeColor="text1"/>
          <w:spacing w:val="0"/>
          <w:szCs w:val="32"/>
          <w:shd w:val="clear" w:color="auto" w:fill="FFFFFF"/>
          <w14:textFill>
            <w14:solidFill>
              <w14:schemeClr w14:val="tx1"/>
            </w14:solidFill>
          </w14:textFill>
        </w:rPr>
        <w:t>推进气象与相关行业的融合发展，增强综合交通运输、全域旅游、设施农业、绿色能源等领域信息共享和气象保障服务能力，提升行业运行发展保障支撑水平。建设融媒体公众气象服务矩阵和平台，实现电视、广播、客户端、新媒体、显示屏、大喇叭应急广播等与气象融媒体互联互通，扩大气象信息覆盖面。将气象灾害防御知识科普工作纳入全民科学素质行动计划纲要，持续开展气象科普进社区、进农村等活动。围绕眉县气象科普馆，建设“线上+线下”气象科普传播互动平台。针对重要天气、重大活动、重要时间节点开展气象科普专题策划，不</w:t>
      </w:r>
      <w:r>
        <w:rPr>
          <w:rFonts w:hint="eastAsia" w:ascii="仿宋_GB2312" w:hAnsi="仿宋_GB2312" w:eastAsia="仿宋_GB2312" w:cs="仿宋_GB2312"/>
          <w:color w:val="000000" w:themeColor="text1"/>
          <w:spacing w:val="0"/>
          <w:szCs w:val="32"/>
          <w14:textFill>
            <w14:solidFill>
              <w14:schemeClr w14:val="tx1"/>
            </w14:solidFill>
          </w14:textFill>
        </w:rPr>
        <w:t>断提高居民防御气象灾害能力。积极创建全国气象科普教育基地。</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Cs/>
          <w:color w:val="000000" w:themeColor="text1"/>
          <w:spacing w:val="0"/>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pacing w:val="0"/>
          <w:szCs w:val="32"/>
          <w14:textFill>
            <w14:solidFill>
              <w14:schemeClr w14:val="tx1"/>
            </w14:solidFill>
          </w14:textFill>
        </w:rPr>
        <w:t>8.加强人工影响天气能力建设。</w:t>
      </w:r>
      <w:r>
        <w:rPr>
          <w:rFonts w:hint="eastAsia" w:ascii="仿宋_GB2312" w:hAnsi="仿宋_GB2312" w:eastAsia="仿宋_GB2312" w:cs="仿宋_GB2312"/>
          <w:bCs/>
          <w:color w:val="000000" w:themeColor="text1"/>
          <w:spacing w:val="0"/>
          <w:szCs w:val="32"/>
          <w:shd w:val="clear" w:color="auto" w:fill="FFFFFF"/>
          <w14:textFill>
            <w14:solidFill>
              <w14:schemeClr w14:val="tx1"/>
            </w14:solidFill>
          </w14:textFill>
        </w:rPr>
        <w:t>健全“政府主导、部门协同、综合监管”人工影响天气安全管理工作机制，全面建立安全管理责任体系。新增3个移动人工影响天气作业点，升级更新人影作业装备，建设移动式火箭发射系统，发挥人工影响天气在抗旱、大气污染防治和森林防火中的作用，为建设绿色美好家园提供高质量的气象保障。</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jc w:val="both"/>
        <w:textAlignment w:val="auto"/>
        <w:outlineLvl w:val="9"/>
        <w:rPr>
          <w:rFonts w:ascii="FangSong_GB2312" w:hAnsi="FangSong_GB2312" w:cs="FangSong_GB2312"/>
          <w:color w:val="000000" w:themeColor="text1"/>
          <w:spacing w:val="0"/>
          <w:szCs w:val="32"/>
          <w14:textFill>
            <w14:solidFill>
              <w14:schemeClr w14:val="tx1"/>
            </w14:solidFill>
          </w14:textFill>
        </w:rPr>
      </w:pPr>
      <w:r>
        <w:rPr>
          <w:rFonts w:hint="eastAsia" w:ascii="黑体" w:hAnsi="黑体" w:eastAsia="黑体" w:cs="黑体"/>
          <w:color w:val="000000" w:themeColor="text1"/>
          <w:spacing w:val="0"/>
          <w:szCs w:val="32"/>
          <w14:textFill>
            <w14:solidFill>
              <w14:schemeClr w14:val="tx1"/>
            </w14:solidFill>
          </w14:textFill>
        </w:rPr>
        <w:t>四、保障措施</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szCs w:val="32"/>
          <w14:textFill>
            <w14:solidFill>
              <w14:schemeClr w14:val="tx1"/>
            </w14:solidFill>
          </w14:textFill>
        </w:rPr>
      </w:pPr>
      <w:r>
        <w:rPr>
          <w:rFonts w:hint="eastAsia" w:ascii="楷体_GB2312" w:hAnsi="楷体_GB2312" w:eastAsia="楷体_GB2312" w:cs="楷体_GB2312"/>
          <w:b/>
          <w:bCs/>
          <w:color w:val="000000" w:themeColor="text1"/>
          <w:spacing w:val="0"/>
          <w:kern w:val="2"/>
          <w:sz w:val="32"/>
          <w:szCs w:val="22"/>
          <w:lang w:val="en-US" w:eastAsia="zh-CN" w:bidi="ar-SA"/>
          <w14:textFill>
            <w14:solidFill>
              <w14:schemeClr w14:val="tx1"/>
            </w14:solidFill>
          </w14:textFill>
        </w:rPr>
        <w:t>（一）加强组织领导。</w:t>
      </w:r>
      <w:r>
        <w:rPr>
          <w:rFonts w:hint="eastAsia" w:ascii="仿宋_GB2312" w:hAnsi="仿宋_GB2312" w:eastAsia="仿宋_GB2312" w:cs="仿宋_GB2312"/>
          <w:color w:val="000000" w:themeColor="text1"/>
          <w:spacing w:val="0"/>
          <w:szCs w:val="32"/>
          <w14:textFill>
            <w14:solidFill>
              <w14:schemeClr w14:val="tx1"/>
            </w14:solidFill>
          </w14:textFill>
        </w:rPr>
        <w:t>成立高质量气象现代化建设工作领导小组，由县长任组长，分管副县长任副组长，</w:t>
      </w:r>
      <w:r>
        <w:rPr>
          <w:rFonts w:hint="eastAsia" w:ascii="仿宋_GB2312" w:hAnsi="仿宋_GB2312" w:eastAsia="仿宋_GB2312" w:cs="仿宋_GB2312"/>
          <w:color w:val="000000" w:themeColor="text1"/>
          <w:spacing w:val="0"/>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szCs w:val="32"/>
          <w14:textFill>
            <w14:solidFill>
              <w14:schemeClr w14:val="tx1"/>
            </w14:solidFill>
          </w14:textFill>
        </w:rPr>
        <w:t>政府办、</w:t>
      </w:r>
      <w:r>
        <w:rPr>
          <w:rFonts w:hint="eastAsia" w:ascii="仿宋_GB2312" w:hAnsi="仿宋_GB2312" w:eastAsia="仿宋_GB2312" w:cs="仿宋_GB2312"/>
          <w:color w:val="000000" w:themeColor="text1"/>
          <w:spacing w:val="0"/>
          <w:szCs w:val="32"/>
          <w:lang w:eastAsia="zh-CN"/>
          <w14:textFill>
            <w14:solidFill>
              <w14:schemeClr w14:val="tx1"/>
            </w14:solidFill>
          </w14:textFill>
        </w:rPr>
        <w:t>县委</w:t>
      </w:r>
      <w:r>
        <w:rPr>
          <w:rFonts w:hint="eastAsia" w:ascii="仿宋_GB2312" w:hAnsi="仿宋_GB2312" w:eastAsia="仿宋_GB2312" w:cs="仿宋_GB2312"/>
          <w:color w:val="000000" w:themeColor="text1"/>
          <w:spacing w:val="0"/>
          <w:szCs w:val="32"/>
          <w14:textFill>
            <w14:solidFill>
              <w14:schemeClr w14:val="tx1"/>
            </w14:solidFill>
          </w14:textFill>
        </w:rPr>
        <w:t>宣传部、</w:t>
      </w:r>
      <w:r>
        <w:rPr>
          <w:rFonts w:hint="eastAsia" w:ascii="仿宋_GB2312" w:hAnsi="仿宋_GB2312" w:eastAsia="仿宋_GB2312" w:cs="仿宋_GB2312"/>
          <w:color w:val="000000" w:themeColor="text1"/>
          <w:spacing w:val="0"/>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szCs w:val="32"/>
          <w14:textFill>
            <w14:solidFill>
              <w14:schemeClr w14:val="tx1"/>
            </w14:solidFill>
          </w14:textFill>
        </w:rPr>
        <w:t>发改局、</w:t>
      </w:r>
      <w:r>
        <w:rPr>
          <w:rFonts w:hint="eastAsia" w:ascii="仿宋_GB2312" w:hAnsi="仿宋_GB2312" w:eastAsia="仿宋_GB2312" w:cs="仿宋_GB2312"/>
          <w:color w:val="000000" w:themeColor="text1"/>
          <w:spacing w:val="0"/>
          <w:szCs w:val="32"/>
          <w:lang w:eastAsia="zh-CN"/>
          <w14:textFill>
            <w14:solidFill>
              <w14:schemeClr w14:val="tx1"/>
            </w14:solidFill>
          </w14:textFill>
        </w:rPr>
        <w:t>商务和工业信息化局</w:t>
      </w:r>
      <w:r>
        <w:rPr>
          <w:rFonts w:hint="eastAsia" w:ascii="仿宋_GB2312" w:hAnsi="仿宋_GB2312" w:eastAsia="仿宋_GB2312" w:cs="仿宋_GB2312"/>
          <w:color w:val="000000" w:themeColor="text1"/>
          <w:spacing w:val="0"/>
          <w:szCs w:val="32"/>
          <w14:textFill>
            <w14:solidFill>
              <w14:schemeClr w14:val="tx1"/>
            </w14:solidFill>
          </w14:textFill>
        </w:rPr>
        <w:t>、公安局、财政局、人社局、自然资源局、生态环境局、住建局、交通局、农业农村局、文旅局、应急</w:t>
      </w:r>
      <w:r>
        <w:rPr>
          <w:rFonts w:hint="eastAsia" w:ascii="仿宋_GB2312" w:hAnsi="仿宋_GB2312" w:eastAsia="仿宋_GB2312" w:cs="仿宋_GB2312"/>
          <w:color w:val="000000" w:themeColor="text1"/>
          <w:spacing w:val="0"/>
          <w:szCs w:val="32"/>
          <w:lang w:eastAsia="zh-CN"/>
          <w14:textFill>
            <w14:solidFill>
              <w14:schemeClr w14:val="tx1"/>
            </w14:solidFill>
          </w14:textFill>
        </w:rPr>
        <w:t>管理</w:t>
      </w:r>
      <w:r>
        <w:rPr>
          <w:rFonts w:hint="eastAsia" w:ascii="仿宋_GB2312" w:hAnsi="仿宋_GB2312" w:eastAsia="仿宋_GB2312" w:cs="仿宋_GB2312"/>
          <w:color w:val="000000" w:themeColor="text1"/>
          <w:spacing w:val="0"/>
          <w:szCs w:val="32"/>
          <w14:textFill>
            <w14:solidFill>
              <w14:schemeClr w14:val="tx1"/>
            </w14:solidFill>
          </w14:textFill>
        </w:rPr>
        <w:t>局、林业局、水利局、乡村振兴局、气象局主要负责同志为成员。领导小组办公室设在县气象局，具体负责日常工作，确保建设工作有力有序推进。</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szCs w:val="32"/>
          <w14:textFill>
            <w14:solidFill>
              <w14:schemeClr w14:val="tx1"/>
            </w14:solidFill>
          </w14:textFill>
        </w:rPr>
      </w:pPr>
      <w:r>
        <w:rPr>
          <w:rFonts w:hint="eastAsia" w:ascii="楷体_GB2312" w:hAnsi="楷体_GB2312" w:eastAsia="楷体_GB2312" w:cs="楷体_GB2312"/>
          <w:b/>
          <w:bCs/>
          <w:color w:val="000000" w:themeColor="text1"/>
          <w:spacing w:val="0"/>
          <w:kern w:val="2"/>
          <w:sz w:val="32"/>
          <w:szCs w:val="22"/>
          <w:lang w:val="en-US" w:eastAsia="zh-CN" w:bidi="ar-SA"/>
          <w14:textFill>
            <w14:solidFill>
              <w14:schemeClr w14:val="tx1"/>
            </w14:solidFill>
          </w14:textFill>
        </w:rPr>
        <w:t>（二）强化责任落实。</w:t>
      </w:r>
      <w:r>
        <w:rPr>
          <w:rFonts w:hint="eastAsia" w:ascii="仿宋_GB2312" w:hAnsi="仿宋_GB2312" w:eastAsia="仿宋_GB2312" w:cs="仿宋_GB2312"/>
          <w:color w:val="000000" w:themeColor="text1"/>
          <w:spacing w:val="0"/>
          <w:szCs w:val="32"/>
          <w14:textFill>
            <w14:solidFill>
              <w14:schemeClr w14:val="tx1"/>
            </w14:solidFill>
          </w14:textFill>
        </w:rPr>
        <w:t>各有关部门、各镇（街）要主动担责、切实履职，协调联动、形成合力，持续推进高质量气象现代化建设。高质量气象现代化建设工作领导小组要充分发挥牵头抓总作用，制定年度工作任务和落实措施，加强工作指导和督促落实。</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szCs w:val="32"/>
          <w14:textFill>
            <w14:solidFill>
              <w14:schemeClr w14:val="tx1"/>
            </w14:solidFill>
          </w14:textFill>
        </w:rPr>
      </w:pPr>
      <w:r>
        <w:rPr>
          <w:rFonts w:hint="eastAsia" w:ascii="楷体_GB2312" w:hAnsi="楷体_GB2312" w:eastAsia="楷体_GB2312" w:cs="楷体_GB2312"/>
          <w:b/>
          <w:bCs/>
          <w:color w:val="000000" w:themeColor="text1"/>
          <w:spacing w:val="0"/>
          <w:kern w:val="2"/>
          <w:sz w:val="32"/>
          <w:szCs w:val="22"/>
          <w:lang w:val="en-US" w:eastAsia="zh-CN" w:bidi="ar-SA"/>
          <w14:textFill>
            <w14:solidFill>
              <w14:schemeClr w14:val="tx1"/>
            </w14:solidFill>
          </w14:textFill>
        </w:rPr>
        <w:t>（三）落实资金投入。</w:t>
      </w:r>
      <w:r>
        <w:rPr>
          <w:rFonts w:hint="eastAsia" w:ascii="仿宋_GB2312" w:hAnsi="仿宋_GB2312" w:eastAsia="仿宋_GB2312" w:cs="仿宋_GB2312"/>
          <w:color w:val="000000" w:themeColor="text1"/>
          <w:spacing w:val="0"/>
          <w:szCs w:val="32"/>
          <w14:textFill>
            <w14:solidFill>
              <w14:schemeClr w14:val="tx1"/>
            </w14:solidFill>
          </w14:textFill>
        </w:rPr>
        <w:t>加快</w:t>
      </w:r>
      <w:r>
        <w:rPr>
          <w:rFonts w:hint="eastAsia" w:ascii="仿宋_GB2312" w:hAnsi="仿宋_GB2312" w:eastAsia="仿宋_GB2312" w:cs="仿宋_GB2312"/>
          <w:color w:val="000000" w:themeColor="text1"/>
          <w:spacing w:val="0"/>
          <w:szCs w:val="32"/>
          <w:highlight w:val="none"/>
          <w:lang w:eastAsia="zh-CN"/>
          <w14:textFill>
            <w14:solidFill>
              <w14:schemeClr w14:val="tx1"/>
            </w14:solidFill>
          </w14:textFill>
        </w:rPr>
        <w:t>实施</w:t>
      </w:r>
      <w:r>
        <w:rPr>
          <w:rFonts w:hint="eastAsia" w:ascii="仿宋_GB2312" w:hAnsi="仿宋_GB2312" w:eastAsia="仿宋_GB2312" w:cs="仿宋_GB2312"/>
          <w:color w:val="000000" w:themeColor="text1"/>
          <w:spacing w:val="0"/>
          <w:szCs w:val="32"/>
          <w:highlight w:val="none"/>
          <w14:textFill>
            <w14:solidFill>
              <w14:schemeClr w14:val="tx1"/>
            </w14:solidFill>
          </w14:textFill>
        </w:rPr>
        <w:t>眉</w:t>
      </w:r>
      <w:r>
        <w:rPr>
          <w:rFonts w:hint="eastAsia" w:ascii="仿宋_GB2312" w:hAnsi="仿宋_GB2312" w:eastAsia="仿宋_GB2312" w:cs="仿宋_GB2312"/>
          <w:color w:val="000000" w:themeColor="text1"/>
          <w:spacing w:val="0"/>
          <w:szCs w:val="32"/>
          <w14:textFill>
            <w14:solidFill>
              <w14:schemeClr w14:val="tx1"/>
            </w14:solidFill>
          </w14:textFill>
        </w:rPr>
        <w:t>县“十四五”气象规划确定的重点项目，建立稳定的气象事业公共财政保障制度，全面保障工作推进。</w:t>
      </w:r>
    </w:p>
    <w:p>
      <w:pPr>
        <w:keepNext w:val="0"/>
        <w:keepLines w:val="0"/>
        <w:pageBreakBefore w:val="0"/>
        <w:widowControl w:val="0"/>
        <w:kinsoku/>
        <w:wordWrap/>
        <w:overflowPunct w:val="0"/>
        <w:topLinePunct w:val="0"/>
        <w:autoSpaceDE/>
        <w:autoSpaceDN/>
        <w:bidi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pacing w:val="0"/>
          <w:szCs w:val="32"/>
          <w14:textFill>
            <w14:solidFill>
              <w14:schemeClr w14:val="tx1"/>
            </w14:solidFill>
          </w14:textFill>
        </w:rPr>
      </w:pPr>
      <w:r>
        <w:rPr>
          <w:rFonts w:hint="eastAsia" w:ascii="楷体_GB2312" w:hAnsi="楷体_GB2312" w:eastAsia="楷体_GB2312" w:cs="楷体_GB2312"/>
          <w:b/>
          <w:bCs/>
          <w:color w:val="000000" w:themeColor="text1"/>
          <w:spacing w:val="0"/>
          <w:kern w:val="2"/>
          <w:sz w:val="32"/>
          <w:szCs w:val="22"/>
          <w:lang w:val="en-US" w:eastAsia="zh-CN" w:bidi="ar-SA"/>
          <w14:textFill>
            <w14:solidFill>
              <w14:schemeClr w14:val="tx1"/>
            </w14:solidFill>
          </w14:textFill>
        </w:rPr>
        <w:t>（四）加强督查考核。</w:t>
      </w:r>
      <w:r>
        <w:rPr>
          <w:rFonts w:hint="eastAsia" w:ascii="仿宋_GB2312" w:hAnsi="仿宋_GB2312" w:eastAsia="仿宋_GB2312" w:cs="仿宋_GB2312"/>
          <w:color w:val="000000" w:themeColor="text1"/>
          <w:spacing w:val="0"/>
          <w:szCs w:val="32"/>
          <w14:textFill>
            <w14:solidFill>
              <w14:schemeClr w14:val="tx1"/>
            </w14:solidFill>
          </w14:textFill>
        </w:rPr>
        <w:t>加强高质量气象现代化建设动态管理，组织开展专项督查，对工作任务落实情况进行跟踪问效，督促各镇（街）和县级相关部门主动担责、切实履职，协调联动、形成合力，确保各项目标任务如期圆满完成。</w:t>
      </w:r>
    </w:p>
    <w:p>
      <w:pPr>
        <w:pStyle w:val="3"/>
        <w:keepNext w:val="0"/>
        <w:keepLines w:val="0"/>
        <w:pageBreakBefore w:val="0"/>
        <w:widowControl w:val="0"/>
        <w:kinsoku/>
        <w:wordWrap/>
        <w:overflowPunct w:val="0"/>
        <w:topLinePunct w:val="0"/>
        <w:autoSpaceDE/>
        <w:autoSpaceDN/>
        <w:bidi w:val="0"/>
        <w:spacing w:line="580" w:lineRule="exact"/>
        <w:ind w:left="0" w:leftChars="0" w:right="0" w:rightChars="0" w:firstLine="640"/>
        <w:jc w:val="both"/>
        <w:textAlignment w:val="auto"/>
        <w:outlineLvl w:val="9"/>
        <w:rPr>
          <w:rFonts w:hint="eastAsia" w:ascii="仿宋_GB2312" w:hAnsi="仿宋_GB2312" w:eastAsia="仿宋_GB2312" w:cs="仿宋_GB2312"/>
          <w:color w:val="000000" w:themeColor="text1"/>
          <w:spacing w:val="0"/>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szCs w:val="32"/>
          <w14:textFill>
            <w14:solidFill>
              <w14:schemeClr w14:val="tx1"/>
            </w14:solidFill>
          </w14:textFill>
        </w:rPr>
      </w:pPr>
      <w:r>
        <w:rPr>
          <w:rFonts w:hint="eastAsia" w:ascii="仿宋_GB2312" w:hAnsi="仿宋_GB2312" w:eastAsia="仿宋_GB2312" w:cs="仿宋_GB2312"/>
          <w:bCs/>
          <w:color w:val="000000" w:themeColor="text1"/>
          <w:spacing w:val="0"/>
          <w:szCs w:val="32"/>
          <w:shd w:val="clear" w:color="auto" w:fill="FFFFFF"/>
          <w14:textFill>
            <w14:solidFill>
              <w14:schemeClr w14:val="tx1"/>
            </w14:solidFill>
          </w14:textFill>
        </w:rPr>
        <w:t>附件：1.</w:t>
      </w:r>
      <w:r>
        <w:rPr>
          <w:rFonts w:hint="eastAsia" w:ascii="仿宋_GB2312" w:hAnsi="仿宋_GB2312" w:eastAsia="仿宋_GB2312" w:cs="仿宋_GB2312"/>
          <w:bCs/>
          <w:color w:val="000000" w:themeColor="text1"/>
          <w:spacing w:val="0"/>
          <w:szCs w:val="32"/>
          <w:shd w:val="clear" w:color="auto" w:fill="FFFFFF"/>
          <w:lang w:val="en"/>
          <w14:textFill>
            <w14:solidFill>
              <w14:schemeClr w14:val="tx1"/>
            </w14:solidFill>
          </w14:textFill>
        </w:rPr>
        <w:t>眉县气象</w:t>
      </w:r>
      <w:r>
        <w:rPr>
          <w:rFonts w:hint="eastAsia" w:ascii="仿宋_GB2312" w:hAnsi="仿宋_GB2312" w:eastAsia="仿宋_GB2312" w:cs="仿宋_GB2312"/>
          <w:bCs/>
          <w:color w:val="000000" w:themeColor="text1"/>
          <w:spacing w:val="0"/>
          <w:szCs w:val="32"/>
          <w:shd w:val="clear" w:color="auto" w:fill="FFFFFF"/>
          <w14:textFill>
            <w14:solidFill>
              <w14:schemeClr w14:val="tx1"/>
            </w14:solidFill>
          </w14:textFill>
        </w:rPr>
        <w:t>高质量发展主要指标年度建设目标</w:t>
      </w:r>
    </w:p>
    <w:p>
      <w:pPr>
        <w:pStyle w:val="17"/>
        <w:keepNext w:val="0"/>
        <w:keepLines w:val="0"/>
        <w:pageBreakBefore w:val="0"/>
        <w:widowControl w:val="0"/>
        <w:kinsoku/>
        <w:wordWrap/>
        <w:overflowPunct w:val="0"/>
        <w:topLinePunct w:val="0"/>
        <w:autoSpaceDE/>
        <w:autoSpaceDN/>
        <w:bidi w:val="0"/>
        <w:spacing w:line="580" w:lineRule="exact"/>
        <w:ind w:left="0" w:leftChars="0" w:right="0" w:rightChars="0" w:firstLine="1600" w:firstLineChars="500"/>
        <w:jc w:val="both"/>
        <w:textAlignment w:val="auto"/>
        <w:outlineLvl w:val="9"/>
        <w:rPr>
          <w:rFonts w:hint="eastAsia" w:ascii="仿宋_GB2312" w:hAnsi="仿宋_GB2312" w:eastAsia="仿宋_GB2312" w:cs="仿宋_GB2312"/>
          <w:bCs/>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Cs/>
          <w:color w:val="000000" w:themeColor="text1"/>
          <w:spacing w:val="0"/>
          <w:sz w:val="32"/>
          <w:szCs w:val="32"/>
          <w:shd w:val="clear" w:color="auto" w:fill="FFFFFF"/>
          <w14:textFill>
            <w14:solidFill>
              <w14:schemeClr w14:val="tx1"/>
            </w14:solidFill>
          </w14:textFill>
        </w:rPr>
        <w:t>2.眉县气象高质量发展年度建设任务清单</w:t>
      </w:r>
    </w:p>
    <w:p>
      <w:pPr>
        <w:pStyle w:val="3"/>
        <w:ind w:firstLine="640"/>
        <w:rPr>
          <w:rFonts w:hint="eastAsia" w:ascii="仿宋_GB2312" w:hAnsi="仿宋_GB2312" w:eastAsia="仿宋_GB2312" w:cs="仿宋_GB2312"/>
          <w:color w:val="000000" w:themeColor="text1"/>
          <w:spacing w:val="0"/>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0"/>
          <w:shd w:val="clear" w:color="auto" w:fill="FFFFFF"/>
          <w14:textFill>
            <w14:solidFill>
              <w14:schemeClr w14:val="tx1"/>
            </w14:solidFill>
          </w14:textFill>
        </w:rPr>
        <w:br w:type="page"/>
      </w:r>
    </w:p>
    <w:p>
      <w:pPr>
        <w:pStyle w:val="4"/>
        <w:rPr>
          <w:rFonts w:hint="eastAsia" w:ascii="黑体" w:hAnsi="黑体" w:eastAsia="黑体" w:cs="黑体"/>
          <w:bCs/>
          <w:color w:val="000000" w:themeColor="text1"/>
          <w:spacing w:val="0"/>
          <w:sz w:val="28"/>
          <w:szCs w:val="28"/>
          <w:lang w:eastAsia="zh-CN"/>
          <w14:textFill>
            <w14:solidFill>
              <w14:schemeClr w14:val="tx1"/>
            </w14:solidFill>
          </w14:textFill>
        </w:rPr>
      </w:pPr>
      <w:r>
        <w:rPr>
          <w:rFonts w:hint="eastAsia" w:ascii="黑体" w:hAnsi="黑体" w:eastAsia="黑体" w:cs="黑体"/>
          <w:bCs/>
          <w:color w:val="000000" w:themeColor="text1"/>
          <w:spacing w:val="0"/>
          <w:sz w:val="28"/>
          <w:szCs w:val="28"/>
          <w14:textFill>
            <w14:solidFill>
              <w14:schemeClr w14:val="tx1"/>
            </w14:solidFill>
          </w14:textFill>
        </w:rPr>
        <w:t>附件1</w:t>
      </w:r>
    </w:p>
    <w:p>
      <w:pPr>
        <w:pStyle w:val="17"/>
        <w:spacing w:line="600" w:lineRule="exact"/>
        <w:ind w:left="0" w:firstLine="0"/>
        <w:jc w:val="center"/>
        <w:rPr>
          <w:rFonts w:ascii="方正小标宋简体" w:hAnsi="方正小标宋简体" w:eastAsia="方正小标宋简体" w:cs="方正小标宋简体"/>
          <w:bCs/>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sz w:val="44"/>
          <w:szCs w:val="44"/>
          <w:lang w:val="en"/>
          <w14:textFill>
            <w14:solidFill>
              <w14:schemeClr w14:val="tx1"/>
            </w14:solidFill>
          </w14:textFill>
        </w:rPr>
        <w:t>眉县气象</w:t>
      </w:r>
      <w:r>
        <w:rPr>
          <w:rFonts w:hint="eastAsia" w:ascii="方正小标宋简体" w:hAnsi="方正小标宋简体" w:eastAsia="方正小标宋简体" w:cs="方正小标宋简体"/>
          <w:bCs/>
          <w:color w:val="000000" w:themeColor="text1"/>
          <w:spacing w:val="0"/>
          <w:sz w:val="44"/>
          <w:szCs w:val="44"/>
          <w14:textFill>
            <w14:solidFill>
              <w14:schemeClr w14:val="tx1"/>
            </w14:solidFill>
          </w14:textFill>
        </w:rPr>
        <w:t>高质量发展主要指标年度建设目标</w:t>
      </w:r>
    </w:p>
    <w:tbl>
      <w:tblPr>
        <w:tblStyle w:val="11"/>
        <w:tblpPr w:leftFromText="180" w:rightFromText="180" w:vertAnchor="text" w:horzAnchor="page" w:tblpXSpec="center" w:tblpY="292"/>
        <w:tblOverlap w:val="never"/>
        <w:tblW w:w="9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3349"/>
        <w:gridCol w:w="853"/>
        <w:gridCol w:w="1063"/>
        <w:gridCol w:w="1004"/>
        <w:gridCol w:w="109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83" w:type="dxa"/>
            <w:vAlign w:val="center"/>
          </w:tcPr>
          <w:p>
            <w:pPr>
              <w:spacing w:line="360" w:lineRule="exact"/>
              <w:jc w:val="center"/>
              <w:rPr>
                <w:rFonts w:ascii="黑体" w:hAnsi="黑体" w:eastAsia="黑体" w:cs="宋体"/>
                <w:color w:val="000000" w:themeColor="text1"/>
                <w:spacing w:val="0"/>
                <w:sz w:val="24"/>
                <w:szCs w:val="24"/>
                <w14:textFill>
                  <w14:solidFill>
                    <w14:schemeClr w14:val="tx1"/>
                  </w14:solidFill>
                </w14:textFill>
              </w:rPr>
            </w:pPr>
            <w:r>
              <w:rPr>
                <w:rFonts w:hint="eastAsia" w:ascii="黑体" w:hAnsi="黑体" w:eastAsia="黑体" w:cs="宋体"/>
                <w:color w:val="000000" w:themeColor="text1"/>
                <w:spacing w:val="0"/>
                <w:sz w:val="24"/>
                <w:szCs w:val="24"/>
                <w14:textFill>
                  <w14:solidFill>
                    <w14:schemeClr w14:val="tx1"/>
                  </w14:solidFill>
                </w14:textFill>
              </w:rPr>
              <w:t>目标</w:t>
            </w:r>
          </w:p>
        </w:tc>
        <w:tc>
          <w:tcPr>
            <w:tcW w:w="3349" w:type="dxa"/>
            <w:vAlign w:val="center"/>
          </w:tcPr>
          <w:p>
            <w:pPr>
              <w:spacing w:line="360" w:lineRule="exact"/>
              <w:jc w:val="center"/>
              <w:rPr>
                <w:rFonts w:ascii="黑体" w:hAnsi="黑体" w:eastAsia="黑体" w:cs="宋体"/>
                <w:color w:val="000000" w:themeColor="text1"/>
                <w:spacing w:val="0"/>
                <w:sz w:val="24"/>
                <w:szCs w:val="24"/>
                <w14:textFill>
                  <w14:solidFill>
                    <w14:schemeClr w14:val="tx1"/>
                  </w14:solidFill>
                </w14:textFill>
              </w:rPr>
            </w:pPr>
            <w:r>
              <w:rPr>
                <w:rFonts w:hint="eastAsia" w:ascii="黑体" w:hAnsi="黑体" w:eastAsia="黑体" w:cs="宋体"/>
                <w:color w:val="000000" w:themeColor="text1"/>
                <w:spacing w:val="0"/>
                <w:sz w:val="24"/>
                <w:szCs w:val="24"/>
                <w14:textFill>
                  <w14:solidFill>
                    <w14:schemeClr w14:val="tx1"/>
                  </w14:solidFill>
                </w14:textFill>
              </w:rPr>
              <w:t>主要指标名称</w:t>
            </w:r>
          </w:p>
        </w:tc>
        <w:tc>
          <w:tcPr>
            <w:tcW w:w="853" w:type="dxa"/>
            <w:vAlign w:val="center"/>
          </w:tcPr>
          <w:p>
            <w:pPr>
              <w:spacing w:line="360" w:lineRule="exact"/>
              <w:jc w:val="center"/>
              <w:rPr>
                <w:rFonts w:ascii="黑体" w:hAnsi="黑体" w:eastAsia="黑体" w:cs="宋体"/>
                <w:color w:val="000000" w:themeColor="text1"/>
                <w:spacing w:val="0"/>
                <w:sz w:val="24"/>
                <w:szCs w:val="24"/>
                <w14:textFill>
                  <w14:solidFill>
                    <w14:schemeClr w14:val="tx1"/>
                  </w14:solidFill>
                </w14:textFill>
              </w:rPr>
            </w:pPr>
            <w:r>
              <w:rPr>
                <w:rFonts w:hint="eastAsia" w:ascii="黑体" w:hAnsi="黑体" w:eastAsia="黑体" w:cs="宋体"/>
                <w:color w:val="000000" w:themeColor="text1"/>
                <w:spacing w:val="0"/>
                <w:sz w:val="24"/>
                <w:szCs w:val="24"/>
                <w14:textFill>
                  <w14:solidFill>
                    <w14:schemeClr w14:val="tx1"/>
                  </w14:solidFill>
                </w14:textFill>
              </w:rPr>
              <w:t>单位</w:t>
            </w:r>
          </w:p>
        </w:tc>
        <w:tc>
          <w:tcPr>
            <w:tcW w:w="1063" w:type="dxa"/>
            <w:vAlign w:val="center"/>
          </w:tcPr>
          <w:p>
            <w:pPr>
              <w:spacing w:line="360" w:lineRule="exact"/>
              <w:jc w:val="center"/>
              <w:rPr>
                <w:rFonts w:ascii="黑体" w:hAnsi="黑体" w:eastAsia="黑体" w:cs="宋体"/>
                <w:color w:val="000000" w:themeColor="text1"/>
                <w:spacing w:val="0"/>
                <w:sz w:val="24"/>
                <w:szCs w:val="24"/>
                <w14:textFill>
                  <w14:solidFill>
                    <w14:schemeClr w14:val="tx1"/>
                  </w14:solidFill>
                </w14:textFill>
              </w:rPr>
            </w:pPr>
            <w:r>
              <w:rPr>
                <w:rFonts w:hint="eastAsia" w:ascii="黑体" w:hAnsi="黑体" w:eastAsia="黑体" w:cs="宋体"/>
                <w:color w:val="000000" w:themeColor="text1"/>
                <w:spacing w:val="0"/>
                <w:sz w:val="24"/>
                <w:szCs w:val="24"/>
                <w14:textFill>
                  <w14:solidFill>
                    <w14:schemeClr w14:val="tx1"/>
                  </w14:solidFill>
                </w14:textFill>
              </w:rPr>
              <w:t>现状值</w:t>
            </w:r>
          </w:p>
        </w:tc>
        <w:tc>
          <w:tcPr>
            <w:tcW w:w="1004" w:type="dxa"/>
            <w:vAlign w:val="center"/>
          </w:tcPr>
          <w:p>
            <w:pPr>
              <w:spacing w:line="360" w:lineRule="exact"/>
              <w:jc w:val="center"/>
              <w:rPr>
                <w:rFonts w:ascii="黑体" w:hAnsi="黑体" w:eastAsia="黑体" w:cs="宋体"/>
                <w:color w:val="000000" w:themeColor="text1"/>
                <w:spacing w:val="0"/>
                <w:sz w:val="24"/>
                <w:szCs w:val="24"/>
                <w14:textFill>
                  <w14:solidFill>
                    <w14:schemeClr w14:val="tx1"/>
                  </w14:solidFill>
                </w14:textFill>
              </w:rPr>
            </w:pPr>
            <w:r>
              <w:rPr>
                <w:rFonts w:hint="eastAsia" w:ascii="黑体" w:hAnsi="黑体" w:eastAsia="黑体" w:cs="宋体"/>
                <w:color w:val="000000" w:themeColor="text1"/>
                <w:spacing w:val="0"/>
                <w:sz w:val="24"/>
                <w:szCs w:val="24"/>
                <w14:textFill>
                  <w14:solidFill>
                    <w14:schemeClr w14:val="tx1"/>
                  </w14:solidFill>
                </w14:textFill>
              </w:rPr>
              <w:t>2023</w:t>
            </w:r>
          </w:p>
        </w:tc>
        <w:tc>
          <w:tcPr>
            <w:tcW w:w="1093" w:type="dxa"/>
            <w:vAlign w:val="center"/>
          </w:tcPr>
          <w:p>
            <w:pPr>
              <w:spacing w:line="360" w:lineRule="exact"/>
              <w:jc w:val="center"/>
              <w:rPr>
                <w:rFonts w:ascii="黑体" w:hAnsi="黑体" w:eastAsia="黑体" w:cs="宋体"/>
                <w:color w:val="000000" w:themeColor="text1"/>
                <w:spacing w:val="0"/>
                <w:sz w:val="24"/>
                <w:szCs w:val="24"/>
                <w14:textFill>
                  <w14:solidFill>
                    <w14:schemeClr w14:val="tx1"/>
                  </w14:solidFill>
                </w14:textFill>
              </w:rPr>
            </w:pPr>
            <w:r>
              <w:rPr>
                <w:rFonts w:hint="eastAsia" w:ascii="黑体" w:hAnsi="黑体" w:eastAsia="黑体" w:cs="宋体"/>
                <w:color w:val="000000" w:themeColor="text1"/>
                <w:spacing w:val="0"/>
                <w:sz w:val="24"/>
                <w:szCs w:val="24"/>
                <w14:textFill>
                  <w14:solidFill>
                    <w14:schemeClr w14:val="tx1"/>
                  </w14:solidFill>
                </w14:textFill>
              </w:rPr>
              <w:t>2024</w:t>
            </w:r>
          </w:p>
        </w:tc>
        <w:tc>
          <w:tcPr>
            <w:tcW w:w="1003" w:type="dxa"/>
            <w:vAlign w:val="center"/>
          </w:tcPr>
          <w:p>
            <w:pPr>
              <w:spacing w:line="360" w:lineRule="exact"/>
              <w:jc w:val="center"/>
              <w:rPr>
                <w:rFonts w:ascii="黑体" w:hAnsi="黑体" w:eastAsia="黑体" w:cs="宋体"/>
                <w:color w:val="000000" w:themeColor="text1"/>
                <w:spacing w:val="0"/>
                <w:sz w:val="24"/>
                <w:szCs w:val="24"/>
                <w14:textFill>
                  <w14:solidFill>
                    <w14:schemeClr w14:val="tx1"/>
                  </w14:solidFill>
                </w14:textFill>
              </w:rPr>
            </w:pPr>
            <w:r>
              <w:rPr>
                <w:rFonts w:hint="eastAsia" w:ascii="黑体" w:hAnsi="黑体" w:eastAsia="黑体" w:cs="宋体"/>
                <w:color w:val="000000" w:themeColor="text1"/>
                <w:spacing w:val="0"/>
                <w:sz w:val="24"/>
                <w:szCs w:val="24"/>
                <w14:textFill>
                  <w14:solidFill>
                    <w14:schemeClr w14:val="tx1"/>
                  </w14:solidFill>
                </w14:textFill>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83" w:type="dxa"/>
            <w:vMerge w:val="restart"/>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精密</w:t>
            </w:r>
          </w:p>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监测</w:t>
            </w: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1.站网密度</w:t>
            </w:r>
          </w:p>
        </w:tc>
        <w:tc>
          <w:tcPr>
            <w:tcW w:w="85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公里</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9.5</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9.0</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8.5</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2.多要素占比</w:t>
            </w:r>
          </w:p>
        </w:tc>
        <w:tc>
          <w:tcPr>
            <w:tcW w:w="85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71</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80</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﹥85</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3.便携式气象观测系统</w:t>
            </w:r>
          </w:p>
        </w:tc>
        <w:tc>
          <w:tcPr>
            <w:tcW w:w="85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套</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0</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0</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0</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4.微型智能气象站</w:t>
            </w:r>
          </w:p>
        </w:tc>
        <w:tc>
          <w:tcPr>
            <w:tcW w:w="85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套</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0</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3</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3</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683" w:type="dxa"/>
            <w:vMerge w:val="restart"/>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精准</w:t>
            </w:r>
          </w:p>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预报</w:t>
            </w: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5.晴雨预报准确率</w:t>
            </w:r>
          </w:p>
        </w:tc>
        <w:tc>
          <w:tcPr>
            <w:tcW w:w="85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87</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88</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89</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6.暴雨预警信号准确率</w:t>
            </w:r>
          </w:p>
        </w:tc>
        <w:tc>
          <w:tcPr>
            <w:tcW w:w="85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89</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91</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91</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7.强对流天气预警提前量</w:t>
            </w:r>
          </w:p>
        </w:tc>
        <w:tc>
          <w:tcPr>
            <w:tcW w:w="85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分钟</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39</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42</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43</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683" w:type="dxa"/>
            <w:vMerge w:val="restart"/>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精细</w:t>
            </w:r>
          </w:p>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服务</w:t>
            </w: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8.公众气象服务满意度</w:t>
            </w:r>
          </w:p>
        </w:tc>
        <w:tc>
          <w:tcPr>
            <w:tcW w:w="85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94.7</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﹥95.0</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﹥95.5</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9.气象哨兵建设</w:t>
            </w:r>
          </w:p>
        </w:tc>
        <w:tc>
          <w:tcPr>
            <w:tcW w:w="85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个</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0</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5</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5</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10.基于风险的气象灾害预警种类</w:t>
            </w:r>
          </w:p>
        </w:tc>
        <w:tc>
          <w:tcPr>
            <w:tcW w:w="853" w:type="dxa"/>
            <w:vAlign w:val="center"/>
          </w:tcPr>
          <w:p>
            <w:pPr>
              <w:spacing w:line="240" w:lineRule="auto"/>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类</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3</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5</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﹥7</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11.气象预警信息覆盖率</w:t>
            </w:r>
          </w:p>
        </w:tc>
        <w:tc>
          <w:tcPr>
            <w:tcW w:w="853" w:type="dxa"/>
            <w:vAlign w:val="center"/>
          </w:tcPr>
          <w:p>
            <w:pPr>
              <w:spacing w:line="240" w:lineRule="auto"/>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94.7</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﹥95.5</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﹥96.0</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12.人工影响天气作业装备</w:t>
            </w:r>
          </w:p>
        </w:tc>
        <w:tc>
          <w:tcPr>
            <w:tcW w:w="853" w:type="dxa"/>
            <w:vAlign w:val="center"/>
          </w:tcPr>
          <w:p>
            <w:pPr>
              <w:spacing w:line="240" w:lineRule="auto"/>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副</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683" w:type="dxa"/>
            <w:vMerge w:val="continue"/>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3349" w:type="dxa"/>
            <w:vAlign w:val="center"/>
          </w:tcPr>
          <w:p>
            <w:pPr>
              <w:spacing w:line="360" w:lineRule="exact"/>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13.人工影响天气作业点</w:t>
            </w:r>
          </w:p>
        </w:tc>
        <w:tc>
          <w:tcPr>
            <w:tcW w:w="853" w:type="dxa"/>
            <w:vAlign w:val="center"/>
          </w:tcPr>
          <w:p>
            <w:pPr>
              <w:spacing w:line="240" w:lineRule="auto"/>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个</w:t>
            </w:r>
          </w:p>
        </w:tc>
        <w:tc>
          <w:tcPr>
            <w:tcW w:w="106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w:t>
            </w:r>
          </w:p>
        </w:tc>
        <w:tc>
          <w:tcPr>
            <w:tcW w:w="1004"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1</w:t>
            </w:r>
          </w:p>
        </w:tc>
        <w:tc>
          <w:tcPr>
            <w:tcW w:w="109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w:t>
            </w:r>
          </w:p>
        </w:tc>
        <w:tc>
          <w:tcPr>
            <w:tcW w:w="1003" w:type="dxa"/>
            <w:vAlign w:val="center"/>
          </w:tcPr>
          <w:p>
            <w:pPr>
              <w:spacing w:line="360" w:lineRule="exact"/>
              <w:jc w:val="center"/>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w:t>
            </w:r>
          </w:p>
        </w:tc>
      </w:tr>
    </w:tbl>
    <w:p>
      <w:pPr>
        <w:rPr>
          <w:rFonts w:ascii="FangSong_GB2312" w:hAnsi="FangSong_GB2312" w:cs="FangSong_GB2312"/>
          <w:color w:val="000000" w:themeColor="text1"/>
          <w:spacing w:val="0"/>
          <w:szCs w:val="32"/>
          <w14:textFill>
            <w14:solidFill>
              <w14:schemeClr w14:val="tx1"/>
            </w14:solidFill>
          </w14:textFill>
        </w:rPr>
      </w:pPr>
    </w:p>
    <w:p>
      <w:pPr>
        <w:pStyle w:val="4"/>
        <w:spacing w:after="0"/>
        <w:ind w:firstLine="640"/>
        <w:rPr>
          <w:rFonts w:ascii="FangSong_GB2312" w:eastAsia="FangSong_GB2312"/>
          <w:color w:val="000000" w:themeColor="text1"/>
          <w:spacing w:val="0"/>
          <w:sz w:val="32"/>
          <w:szCs w:val="32"/>
          <w14:textFill>
            <w14:solidFill>
              <w14:schemeClr w14:val="tx1"/>
            </w14:solidFill>
          </w14:textFill>
        </w:rPr>
        <w:sectPr>
          <w:footerReference r:id="rId5" w:type="first"/>
          <w:footerReference r:id="rId3" w:type="default"/>
          <w:footerReference r:id="rId4" w:type="even"/>
          <w:pgSz w:w="11906" w:h="16838"/>
          <w:pgMar w:top="1417" w:right="1417" w:bottom="1417" w:left="1701" w:header="851" w:footer="1134" w:gutter="0"/>
          <w:pgNumType w:fmt="numberInDash"/>
          <w:cols w:space="0" w:num="1"/>
          <w:rtlGutter w:val="0"/>
          <w:docGrid w:type="lines" w:linePitch="560" w:charSpace="0"/>
        </w:sect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default" w:ascii="黑体" w:hAnsi="黑体" w:eastAsia="黑体" w:cs="黑体"/>
          <w:bCs/>
          <w:color w:val="000000" w:themeColor="text1"/>
          <w:spacing w:val="0"/>
          <w:sz w:val="32"/>
          <w:szCs w:val="32"/>
          <w:lang w:val="en-US" w:eastAsia="zh-CN"/>
          <w14:textFill>
            <w14:solidFill>
              <w14:schemeClr w14:val="tx1"/>
            </w14:solidFill>
          </w14:textFill>
        </w:rPr>
      </w:pPr>
      <w:r>
        <w:rPr>
          <w:rFonts w:hint="eastAsia" w:ascii="黑体" w:hAnsi="黑体" w:eastAsia="黑体" w:cs="黑体"/>
          <w:bCs/>
          <w:color w:val="000000" w:themeColor="text1"/>
          <w:spacing w:val="0"/>
          <w:sz w:val="32"/>
          <w:szCs w:val="32"/>
          <w:lang w:val="en-US" w:eastAsia="zh-CN"/>
          <w14:textFill>
            <w14:solidFill>
              <w14:schemeClr w14:val="tx1"/>
            </w14:solidFill>
          </w14:textFill>
        </w:rPr>
        <w:t>附件2</w:t>
      </w:r>
    </w:p>
    <w:p>
      <w:pPr>
        <w:pStyle w:val="4"/>
        <w:keepNext w:val="0"/>
        <w:keepLines w:val="0"/>
        <w:pageBreakBefore w:val="0"/>
        <w:widowControl w:val="0"/>
        <w:kinsoku/>
        <w:wordWrap/>
        <w:overflowPunct/>
        <w:topLinePunct w:val="0"/>
        <w:autoSpaceDE/>
        <w:autoSpaceDN/>
        <w:bidi w:val="0"/>
        <w:adjustRightInd/>
        <w:snapToGrid/>
        <w:spacing w:after="0" w:line="660" w:lineRule="exact"/>
        <w:ind w:left="0" w:leftChars="0" w:right="0" w:rightChars="0" w:firstLine="799" w:firstLineChars="0"/>
        <w:jc w:val="center"/>
        <w:textAlignment w:val="auto"/>
        <w:outlineLvl w:val="9"/>
        <w:rPr>
          <w:rFonts w:ascii="方正小标宋简体" w:hAnsi="方正小标宋简体" w:eastAsia="方正小标宋简体"/>
          <w:bCs/>
          <w:color w:val="000000" w:themeColor="text1"/>
          <w:spacing w:val="0"/>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sz w:val="44"/>
          <w:szCs w:val="44"/>
          <w:lang w:val="en"/>
          <w14:textFill>
            <w14:solidFill>
              <w14:schemeClr w14:val="tx1"/>
            </w14:solidFill>
          </w14:textFill>
        </w:rPr>
        <w:t>眉县气象</w:t>
      </w:r>
      <w:r>
        <w:rPr>
          <w:rFonts w:hint="eastAsia" w:ascii="方正小标宋简体" w:hAnsi="方正小标宋简体" w:eastAsia="方正小标宋简体" w:cs="方正小标宋简体"/>
          <w:bCs/>
          <w:color w:val="000000" w:themeColor="text1"/>
          <w:spacing w:val="0"/>
          <w:sz w:val="44"/>
          <w:szCs w:val="44"/>
          <w14:textFill>
            <w14:solidFill>
              <w14:schemeClr w14:val="tx1"/>
            </w14:solidFill>
          </w14:textFill>
        </w:rPr>
        <w:t>高质量发展年度建设任务清单</w:t>
      </w:r>
    </w:p>
    <w:tbl>
      <w:tblPr>
        <w:tblStyle w:val="11"/>
        <w:tblW w:w="13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059"/>
        <w:gridCol w:w="9352"/>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266"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bCs/>
                <w:color w:val="000000" w:themeColor="text1"/>
                <w:spacing w:val="0"/>
                <w:sz w:val="21"/>
                <w:szCs w:val="21"/>
                <w14:textFill>
                  <w14:solidFill>
                    <w14:schemeClr w14:val="tx1"/>
                  </w14:solidFill>
                </w14:textFill>
              </w:rPr>
            </w:pPr>
            <w:r>
              <w:rPr>
                <w:rFonts w:hint="eastAsia" w:ascii="黑体" w:hAnsi="黑体" w:eastAsia="黑体" w:cs="黑体"/>
                <w:bCs/>
                <w:color w:val="000000" w:themeColor="text1"/>
                <w:spacing w:val="0"/>
                <w:sz w:val="21"/>
                <w:szCs w:val="21"/>
                <w14:textFill>
                  <w14:solidFill>
                    <w14:schemeClr w14:val="tx1"/>
                  </w14:solidFill>
                </w14:textFill>
              </w:rPr>
              <w:t>重点任务</w:t>
            </w:r>
          </w:p>
        </w:tc>
        <w:tc>
          <w:tcPr>
            <w:tcW w:w="10411" w:type="dxa"/>
            <w:gridSpan w:val="2"/>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bCs/>
                <w:color w:val="000000" w:themeColor="text1"/>
                <w:spacing w:val="0"/>
                <w:sz w:val="21"/>
                <w:szCs w:val="21"/>
                <w14:textFill>
                  <w14:solidFill>
                    <w14:schemeClr w14:val="tx1"/>
                  </w14:solidFill>
                </w14:textFill>
              </w:rPr>
            </w:pPr>
            <w:r>
              <w:rPr>
                <w:rFonts w:hint="eastAsia" w:ascii="黑体" w:hAnsi="黑体" w:eastAsia="黑体" w:cs="黑体"/>
                <w:bCs/>
                <w:color w:val="000000" w:themeColor="text1"/>
                <w:spacing w:val="0"/>
                <w:sz w:val="21"/>
                <w:szCs w:val="21"/>
                <w14:textFill>
                  <w14:solidFill>
                    <w14:schemeClr w14:val="tx1"/>
                  </w14:solidFill>
                </w14:textFill>
              </w:rPr>
              <w:t>年度工作计划</w:t>
            </w:r>
          </w:p>
        </w:tc>
        <w:tc>
          <w:tcPr>
            <w:tcW w:w="1891"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黑体" w:hAnsi="黑体" w:eastAsia="黑体" w:cs="黑体"/>
                <w:bCs/>
                <w:color w:val="000000" w:themeColor="text1"/>
                <w:spacing w:val="0"/>
                <w:sz w:val="21"/>
                <w:szCs w:val="21"/>
                <w14:textFill>
                  <w14:solidFill>
                    <w14:schemeClr w14:val="tx1"/>
                  </w14:solidFill>
                </w14:textFill>
              </w:rPr>
            </w:pPr>
            <w:r>
              <w:rPr>
                <w:rFonts w:hint="eastAsia" w:ascii="黑体" w:hAnsi="黑体" w:eastAsia="黑体" w:cs="黑体"/>
                <w:bCs/>
                <w:color w:val="000000" w:themeColor="text1"/>
                <w:spacing w:val="0"/>
                <w:sz w:val="21"/>
                <w:szCs w:val="21"/>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26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r>
              <w:rPr>
                <w:rFonts w:hint="eastAsia" w:ascii="FangSong_GB2312" w:hAnsi="FangSong_GB2312" w:eastAsia="FangSong_GB2312" w:cs="FangSong_GB2312"/>
                <w:b/>
                <w:bCs/>
                <w:color w:val="000000" w:themeColor="text1"/>
                <w:spacing w:val="0"/>
                <w:sz w:val="21"/>
                <w:szCs w:val="21"/>
                <w14:textFill>
                  <w14:solidFill>
                    <w14:schemeClr w14:val="tx1"/>
                  </w14:solidFill>
                </w14:textFill>
              </w:rPr>
              <w:t>一、健全完善气象灾害防御体系</w:t>
            </w: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2023年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制定出台《关于加强极端天气风险防范应对工作的若干措施》，逐步建立极端天气风险防范应对工作体系。修订完善《眉县气象灾害应急预案》，规范各单位、各镇（街）接收气象灾害预警信号后的应急响应联动工作。</w:t>
            </w:r>
          </w:p>
        </w:tc>
        <w:tc>
          <w:tcPr>
            <w:tcW w:w="18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县气象局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县应急管理局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b/>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2024年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健全以气象灾害预警为先导的各级政府快速决策调度机制、部门快速应急联动机制和社会响应机制，完善党委政府“遇强降水即调度、遇极端天气必叫应、高效科学防抢撤”工作机制。</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b/>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2025年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坚持属地管理、综合减灾，将气象灾害防御工作纳入综合防灾减灾体系，纳入基层网格化社会治理体系，纳入基层基本公共服务，纳入政府对镇（街）年度考核。强化气象防灾减灾工作行政首长负责制，压实分级负责的气象灾害防御主体责任，夯实各镇人民政府、街道办事处的气象防灾减灾救灾管理职能，推动气象灾害防御向基层延伸。</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b/>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126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p>
            <w:pPr>
              <w:pStyle w:val="2"/>
              <w:keepNext w:val="0"/>
              <w:keepLines w:val="0"/>
              <w:pageBreakBefore w:val="0"/>
              <w:widowControl w:val="0"/>
              <w:numPr>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FangSong_GB2312" w:hAnsi="FangSong_GB2312" w:cs="FangSong_GB2312"/>
                <w:b/>
                <w:bCs/>
                <w:color w:val="000000" w:themeColor="text1"/>
                <w:spacing w:val="-6"/>
                <w:kern w:val="2"/>
                <w:sz w:val="21"/>
                <w:szCs w:val="21"/>
                <w:lang w:val="en-US" w:eastAsia="zh-CN" w:bidi="ar-SA"/>
                <w14:textFill>
                  <w14:solidFill>
                    <w14:schemeClr w14:val="tx1"/>
                  </w14:solidFill>
                </w14:textFill>
              </w:rPr>
            </w:pPr>
          </w:p>
          <w:p>
            <w:pPr>
              <w:pStyle w:val="2"/>
              <w:keepNext w:val="0"/>
              <w:keepLines w:val="0"/>
              <w:pageBreakBefore w:val="0"/>
              <w:widowControl w:val="0"/>
              <w:numPr>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FangSong_GB2312" w:hAnsi="FangSong_GB2312" w:cs="FangSong_GB2312"/>
                <w:b/>
                <w:bCs/>
                <w:color w:val="000000" w:themeColor="text1"/>
                <w:spacing w:val="-6"/>
                <w:kern w:val="2"/>
                <w:sz w:val="21"/>
                <w:szCs w:val="21"/>
                <w:lang w:val="en-US" w:eastAsia="zh-CN" w:bidi="ar-SA"/>
                <w14:textFill>
                  <w14:solidFill>
                    <w14:schemeClr w14:val="tx1"/>
                  </w14:solidFill>
                </w14:textFill>
              </w:rPr>
            </w:pPr>
          </w:p>
          <w:p>
            <w:pPr>
              <w:pStyle w:val="2"/>
              <w:keepNext w:val="0"/>
              <w:keepLines w:val="0"/>
              <w:pageBreakBefore w:val="0"/>
              <w:widowControl w:val="0"/>
              <w:numPr>
                <w:numId w:val="0"/>
              </w:numPr>
              <w:kinsoku/>
              <w:wordWrap/>
              <w:overflowPunct/>
              <w:topLinePunct w:val="0"/>
              <w:autoSpaceDE/>
              <w:autoSpaceDN/>
              <w:bidi w:val="0"/>
              <w:adjustRightInd/>
              <w:snapToGrid/>
              <w:spacing w:line="320" w:lineRule="exact"/>
              <w:ind w:leftChars="0" w:right="0" w:rightChars="0"/>
              <w:jc w:val="both"/>
              <w:textAlignment w:val="auto"/>
              <w:outlineLvl w:val="9"/>
              <w:rPr>
                <w:rFonts w:hint="eastAsia" w:ascii="FangSong_GB2312" w:hAnsi="FangSong_GB2312" w:eastAsia="FangSong_GB2312" w:cs="FangSong_GB2312"/>
                <w:b/>
                <w:bCs/>
                <w:color w:val="000000" w:themeColor="text1"/>
                <w:spacing w:val="-6"/>
                <w:kern w:val="2"/>
                <w:sz w:val="21"/>
                <w:szCs w:val="21"/>
                <w:lang w:val="en-US" w:eastAsia="zh-CN" w:bidi="ar-SA"/>
                <w14:textFill>
                  <w14:solidFill>
                    <w14:schemeClr w14:val="tx1"/>
                  </w14:solidFill>
                </w14:textFill>
              </w:rPr>
            </w:pPr>
            <w:r>
              <w:rPr>
                <w:rFonts w:hint="eastAsia" w:ascii="FangSong_GB2312" w:hAnsi="FangSong_GB2312" w:cs="FangSong_GB2312"/>
                <w:b/>
                <w:bCs/>
                <w:color w:val="000000" w:themeColor="text1"/>
                <w:spacing w:val="-6"/>
                <w:kern w:val="2"/>
                <w:sz w:val="21"/>
                <w:szCs w:val="21"/>
                <w:lang w:val="en-US" w:eastAsia="zh-CN" w:bidi="ar-SA"/>
                <w14:textFill>
                  <w14:solidFill>
                    <w14:schemeClr w14:val="tx1"/>
                  </w14:solidFill>
                </w14:textFill>
              </w:rPr>
              <w:t>二、</w:t>
            </w:r>
            <w:r>
              <w:rPr>
                <w:rFonts w:hint="eastAsia" w:ascii="FangSong_GB2312" w:hAnsi="FangSong_GB2312" w:eastAsia="FangSong_GB2312" w:cs="FangSong_GB2312"/>
                <w:b/>
                <w:bCs/>
                <w:color w:val="000000" w:themeColor="text1"/>
                <w:spacing w:val="-6"/>
                <w:kern w:val="2"/>
                <w:sz w:val="21"/>
                <w:szCs w:val="21"/>
                <w:lang w:val="en-US" w:eastAsia="zh-CN" w:bidi="ar-SA"/>
                <w14:textFill>
                  <w14:solidFill>
                    <w14:schemeClr w14:val="tx1"/>
                  </w14:solidFill>
                </w14:textFill>
              </w:rPr>
              <w:t>提升气</w:t>
            </w:r>
          </w:p>
          <w:p>
            <w:pPr>
              <w:pStyle w:val="2"/>
              <w:keepNext w:val="0"/>
              <w:keepLines w:val="0"/>
              <w:pageBreakBefore w:val="0"/>
              <w:widowControl w:val="0"/>
              <w:numPr>
                <w:numId w:val="0"/>
              </w:numPr>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FangSong_GB2312" w:hAnsi="FangSong_GB2312" w:eastAsia="FangSong_GB2312" w:cs="FangSong_GB2312"/>
                <w:b/>
                <w:bCs/>
                <w:color w:val="000000" w:themeColor="text1"/>
                <w:spacing w:val="-6"/>
                <w:kern w:val="2"/>
                <w:sz w:val="21"/>
                <w:szCs w:val="21"/>
                <w:lang w:val="en-US" w:eastAsia="zh-CN" w:bidi="ar-SA"/>
                <w14:textFill>
                  <w14:solidFill>
                    <w14:schemeClr w14:val="tx1"/>
                  </w14:solidFill>
                </w14:textFill>
              </w:rPr>
            </w:pPr>
            <w:r>
              <w:rPr>
                <w:rFonts w:hint="eastAsia" w:ascii="FangSong_GB2312" w:hAnsi="FangSong_GB2312" w:eastAsia="FangSong_GB2312" w:cs="FangSong_GB2312"/>
                <w:b/>
                <w:bCs/>
                <w:color w:val="000000" w:themeColor="text1"/>
                <w:spacing w:val="-6"/>
                <w:kern w:val="2"/>
                <w:sz w:val="21"/>
                <w:szCs w:val="21"/>
                <w:lang w:val="en-US" w:eastAsia="zh-CN" w:bidi="ar-SA"/>
                <w14:textFill>
                  <w14:solidFill>
                    <w14:schemeClr w14:val="tx1"/>
                  </w14:solidFill>
                </w14:textFill>
              </w:rPr>
              <w:t>象灾害监测预报预警能力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r>
              <w:rPr>
                <w:rFonts w:hint="eastAsia" w:ascii="FangSong_GB2312" w:hAnsi="FangSong_GB2312" w:eastAsia="FangSong_GB2312" w:cs="FangSong_GB2312"/>
                <w:b/>
                <w:bCs/>
                <w:color w:val="000000" w:themeColor="text1"/>
                <w:spacing w:val="0"/>
                <w:sz w:val="21"/>
                <w:szCs w:val="21"/>
                <w14:textFill>
                  <w14:solidFill>
                    <w14:schemeClr w14:val="tx1"/>
                  </w14:solidFill>
                </w14:textFill>
              </w:rPr>
              <w:t>二、提升气象灾害监测预报预警能力</w:t>
            </w: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2023年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用铁塔基站、灯杆、“雪亮工程”视频杆等社会资源，建设3套微型智能气象站。在气象灾害防御重点区域广泛布设“气象哨兵”智能发布终端5套。升级、补充地面自动气象站，提升多要素站点比例到80%和平均站间距至9.0公里。</w:t>
            </w:r>
          </w:p>
        </w:tc>
        <w:tc>
          <w:tcPr>
            <w:tcW w:w="18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县气象局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县应急管理局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县住建局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w:t>
            </w:r>
            <w:r>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t>商务和工业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t>信息化</w:t>
            </w:r>
            <w:r>
              <w:rPr>
                <w:rFonts w:hint="eastAsia" w:ascii="FangSong_GB2312" w:hAnsi="FangSong_GB2312" w:eastAsia="FangSong_GB2312" w:cs="FangSong_GB2312"/>
                <w:color w:val="000000" w:themeColor="text1"/>
                <w:spacing w:val="0"/>
                <w:sz w:val="21"/>
                <w:szCs w:val="21"/>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县交通局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各镇（街）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县气象局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县应急管理局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县住建局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w:t>
            </w:r>
            <w:r>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t>商务和工业</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t>信息化</w:t>
            </w:r>
            <w:r>
              <w:rPr>
                <w:rFonts w:hint="eastAsia" w:ascii="FangSong_GB2312" w:hAnsi="FangSong_GB2312" w:eastAsia="FangSong_GB2312" w:cs="FangSong_GB2312"/>
                <w:color w:val="000000" w:themeColor="text1"/>
                <w:spacing w:val="0"/>
                <w:sz w:val="21"/>
                <w:szCs w:val="21"/>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县交通局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2024年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用铁塔基站、灯杆、“雪亮工程”视频杆等社会资源，建设3套微型智能气象站，升级多要素区域站3套。在气象灾害防御重点区域广泛布设“气象哨兵”智能发布终端5套。提升多要素站点比例到85%和平均站间距至8.5公里。应用人工智能、大数据等新技术，发展基于雷达、卫星等多源实况数据和数值预报相融合的客观天气识别和临近预报预警技术，完善以突发灾害性天气为重点的快速滚动更新短时临近预报预警业务。优化监测预警业务流程，</w:t>
            </w:r>
            <w:r>
              <w:rPr>
                <w:rFonts w:hint="eastAsia" w:ascii="FangSong_GB2312" w:hAnsi="FangSong_GB2312" w:eastAsia="FangSong_GB2312" w:cs="FangSong_GB2312"/>
                <w:color w:val="000000" w:themeColor="text1"/>
                <w:spacing w:val="0"/>
                <w:sz w:val="21"/>
                <w:szCs w:val="21"/>
                <w:highlight w:val="none"/>
                <w14:textFill>
                  <w14:solidFill>
                    <w14:schemeClr w14:val="tx1"/>
                  </w14:solidFill>
                </w14:textFill>
              </w:rPr>
              <w:t>提高灾害性天气预警信号空间分辨率到镇（街）。</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2025年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用铁塔基站、灯杆、“雪亮工程”视频杆等社会资源，</w:t>
            </w:r>
            <w:bookmarkStart w:id="1" w:name="_GoBack"/>
            <w:bookmarkEnd w:id="1"/>
            <w:r>
              <w:rPr>
                <w:rFonts w:hint="eastAsia" w:ascii="FangSong_GB2312" w:hAnsi="FangSong_GB2312" w:eastAsia="FangSong_GB2312" w:cs="FangSong_GB2312"/>
                <w:color w:val="000000" w:themeColor="text1"/>
                <w:spacing w:val="0"/>
                <w:sz w:val="21"/>
                <w:szCs w:val="21"/>
                <w14:textFill>
                  <w14:solidFill>
                    <w14:schemeClr w14:val="tx1"/>
                  </w14:solidFill>
                </w14:textFill>
              </w:rPr>
              <w:t>建设4套微型智能气象站，升级多要素区域站3套。在气象灾害防御重点区域广泛布设“气象哨兵”智能发布终端5套。提升多要素站点比例到90%和平均站间距至8公里。依托移动通信、互联网、物联网等新技术，开展基于位置的气象预警信息推送，实现气象信息靶向发布。</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26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r>
              <w:rPr>
                <w:rFonts w:hint="eastAsia" w:ascii="FangSong_GB2312" w:hAnsi="FangSong_GB2312" w:eastAsia="FangSong_GB2312" w:cs="FangSong_GB2312"/>
                <w:b/>
                <w:bCs/>
                <w:color w:val="000000" w:themeColor="text1"/>
                <w:spacing w:val="0"/>
                <w:sz w:val="21"/>
                <w:szCs w:val="21"/>
                <w14:textFill>
                  <w14:solidFill>
                    <w14:schemeClr w14:val="tx1"/>
                  </w14:solidFill>
                </w14:textFill>
              </w:rPr>
              <w:t>三、提升气象服务乡村振兴能力</w:t>
            </w: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2023年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深化眉县猕猴桃等特色果业气象服务，高质量推进省级猕猴桃气象服务中心建设，高标准建设3处智慧型猕猴桃气象服务示范点。</w:t>
            </w:r>
            <w:bookmarkStart w:id="0" w:name="_Hlk136957940"/>
            <w:r>
              <w:rPr>
                <w:rFonts w:hint="eastAsia" w:ascii="FangSong_GB2312" w:hAnsi="FangSong_GB2312" w:eastAsia="FangSong_GB2312" w:cs="FangSong_GB2312"/>
                <w:color w:val="000000" w:themeColor="text1"/>
                <w:spacing w:val="0"/>
                <w:sz w:val="21"/>
                <w:szCs w:val="21"/>
                <w14:textFill>
                  <w14:solidFill>
                    <w14:schemeClr w14:val="tx1"/>
                  </w14:solidFill>
                </w14:textFill>
              </w:rPr>
              <w:t>强化面向新型农业经营主体的“直通式”气象服务。</w:t>
            </w:r>
            <w:bookmarkEnd w:id="0"/>
          </w:p>
        </w:tc>
        <w:tc>
          <w:tcPr>
            <w:tcW w:w="18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县气象局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县农业农村局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县乡村振兴局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2024年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联合省、市气象局和县农业部门，开展防霜冻试验，开展分区域、分灾种、分影响的“直通式”猕猴桃防霜冻气象服务。推进气候区划在农业布局和结构优化中的应用，优化农业气象信息服务渠道，推进农业农村和气象部门信息共享，实现精细化、定制化、直通式农业气象信息服务。</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2025年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发挥眉县猕猴桃“国家气候标志”品牌效应，推动生态效益向社会效益和经济效益的深入转化。强化对粮食等农作物的重大气象灾害监测、预报预警和评估服务，做好病虫害防治气象服务保障，为保障粮食安全提供更加精准的气象服务。</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26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r>
              <w:rPr>
                <w:rFonts w:hint="eastAsia" w:ascii="FangSong_GB2312" w:hAnsi="FangSong_GB2312" w:eastAsia="FangSong_GB2312" w:cs="FangSong_GB2312"/>
                <w:b/>
                <w:bCs/>
                <w:color w:val="000000" w:themeColor="text1"/>
                <w:spacing w:val="0"/>
                <w:sz w:val="21"/>
                <w:szCs w:val="21"/>
                <w14:textFill>
                  <w14:solidFill>
                    <w14:schemeClr w14:val="tx1"/>
                  </w14:solidFill>
                </w14:textFill>
              </w:rPr>
              <w:t>四、提升生态文明气象服务能力</w:t>
            </w: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2023年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落实市气象“十四五”生态气象服务专项规划。以提升重点生态功能区的植被和空气质量、土壤水分自动连续观测能力为目标，建设植被和物候观测、粮食作物气象监测系统。</w:t>
            </w:r>
          </w:p>
        </w:tc>
        <w:tc>
          <w:tcPr>
            <w:tcW w:w="18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县气象局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县生态环境局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lang w:eastAsia="zh-CN"/>
                <w14:textFill>
                  <w14:solidFill>
                    <w14:schemeClr w14:val="tx1"/>
                  </w14:solidFill>
                </w14:textFill>
              </w:rPr>
              <w:t>县</w:t>
            </w:r>
            <w:r>
              <w:rPr>
                <w:rFonts w:hint="eastAsia" w:ascii="FangSong_GB2312" w:hAnsi="FangSong_GB2312" w:eastAsia="FangSong_GB2312" w:cs="FangSong_GB2312"/>
                <w:color w:val="000000" w:themeColor="text1"/>
                <w:spacing w:val="0"/>
                <w:sz w:val="21"/>
                <w:szCs w:val="21"/>
                <w14:textFill>
                  <w14:solidFill>
                    <w14:schemeClr w14:val="tx1"/>
                  </w14:solidFill>
                </w14:textFill>
              </w:rPr>
              <w:t>自然资源局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县农业农村</w:t>
            </w:r>
            <w:r>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2024年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联合生态环境、自然资源等部门开展多源协同观测，实现规划衔接、标准统一、资源共享。开展大气污染物传输路径、溯源研究，提升重污染天气的监测预报预警能力。</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2025年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推进气象与生态环境部门的数据共享、会商研判和应急联动，提升突发大气污染事件气象应急响应能力。坚持生态优先、绿色发展理念，建立完善森林火点、秸秆焚烧气象遥感监测联动机制，为渭河流域生态治理保护提供气象服务。</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6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r>
              <w:rPr>
                <w:rFonts w:hint="eastAsia" w:ascii="FangSong_GB2312" w:hAnsi="FangSong_GB2312" w:cs="FangSong_GB2312"/>
                <w:b/>
                <w:bCs/>
                <w:color w:val="000000" w:themeColor="text1"/>
                <w:spacing w:val="0"/>
                <w:sz w:val="21"/>
                <w:szCs w:val="21"/>
                <w:lang w:eastAsia="zh-CN"/>
                <w14:textFill>
                  <w14:solidFill>
                    <w14:schemeClr w14:val="tx1"/>
                  </w14:solidFill>
                </w14:textFill>
              </w:rPr>
              <w:t>五</w:t>
            </w:r>
            <w:r>
              <w:rPr>
                <w:rFonts w:hint="eastAsia" w:ascii="FangSong_GB2312" w:hAnsi="FangSong_GB2312" w:eastAsia="FangSong_GB2312" w:cs="FangSong_GB2312"/>
                <w:b/>
                <w:bCs/>
                <w:color w:val="000000" w:themeColor="text1"/>
                <w:spacing w:val="0"/>
                <w:sz w:val="21"/>
                <w:szCs w:val="21"/>
                <w14:textFill>
                  <w14:solidFill>
                    <w14:schemeClr w14:val="tx1"/>
                  </w14:solidFill>
                </w14:textFill>
              </w:rPr>
              <w:t>、提升气象灾害风险治理能力</w:t>
            </w: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2023年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常态化联合应急管理、住建等部门开展行政执法检查，全面落实防雷安全监管责任。</w:t>
            </w:r>
          </w:p>
        </w:tc>
        <w:tc>
          <w:tcPr>
            <w:tcW w:w="18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县气象局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县应急管理局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县发改局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县住建局</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2024年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落实《宝鸡市区域性气候可行性论证实施细则》，开展工业园区区域性和重大工程的气候可行性论证工作，推动气象灾害风险防范关口前移，从源头降低气象灾害风险。</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2025年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完善“互联网+监管”工作模式，加强防雷安全信用管理，提高监管效能。</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26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r>
              <w:rPr>
                <w:rFonts w:hint="eastAsia" w:ascii="FangSong_GB2312" w:hAnsi="FangSong_GB2312" w:eastAsia="FangSong_GB2312" w:cs="FangSong_GB2312"/>
                <w:b/>
                <w:bCs/>
                <w:color w:val="000000" w:themeColor="text1"/>
                <w:spacing w:val="0"/>
                <w:sz w:val="21"/>
                <w:szCs w:val="21"/>
                <w14:textFill>
                  <w14:solidFill>
                    <w14:schemeClr w14:val="tx1"/>
                  </w14:solidFill>
                </w14:textFill>
              </w:rPr>
              <w:t>六、提升旅游气象服务能力</w:t>
            </w: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2023年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开展太白山、红河谷景区智慧旅游气象服务示范建设，升级气象监测站、生态监测站，构建全域旅游气象监测网，提升极端天气监测能力。</w:t>
            </w:r>
          </w:p>
        </w:tc>
        <w:tc>
          <w:tcPr>
            <w:tcW w:w="18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县气象局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w:t>
            </w:r>
            <w:r>
              <w:rPr>
                <w:rFonts w:hint="eastAsia" w:ascii="FangSong_GB2312" w:hAnsi="FangSong_GB2312" w:eastAsia="FangSong_GB2312" w:cs="FangSong_GB2312"/>
                <w:color w:val="000000" w:themeColor="text1"/>
                <w:spacing w:val="0"/>
                <w:sz w:val="21"/>
                <w:szCs w:val="21"/>
                <w:lang w:eastAsia="zh-CN"/>
                <w14:textFill>
                  <w14:solidFill>
                    <w14:schemeClr w14:val="tx1"/>
                  </w14:solidFill>
                </w14:textFill>
              </w:rPr>
              <w:t>文旅</w:t>
            </w:r>
            <w:r>
              <w:rPr>
                <w:rFonts w:hint="eastAsia" w:ascii="FangSong_GB2312" w:hAnsi="FangSong_GB2312" w:eastAsia="FangSong_GB2312" w:cs="FangSong_GB2312"/>
                <w:color w:val="000000" w:themeColor="text1"/>
                <w:spacing w:val="0"/>
                <w:sz w:val="21"/>
                <w:szCs w:val="21"/>
                <w14:textFill>
                  <w14:solidFill>
                    <w14:schemeClr w14:val="tx1"/>
                  </w14:solidFill>
                </w14:textFill>
              </w:rPr>
              <w:t>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县应急管理局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县交通局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2024年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建设全域旅游智慧气象服务平台，实现文旅、水利等部门信息共享互通，联合制作发布各类旅游气象服务产品。</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2025年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建立旅游安全风险提示制度，联合制定旅游突发公共事件应急预案，提升气象灾害应对处置能力。加强与旅游、交通、景区等深入合作，将气象和多行业大数据进行融合，开展基于用户当前位置到景区的景点实况、预报、预警、气象指数和道路交通气象服务。</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26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r>
              <w:rPr>
                <w:rFonts w:hint="eastAsia" w:ascii="FangSong_GB2312" w:hAnsi="FangSong_GB2312" w:eastAsia="FangSong_GB2312" w:cs="FangSong_GB2312"/>
                <w:b/>
                <w:bCs/>
                <w:color w:val="000000" w:themeColor="text1"/>
                <w:spacing w:val="0"/>
                <w:sz w:val="21"/>
                <w:szCs w:val="21"/>
                <w14:textFill>
                  <w14:solidFill>
                    <w14:schemeClr w14:val="tx1"/>
                  </w14:solidFill>
                </w14:textFill>
              </w:rPr>
              <w:t>七、提升公共气象服务能力</w:t>
            </w: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2023年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将气象灾害防御知识科普工作纳入全民科学素质行动计划纲要，持续开展气象科普进社区、进农村等活动。围绕眉县气象科普馆，建设“线上+线下”气象科普传播互动平台。针对重要天气、重大活动、重要时间节点开展气象科普专题策划，不断提高居民防御气象灾害能力。</w:t>
            </w:r>
          </w:p>
        </w:tc>
        <w:tc>
          <w:tcPr>
            <w:tcW w:w="18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县气象局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县教体局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kern w:val="2"/>
                <w:sz w:val="21"/>
                <w:szCs w:val="21"/>
                <w:lang w:val="en-US" w:eastAsia="zh-CN" w:bidi="ar-SA"/>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县交通局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t>县文旅局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t>县农业农村局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lang w:val="en-US" w:eastAsia="zh-CN"/>
                <w14:textFill>
                  <w14:solidFill>
                    <w14:schemeClr w14:val="tx1"/>
                  </w14:solidFill>
                </w14:textFill>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2024年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推进气象与相关行业的融合发展，增强综合交通运输、全域旅游、设施农业、绿色能源等领域信息共享和气象保障服务能力，提升行业运行发展保障支撑水平。</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2025年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建设融媒体公众气象服务矩阵和平台，实现电视、广播、客户端、新媒体、显示屏、大喇叭应急广播等与气象融媒体互联互通，扩大气象信息覆盖面。积极创建全国气象科普教育基地。</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266"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b/>
                <w:bCs/>
                <w:color w:val="000000" w:themeColor="text1"/>
                <w:spacing w:val="0"/>
                <w:sz w:val="21"/>
                <w:szCs w:val="21"/>
                <w14:textFill>
                  <w14:solidFill>
                    <w14:schemeClr w14:val="tx1"/>
                  </w14:solidFill>
                </w14:textFill>
              </w:rPr>
            </w:pPr>
            <w:r>
              <w:rPr>
                <w:rFonts w:hint="eastAsia" w:ascii="FangSong_GB2312" w:hAnsi="FangSong_GB2312" w:eastAsia="FangSong_GB2312" w:cs="FangSong_GB2312"/>
                <w:b/>
                <w:bCs/>
                <w:color w:val="000000" w:themeColor="text1"/>
                <w:spacing w:val="0"/>
                <w:sz w:val="21"/>
                <w:szCs w:val="21"/>
                <w14:textFill>
                  <w14:solidFill>
                    <w14:schemeClr w14:val="tx1"/>
                  </w14:solidFill>
                </w14:textFill>
              </w:rPr>
              <w:t>八、加强人工影响天气能力建设</w:t>
            </w: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2023-2024年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新增3个人影作业点，升级更新人工影响天气作业装备，建设移动式人影火箭作业系统，发挥人工影响天气在抗旱、大气污染防治和森林防火中的作用，为建设绿色美好家园提供高质量的气象保障。</w:t>
            </w:r>
          </w:p>
        </w:tc>
        <w:tc>
          <w:tcPr>
            <w:tcW w:w="1891" w:type="dxa"/>
            <w:vMerge w:val="restart"/>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县气象局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县应急管理局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县农业农村局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县生态环境局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县林业局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1266"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c>
          <w:tcPr>
            <w:tcW w:w="1059"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2025年</w:t>
            </w:r>
          </w:p>
        </w:tc>
        <w:tc>
          <w:tcPr>
            <w:tcW w:w="9352" w:type="dxa"/>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r>
              <w:rPr>
                <w:rFonts w:hint="eastAsia" w:ascii="FangSong_GB2312" w:hAnsi="FangSong_GB2312" w:eastAsia="FangSong_GB2312" w:cs="FangSong_GB2312"/>
                <w:color w:val="000000" w:themeColor="text1"/>
                <w:spacing w:val="0"/>
                <w:sz w:val="21"/>
                <w:szCs w:val="21"/>
                <w14:textFill>
                  <w14:solidFill>
                    <w14:schemeClr w14:val="tx1"/>
                  </w14:solidFill>
                </w14:textFill>
              </w:rPr>
              <w:t>健全“政府主导、部门协同、综合监管”人工影响天气安全管理工作机制，全面建立安全管理责任体系。</w:t>
            </w:r>
          </w:p>
        </w:tc>
        <w:tc>
          <w:tcPr>
            <w:tcW w:w="1891" w:type="dxa"/>
            <w:vMerge w:val="continue"/>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FangSong_GB2312" w:hAnsi="FangSong_GB2312" w:eastAsia="FangSong_GB2312" w:cs="FangSong_GB2312"/>
                <w:color w:val="000000" w:themeColor="text1"/>
                <w:spacing w:val="0"/>
                <w:sz w:val="21"/>
                <w:szCs w:val="21"/>
                <w14:textFill>
                  <w14:solidFill>
                    <w14:schemeClr w14:val="tx1"/>
                  </w14:solidFill>
                </w14:textFill>
              </w:rPr>
            </w:pPr>
          </w:p>
        </w:tc>
      </w:tr>
    </w:tbl>
    <w:p>
      <w:pPr>
        <w:widowControl/>
        <w:spacing w:line="240" w:lineRule="auto"/>
        <w:jc w:val="left"/>
        <w:rPr>
          <w:rFonts w:ascii="FangSong_GB2312"/>
          <w:color w:val="000000" w:themeColor="text1"/>
          <w:spacing w:val="0"/>
          <w:szCs w:val="32"/>
          <w14:textFill>
            <w14:solidFill>
              <w14:schemeClr w14:val="tx1"/>
            </w14:solidFill>
          </w14:textFill>
        </w:rPr>
        <w:sectPr>
          <w:footerReference r:id="rId8" w:type="first"/>
          <w:footerReference r:id="rId6" w:type="default"/>
          <w:footerReference r:id="rId7" w:type="even"/>
          <w:pgSz w:w="16838" w:h="11906" w:orient="landscape"/>
          <w:pgMar w:top="2098" w:right="1474" w:bottom="1984" w:left="1587" w:header="851" w:footer="1021" w:gutter="0"/>
          <w:pgNumType w:fmt="numberInDash" w:start="10"/>
          <w:cols w:space="720" w:num="1"/>
          <w:titlePg/>
          <w:docGrid w:type="lines" w:linePitch="616" w:charSpace="-849"/>
        </w:sectPr>
      </w:pPr>
    </w:p>
    <w:p>
      <w:pPr>
        <w:pStyle w:val="3"/>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2"/>
      </w:pPr>
    </w:p>
    <w:p>
      <w:pPr>
        <w:pStyle w:val="2"/>
      </w:pPr>
    </w:p>
    <w:p>
      <w:pPr>
        <w:pStyle w:val="2"/>
      </w:pPr>
    </w:p>
    <w:p>
      <w:pPr>
        <w:pStyle w:val="2"/>
      </w:pPr>
    </w:p>
    <w:p>
      <w:pPr>
        <w:pStyle w:val="2"/>
      </w:pPr>
    </w:p>
    <w:p>
      <w:pPr>
        <w:pStyle w:val="2"/>
      </w:pPr>
    </w:p>
    <w:p>
      <w:pPr>
        <w:pStyle w:val="2"/>
      </w:pPr>
    </w:p>
    <w:p>
      <w:pPr>
        <w:bidi w:val="0"/>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right="0" w:rightChars="0" w:firstLine="140" w:firstLineChars="50"/>
        <w:textAlignment w:val="center"/>
        <w:outlineLvl w:val="9"/>
        <w:rPr>
          <w:rFonts w:hint="eastAsia" w:ascii="仿宋_GB2312" w:hAnsi="宋体" w:eastAsia="仿宋_GB2312"/>
          <w:b w:val="0"/>
          <w:bCs w:val="0"/>
          <w:color w:val="000000"/>
          <w:sz w:val="28"/>
          <w:szCs w:val="28"/>
          <w:lang w:val="en-US" w:eastAsia="zh-CN"/>
        </w:rPr>
      </w:pPr>
      <w:r>
        <w:rPr>
          <w:rFonts w:hint="eastAsia" w:ascii="仿宋_GB2312" w:hAnsi="宋体" w:eastAsia="仿宋_GB2312"/>
          <w:b w:val="0"/>
          <w:bCs w:val="0"/>
          <w:color w:val="000000"/>
          <w:sz w:val="28"/>
          <w:szCs w:val="28"/>
          <w:lang w:eastAsia="zh-CN"/>
        </w:rPr>
        <w:t>眉</w:t>
      </w:r>
      <w:r>
        <w:rPr>
          <w:rFonts w:hint="eastAsia" w:ascii="仿宋_GB2312" w:hAnsi="宋体" w:eastAsia="仿宋_GB2312"/>
          <w:b w:val="0"/>
          <w:bCs w:val="0"/>
          <w:color w:val="000000"/>
          <w:sz w:val="28"/>
          <w:szCs w:val="28"/>
        </w:rPr>
        <w:t>县</w:t>
      </w:r>
      <w:r>
        <w:rPr>
          <w:rFonts w:hint="eastAsia" w:ascii="仿宋_GB2312" w:hAnsi="宋体" w:eastAsia="仿宋_GB2312"/>
          <w:b w:val="0"/>
          <w:bCs w:val="0"/>
          <w:color w:val="000000"/>
          <w:sz w:val="28"/>
          <w:szCs w:val="28"/>
          <w:lang w:val="en-US" w:eastAsia="zh-CN"/>
        </w:rPr>
        <w:t xml:space="preserve">人民政府办公室    </w:t>
      </w:r>
      <w:r>
        <w:rPr>
          <w:rFonts w:ascii="仿宋_GB2312" w:hAnsi="宋体" w:eastAsia="仿宋_GB2312"/>
          <w:b w:val="0"/>
          <w:bCs w:val="0"/>
          <w:color w:val="000000"/>
          <w:sz w:val="28"/>
          <w:szCs w:val="28"/>
        </w:rPr>
        <w:t xml:space="preserve">             </w:t>
      </w:r>
      <w:r>
        <w:rPr>
          <w:rFonts w:hint="eastAsia" w:ascii="仿宋_GB2312" w:hAnsi="宋体" w:eastAsia="仿宋_GB2312"/>
          <w:b w:val="0"/>
          <w:bCs w:val="0"/>
          <w:color w:val="000000"/>
          <w:sz w:val="28"/>
          <w:szCs w:val="28"/>
          <w:lang w:val="en-US" w:eastAsia="zh-CN"/>
        </w:rPr>
        <w:t xml:space="preserve">        </w:t>
      </w:r>
      <w:r>
        <w:rPr>
          <w:rFonts w:ascii="仿宋_GB2312" w:hAnsi="宋体" w:eastAsia="仿宋_GB2312"/>
          <w:b w:val="0"/>
          <w:bCs w:val="0"/>
          <w:color w:val="000000"/>
          <w:sz w:val="28"/>
          <w:szCs w:val="28"/>
        </w:rPr>
        <w:t>20</w:t>
      </w:r>
      <w:r>
        <w:rPr>
          <w:rFonts w:hint="eastAsia" w:ascii="仿宋_GB2312" w:hAnsi="宋体" w:eastAsia="仿宋_GB2312"/>
          <w:b w:val="0"/>
          <w:bCs w:val="0"/>
          <w:color w:val="000000"/>
          <w:sz w:val="28"/>
          <w:szCs w:val="28"/>
        </w:rPr>
        <w:t>2</w:t>
      </w:r>
      <w:r>
        <w:rPr>
          <w:rFonts w:hint="eastAsia" w:ascii="仿宋_GB2312" w:hAnsi="宋体" w:eastAsia="仿宋_GB2312"/>
          <w:b w:val="0"/>
          <w:bCs w:val="0"/>
          <w:color w:val="000000"/>
          <w:sz w:val="28"/>
          <w:szCs w:val="28"/>
          <w:lang w:val="en-US" w:eastAsia="zh-CN"/>
        </w:rPr>
        <w:t>3</w:t>
      </w:r>
      <w:r>
        <w:rPr>
          <w:rFonts w:hint="eastAsia" w:ascii="仿宋_GB2312" w:hAnsi="宋体" w:eastAsia="仿宋_GB2312"/>
          <w:b w:val="0"/>
          <w:bCs w:val="0"/>
          <w:color w:val="000000"/>
          <w:sz w:val="28"/>
          <w:szCs w:val="28"/>
        </w:rPr>
        <w:t>年</w:t>
      </w:r>
      <w:r>
        <w:rPr>
          <w:rFonts w:hint="eastAsia" w:ascii="仿宋_GB2312" w:hAnsi="宋体" w:eastAsia="仿宋_GB2312"/>
          <w:b w:val="0"/>
          <w:bCs w:val="0"/>
          <w:color w:val="000000"/>
          <w:sz w:val="28"/>
          <w:szCs w:val="28"/>
          <w:lang w:val="en-US" w:eastAsia="zh-CN"/>
        </w:rPr>
        <w:t>8</w:t>
      </w:r>
      <w:r>
        <w:rPr>
          <w:rFonts w:hint="eastAsia" w:ascii="仿宋_GB2312" w:hAnsi="宋体" w:eastAsia="仿宋_GB2312"/>
          <w:b w:val="0"/>
          <w:bCs w:val="0"/>
          <w:color w:val="000000"/>
          <w:sz w:val="28"/>
          <w:szCs w:val="28"/>
        </w:rPr>
        <w:t>月</w:t>
      </w:r>
      <w:r>
        <w:rPr>
          <w:rFonts w:hint="eastAsia" w:ascii="仿宋_GB2312" w:hAnsi="宋体" w:eastAsia="仿宋_GB2312"/>
          <w:b w:val="0"/>
          <w:bCs w:val="0"/>
          <w:color w:val="000000"/>
          <w:sz w:val="28"/>
          <w:szCs w:val="28"/>
          <w:lang w:val="en-US" w:eastAsia="zh-CN"/>
        </w:rPr>
        <w:t>4</w:t>
      </w:r>
      <w:r>
        <w:rPr>
          <w:rFonts w:hint="eastAsia" w:ascii="仿宋_GB2312" w:hAnsi="宋体" w:eastAsia="仿宋_GB2312"/>
          <w:b w:val="0"/>
          <w:bCs w:val="0"/>
          <w:color w:val="000000"/>
          <w:sz w:val="28"/>
          <w:szCs w:val="28"/>
        </w:rPr>
        <w:t>日印发</w:t>
      </w:r>
    </w:p>
    <w:sectPr>
      <w:footerReference r:id="rId11" w:type="first"/>
      <w:footerReference r:id="rId9" w:type="default"/>
      <w:footerReference r:id="rId10" w:type="even"/>
      <w:pgSz w:w="11906" w:h="16838"/>
      <w:pgMar w:top="1474" w:right="1474" w:bottom="1701" w:left="1474" w:header="851" w:footer="1021" w:gutter="0"/>
      <w:pgNumType w:fmt="numberInDash" w:start="12"/>
      <w:cols w:space="720" w:num="1"/>
      <w:titlePg/>
      <w:docGrid w:type="lines" w:linePitch="61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FangSong_GB2312">
    <w:altName w:val="仿宋_GB2312"/>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KaiTi_GB2312">
    <w:altName w:val="楷体"/>
    <w:panose1 w:val="02010609030101010101"/>
    <w:charset w:val="86"/>
    <w:family w:val="modern"/>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幼圆">
    <w:panose1 w:val="0201050906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Tw Cen MT Condensed Extra Bold">
    <w:panose1 w:val="020B0803020202020204"/>
    <w:charset w:val="00"/>
    <w:family w:val="auto"/>
    <w:pitch w:val="default"/>
    <w:sig w:usb0="00000003" w:usb1="00000000" w:usb2="00000000" w:usb3="00000000" w:csb0="20000003" w:csb1="00000000"/>
  </w:font>
  <w:font w:name="等线">
    <w:altName w:val="宋体"/>
    <w:panose1 w:val="00000000000000000000"/>
    <w:charset w:val="86"/>
    <w:family w:val="auto"/>
    <w:pitch w:val="default"/>
    <w:sig w:usb0="00000000" w:usb1="00000000" w:usb2="00000000" w:usb3="00000000" w:csb0="00000000" w:csb1="00000000"/>
  </w:font>
  <w:font w:name="等线">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山行书百年纪念版">
    <w:panose1 w:val="02010609000101010101"/>
    <w:charset w:val="86"/>
    <w:family w:val="auto"/>
    <w:pitch w:val="default"/>
    <w:sig w:usb0="800002BF" w:usb1="08476CFA" w:usb2="00000012" w:usb3="00000000" w:csb0="00040000" w:csb1="00000000"/>
  </w:font>
  <w:font w:name="Calibri Light">
    <w:panose1 w:val="020F0302020204030204"/>
    <w:charset w:val="00"/>
    <w:family w:val="auto"/>
    <w:pitch w:val="default"/>
    <w:sig w:usb0="A00002EF" w:usb1="4000207B" w:usb2="00000000" w:usb3="00000000" w:csb0="2000019F" w:csb1="00000000"/>
  </w:font>
  <w:font w:name="Batang">
    <w:panose1 w:val="02030600000101010101"/>
    <w:charset w:val="81"/>
    <w:family w:val="auto"/>
    <w:pitch w:val="default"/>
    <w:sig w:usb0="B00002AF" w:usb1="69D77CFB" w:usb2="00000030" w:usb3="00000000" w:csb0="4008009F" w:csb1="DFD70000"/>
  </w:font>
  <w:font w:name="YEFONTChuanQiuShaXingKai 標準">
    <w:panose1 w:val="02000603060000000000"/>
    <w:charset w:val="86"/>
    <w:family w:val="auto"/>
    <w:pitch w:val="default"/>
    <w:sig w:usb0="00000001" w:usb1="08010410" w:usb2="00000012" w:usb3="00000000" w:csb0="00040001" w:csb1="00000000"/>
  </w:font>
  <w:font w:name="隶书">
    <w:panose1 w:val="02010509060101010101"/>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华文隶书">
    <w:panose1 w:val="02010800040101010101"/>
    <w:charset w:val="86"/>
    <w:family w:val="auto"/>
    <w:pitch w:val="default"/>
    <w:sig w:usb0="00000001" w:usb1="080F0000" w:usb2="00000000" w:usb3="00000000" w:csb0="00040000" w:csb1="00000000"/>
  </w:font>
  <w:font w:name="Vineta BT">
    <w:panose1 w:val="04020906050602070202"/>
    <w:charset w:val="00"/>
    <w:family w:val="auto"/>
    <w:pitch w:val="default"/>
    <w:sig w:usb0="00000000" w:usb1="00000000" w:usb2="00000000" w:usb3="00000000" w:csb0="00000000" w:csb1="00000000"/>
  </w:font>
  <w:font w:name="Viner Hand ITC">
    <w:panose1 w:val="03070502030502020203"/>
    <w:charset w:val="00"/>
    <w:family w:val="auto"/>
    <w:pitch w:val="default"/>
    <w:sig w:usb0="00000003" w:usb1="00000000" w:usb2="00000000" w:usb3="00000000" w:csb0="2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UniversalMath1 BT">
    <w:panose1 w:val="05050102010205020602"/>
    <w:charset w:val="00"/>
    <w:family w:val="auto"/>
    <w:pitch w:val="default"/>
    <w:sig w:usb0="00000000" w:usb1="00000000" w:usb2="00000000" w:usb3="00000000" w:csb0="00000000"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echnicLite">
    <w:panose1 w:val="00000400000000000000"/>
    <w:charset w:val="00"/>
    <w:family w:val="auto"/>
    <w:pitch w:val="default"/>
    <w:sig w:usb0="00000000" w:usb1="00000000" w:usb2="00000000" w:usb3="00000000" w:csb0="00000000" w:csb1="00000000"/>
  </w:font>
  <w:font w:name="TechnicBold">
    <w:panose1 w:val="00000400000000000000"/>
    <w:charset w:val="00"/>
    <w:family w:val="auto"/>
    <w:pitch w:val="default"/>
    <w:sig w:usb0="00000000" w:usb1="00000000" w:usb2="00000000" w:usb3="00000000" w:csb0="00000000" w:csb1="00000000"/>
  </w:font>
  <w:font w:name="Technic">
    <w:panose1 w:val="00000400000000000000"/>
    <w:charset w:val="00"/>
    <w:family w:val="auto"/>
    <w:pitch w:val="default"/>
    <w:sig w:usb0="00000000" w:usb1="00000000" w:usb2="00000000" w:usb3="00000000" w:csb0="00000000" w:csb1="00000000"/>
  </w:font>
  <w:font w:name="Symusic">
    <w:panose1 w:val="00000400000000000000"/>
    <w:charset w:val="00"/>
    <w:family w:val="auto"/>
    <w:pitch w:val="default"/>
    <w:sig w:usb0="00000001" w:usb1="00000000" w:usb2="00000000" w:usb3="00000000" w:csb0="000001FF" w:csb1="00000000"/>
  </w:font>
  <w:font w:name="Symeteo">
    <w:panose1 w:val="00000400000000000000"/>
    <w:charset w:val="00"/>
    <w:family w:val="auto"/>
    <w:pitch w:val="default"/>
    <w:sig w:usb0="00000001"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幼圆" w:hAnsi="幼圆" w:eastAsia="幼圆" w:cs="幼圆"/>
                              <w:sz w:val="28"/>
                              <w:szCs w:val="28"/>
                              <w:lang w:eastAsia="zh-CN"/>
                            </w:rPr>
                          </w:pPr>
                          <w:r>
                            <w:rPr>
                              <w:rFonts w:hint="eastAsia" w:ascii="幼圆" w:hAnsi="幼圆" w:eastAsia="幼圆" w:cs="幼圆"/>
                              <w:sz w:val="28"/>
                              <w:szCs w:val="28"/>
                              <w:lang w:eastAsia="zh-CN"/>
                            </w:rPr>
                            <w:fldChar w:fldCharType="begin"/>
                          </w:r>
                          <w:r>
                            <w:rPr>
                              <w:rFonts w:hint="eastAsia" w:ascii="幼圆" w:hAnsi="幼圆" w:eastAsia="幼圆" w:cs="幼圆"/>
                              <w:sz w:val="28"/>
                              <w:szCs w:val="28"/>
                              <w:lang w:eastAsia="zh-CN"/>
                            </w:rPr>
                            <w:instrText xml:space="preserve"> PAGE  \* MERGEFORMAT </w:instrText>
                          </w:r>
                          <w:r>
                            <w:rPr>
                              <w:rFonts w:hint="eastAsia" w:ascii="幼圆" w:hAnsi="幼圆" w:eastAsia="幼圆" w:cs="幼圆"/>
                              <w:sz w:val="28"/>
                              <w:szCs w:val="28"/>
                              <w:lang w:eastAsia="zh-CN"/>
                            </w:rPr>
                            <w:fldChar w:fldCharType="separate"/>
                          </w:r>
                          <w:r>
                            <w:rPr>
                              <w:rFonts w:hint="eastAsia" w:ascii="幼圆" w:hAnsi="幼圆" w:eastAsia="幼圆" w:cs="幼圆"/>
                              <w:sz w:val="28"/>
                              <w:szCs w:val="28"/>
                              <w:lang w:eastAsia="zh-CN"/>
                            </w:rPr>
                            <w:t>- 1 -</w:t>
                          </w:r>
                          <w:r>
                            <w:rPr>
                              <w:rFonts w:hint="eastAsia" w:ascii="幼圆" w:hAnsi="幼圆" w:eastAsia="幼圆" w:cs="幼圆"/>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幼圆" w:hAnsi="幼圆" w:eastAsia="幼圆" w:cs="幼圆"/>
                        <w:sz w:val="28"/>
                        <w:szCs w:val="28"/>
                        <w:lang w:eastAsia="zh-CN"/>
                      </w:rPr>
                    </w:pPr>
                    <w:r>
                      <w:rPr>
                        <w:rFonts w:hint="eastAsia" w:ascii="幼圆" w:hAnsi="幼圆" w:eastAsia="幼圆" w:cs="幼圆"/>
                        <w:sz w:val="28"/>
                        <w:szCs w:val="28"/>
                        <w:lang w:eastAsia="zh-CN"/>
                      </w:rPr>
                      <w:fldChar w:fldCharType="begin"/>
                    </w:r>
                    <w:r>
                      <w:rPr>
                        <w:rFonts w:hint="eastAsia" w:ascii="幼圆" w:hAnsi="幼圆" w:eastAsia="幼圆" w:cs="幼圆"/>
                        <w:sz w:val="28"/>
                        <w:szCs w:val="28"/>
                        <w:lang w:eastAsia="zh-CN"/>
                      </w:rPr>
                      <w:instrText xml:space="preserve"> PAGE  \* MERGEFORMAT </w:instrText>
                    </w:r>
                    <w:r>
                      <w:rPr>
                        <w:rFonts w:hint="eastAsia" w:ascii="幼圆" w:hAnsi="幼圆" w:eastAsia="幼圆" w:cs="幼圆"/>
                        <w:sz w:val="28"/>
                        <w:szCs w:val="28"/>
                        <w:lang w:eastAsia="zh-CN"/>
                      </w:rPr>
                      <w:fldChar w:fldCharType="separate"/>
                    </w:r>
                    <w:r>
                      <w:rPr>
                        <w:rFonts w:hint="eastAsia" w:ascii="幼圆" w:hAnsi="幼圆" w:eastAsia="幼圆" w:cs="幼圆"/>
                        <w:sz w:val="28"/>
                        <w:szCs w:val="28"/>
                        <w:lang w:eastAsia="zh-CN"/>
                      </w:rPr>
                      <w:t>- 1 -</w:t>
                    </w:r>
                    <w:r>
                      <w:rPr>
                        <w:rFonts w:hint="eastAsia" w:ascii="幼圆" w:hAnsi="幼圆" w:eastAsia="幼圆" w:cs="幼圆"/>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幼圆" w:hAnsi="幼圆" w:eastAsia="幼圆" w:cs="幼圆"/>
                              <w:sz w:val="28"/>
                              <w:szCs w:val="28"/>
                              <w:lang w:val="en-US" w:eastAsia="zh-CN"/>
                            </w:rPr>
                          </w:pPr>
                          <w:r>
                            <w:rPr>
                              <w:rFonts w:hint="eastAsia" w:ascii="幼圆" w:hAnsi="幼圆" w:eastAsia="幼圆" w:cs="幼圆"/>
                              <w:sz w:val="28"/>
                              <w:szCs w:val="28"/>
                              <w:lang w:val="en-US" w:eastAsia="zh-CN"/>
                            </w:rPr>
                            <w:t>- 10 -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default" w:ascii="幼圆" w:hAnsi="幼圆" w:eastAsia="幼圆" w:cs="幼圆"/>
                        <w:sz w:val="28"/>
                        <w:szCs w:val="28"/>
                        <w:lang w:val="en-US" w:eastAsia="zh-CN"/>
                      </w:rPr>
                    </w:pPr>
                    <w:r>
                      <w:rPr>
                        <w:rFonts w:hint="eastAsia" w:ascii="幼圆" w:hAnsi="幼圆" w:eastAsia="幼圆" w:cs="幼圆"/>
                        <w:sz w:val="28"/>
                        <w:szCs w:val="28"/>
                        <w:lang w:val="en-US" w:eastAsia="zh-CN"/>
                      </w:rPr>
                      <w:t>- 10 -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eastAsia="FangSong_GB2312"/>
                              <w:sz w:val="18"/>
                              <w:lang w:val="en-US" w:eastAsia="zh-CN"/>
                            </w:rPr>
                          </w:pPr>
                          <w:r>
                            <w:rPr>
                              <w:rFonts w:hint="eastAsia" w:ascii="宋体" w:hAnsi="宋体" w:eastAsia="宋体" w:cs="宋体"/>
                              <w:sz w:val="28"/>
                              <w:szCs w:val="28"/>
                              <w:lang w:val="en-US" w:eastAsia="zh-CN"/>
                            </w:rPr>
                            <w:t>- 11 -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eastAsia="FangSong_GB2312"/>
                        <w:sz w:val="18"/>
                        <w:lang w:val="en-US" w:eastAsia="zh-CN"/>
                      </w:rPr>
                    </w:pPr>
                    <w:r>
                      <w:rPr>
                        <w:rFonts w:hint="eastAsia" w:ascii="宋体" w:hAnsi="宋体" w:eastAsia="宋体" w:cs="宋体"/>
                        <w:sz w:val="28"/>
                        <w:szCs w:val="28"/>
                        <w:lang w:val="en-US" w:eastAsia="zh-CN"/>
                      </w:rPr>
                      <w:t>- 11 -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eastAsia="FangSong_GB2312"/>
                              <w:sz w:val="28"/>
                              <w:szCs w:val="28"/>
                              <w:lang w:val="en-US" w:eastAsia="zh-CN"/>
                            </w:rPr>
                          </w:pPr>
                          <w:r>
                            <w:rPr>
                              <w:rFonts w:hint="eastAsia" w:ascii="幼圆" w:hAnsi="幼圆" w:eastAsia="幼圆" w:cs="幼圆"/>
                              <w:sz w:val="28"/>
                              <w:szCs w:val="28"/>
                              <w:lang w:val="en-US" w:eastAsia="zh-CN"/>
                            </w:rPr>
                            <w:t>-9 -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default" w:eastAsia="FangSong_GB2312"/>
                        <w:sz w:val="28"/>
                        <w:szCs w:val="28"/>
                        <w:lang w:val="en-US" w:eastAsia="zh-CN"/>
                      </w:rPr>
                    </w:pPr>
                    <w:r>
                      <w:rPr>
                        <w:rFonts w:hint="eastAsia" w:ascii="幼圆" w:hAnsi="幼圆" w:eastAsia="幼圆" w:cs="幼圆"/>
                        <w:sz w:val="28"/>
                        <w:szCs w:val="28"/>
                        <w:lang w:val="en-US" w:eastAsia="zh-CN"/>
                      </w:rPr>
                      <w:t>-9 -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sz w:val="1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FangSong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FangSong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幼圆" w:hAnsi="幼圆" w:eastAsia="幼圆" w:cs="幼圆"/>
                              <w:sz w:val="28"/>
                              <w:szCs w:val="28"/>
                              <w:lang w:val="en-US" w:eastAsia="zh-CN"/>
                            </w:rPr>
                          </w:pPr>
                          <w:r>
                            <w:rPr>
                              <w:rFonts w:hint="eastAsia" w:ascii="幼圆" w:hAnsi="幼圆" w:eastAsia="幼圆" w:cs="幼圆"/>
                              <w:sz w:val="28"/>
                              <w:szCs w:val="28"/>
                              <w:lang w:val="en-US" w:eastAsia="zh-CN"/>
                            </w:rPr>
                            <w:t>- 10 -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default" w:ascii="幼圆" w:hAnsi="幼圆" w:eastAsia="幼圆" w:cs="幼圆"/>
                        <w:sz w:val="28"/>
                        <w:szCs w:val="28"/>
                        <w:lang w:val="en-US" w:eastAsia="zh-CN"/>
                      </w:rPr>
                    </w:pPr>
                    <w:r>
                      <w:rPr>
                        <w:rFonts w:hint="eastAsia" w:ascii="幼圆" w:hAnsi="幼圆" w:eastAsia="幼圆" w:cs="幼圆"/>
                        <w:sz w:val="28"/>
                        <w:szCs w:val="28"/>
                        <w:lang w:val="en-US" w:eastAsia="zh-CN"/>
                      </w:rPr>
                      <w:t>- 10 -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FangSong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FangSong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eastAsia="FangSong_GB2312"/>
                              <w:sz w:val="18"/>
                              <w:lang w:val="en-US" w:eastAsia="zh-CN"/>
                            </w:rPr>
                          </w:pPr>
                          <w:r>
                            <w:rPr>
                              <w:rFonts w:hint="eastAsia" w:ascii="宋体" w:hAnsi="宋体" w:eastAsia="宋体" w:cs="宋体"/>
                              <w:sz w:val="28"/>
                              <w:szCs w:val="28"/>
                              <w:lang w:val="en-US" w:eastAsia="zh-CN"/>
                            </w:rPr>
                            <w:t>- 11 -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default" w:eastAsia="FangSong_GB2312"/>
                        <w:sz w:val="18"/>
                        <w:lang w:val="en-US" w:eastAsia="zh-CN"/>
                      </w:rPr>
                    </w:pPr>
                    <w:r>
                      <w:rPr>
                        <w:rFonts w:hint="eastAsia" w:ascii="宋体" w:hAnsi="宋体" w:eastAsia="宋体" w:cs="宋体"/>
                        <w:sz w:val="28"/>
                        <w:szCs w:val="28"/>
                        <w:lang w:val="en-US" w:eastAsia="zh-CN"/>
                      </w:rPr>
                      <w:t>- 11 -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82816" behindDoc="0" locked="0" layoutInCell="1" allowOverlap="1">
              <wp:simplePos x="0" y="0"/>
              <wp:positionH relativeFrom="margin">
                <wp:posOffset>0</wp:posOffset>
              </wp:positionH>
              <wp:positionV relativeFrom="paragraph">
                <wp:posOffset>-447675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35.25pt;height:144pt;width:144pt;mso-position-horizontal-relative:margin;mso-wrap-style:none;z-index:251682816;mso-width-relative:page;mso-height-relative:page;" filled="f" stroked="f" coordsize="21600,21600" o:gfxdata="UEsDBAoAAAAAAIdO4kAAAAAAAAAAAAAAAAAEAAAAZHJzL1BLAwQUAAAACACHTuJAMwgJ69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MwgJ69YAAAAIAQAADwAA&#10;AAAAAAABACAAAAAiAAAAZHJzL2Rvd25yZXYueG1sUEsBAhQAFAAAAAgAh07iQMR8ODrDAgAA2AUA&#10;AA4AAAAAAAAAAQAgAAAAJQEAAGRycy9lMm9Eb2MueG1sUEsFBgAAAAAGAAYAWQEAAFoG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eastAsia="FangSong_GB2312"/>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default" w:eastAsia="FangSong_GB2312"/>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13"/>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GFiNDY3MGQzNTA3Zjg4NWY3ZDYxYmMyZGNlY2EifQ=="/>
  </w:docVars>
  <w:rsids>
    <w:rsidRoot w:val="004B062F"/>
    <w:rsid w:val="00014AF5"/>
    <w:rsid w:val="00031E21"/>
    <w:rsid w:val="000378B3"/>
    <w:rsid w:val="000D1BF6"/>
    <w:rsid w:val="000D7226"/>
    <w:rsid w:val="000E367B"/>
    <w:rsid w:val="00141113"/>
    <w:rsid w:val="00157B91"/>
    <w:rsid w:val="00197233"/>
    <w:rsid w:val="001A781D"/>
    <w:rsid w:val="001C7189"/>
    <w:rsid w:val="001D0381"/>
    <w:rsid w:val="00237C37"/>
    <w:rsid w:val="00245881"/>
    <w:rsid w:val="002D7E98"/>
    <w:rsid w:val="003513DA"/>
    <w:rsid w:val="00356916"/>
    <w:rsid w:val="00365E0D"/>
    <w:rsid w:val="0037690F"/>
    <w:rsid w:val="00381D62"/>
    <w:rsid w:val="0038334D"/>
    <w:rsid w:val="003D77B0"/>
    <w:rsid w:val="003E7A99"/>
    <w:rsid w:val="00410B3A"/>
    <w:rsid w:val="00442AC5"/>
    <w:rsid w:val="00450108"/>
    <w:rsid w:val="00455840"/>
    <w:rsid w:val="00494F9C"/>
    <w:rsid w:val="004B062F"/>
    <w:rsid w:val="004C6C2E"/>
    <w:rsid w:val="005223EF"/>
    <w:rsid w:val="00551672"/>
    <w:rsid w:val="00585344"/>
    <w:rsid w:val="00594491"/>
    <w:rsid w:val="00597033"/>
    <w:rsid w:val="005D1E94"/>
    <w:rsid w:val="005E1A5D"/>
    <w:rsid w:val="005F057F"/>
    <w:rsid w:val="00605054"/>
    <w:rsid w:val="00626481"/>
    <w:rsid w:val="0065075F"/>
    <w:rsid w:val="006764D1"/>
    <w:rsid w:val="006E6915"/>
    <w:rsid w:val="00701E90"/>
    <w:rsid w:val="00703627"/>
    <w:rsid w:val="00731229"/>
    <w:rsid w:val="00745DCF"/>
    <w:rsid w:val="00747C1C"/>
    <w:rsid w:val="00753EBB"/>
    <w:rsid w:val="00762B85"/>
    <w:rsid w:val="007744D6"/>
    <w:rsid w:val="00774CBA"/>
    <w:rsid w:val="007C4475"/>
    <w:rsid w:val="007E7140"/>
    <w:rsid w:val="00803336"/>
    <w:rsid w:val="008212A1"/>
    <w:rsid w:val="0082695F"/>
    <w:rsid w:val="00826F28"/>
    <w:rsid w:val="0084028F"/>
    <w:rsid w:val="00921491"/>
    <w:rsid w:val="00937A41"/>
    <w:rsid w:val="00942F7D"/>
    <w:rsid w:val="009746E6"/>
    <w:rsid w:val="00983F0B"/>
    <w:rsid w:val="009C3AFD"/>
    <w:rsid w:val="00A155E9"/>
    <w:rsid w:val="00A61DCE"/>
    <w:rsid w:val="00A869F9"/>
    <w:rsid w:val="00AC1F97"/>
    <w:rsid w:val="00AC4702"/>
    <w:rsid w:val="00AE353C"/>
    <w:rsid w:val="00AF0006"/>
    <w:rsid w:val="00B02079"/>
    <w:rsid w:val="00B114DE"/>
    <w:rsid w:val="00B36C7C"/>
    <w:rsid w:val="00B5270D"/>
    <w:rsid w:val="00BC145C"/>
    <w:rsid w:val="00BE1A34"/>
    <w:rsid w:val="00BF3801"/>
    <w:rsid w:val="00C517CA"/>
    <w:rsid w:val="00CE4D4B"/>
    <w:rsid w:val="00CF0ADE"/>
    <w:rsid w:val="00D72AE2"/>
    <w:rsid w:val="00D7468A"/>
    <w:rsid w:val="00D74F3B"/>
    <w:rsid w:val="00D95314"/>
    <w:rsid w:val="00DA78F9"/>
    <w:rsid w:val="00DC083B"/>
    <w:rsid w:val="00DF4DF7"/>
    <w:rsid w:val="00E47B97"/>
    <w:rsid w:val="00E70BD8"/>
    <w:rsid w:val="00EB1517"/>
    <w:rsid w:val="00F44670"/>
    <w:rsid w:val="00F6285C"/>
    <w:rsid w:val="00F64B61"/>
    <w:rsid w:val="00F661F7"/>
    <w:rsid w:val="00F66548"/>
    <w:rsid w:val="00F8516B"/>
    <w:rsid w:val="00FA0638"/>
    <w:rsid w:val="00FA4397"/>
    <w:rsid w:val="00FB2B68"/>
    <w:rsid w:val="00FD4041"/>
    <w:rsid w:val="00FF33CB"/>
    <w:rsid w:val="00FF581A"/>
    <w:rsid w:val="06730A56"/>
    <w:rsid w:val="112D0F84"/>
    <w:rsid w:val="11313E0B"/>
    <w:rsid w:val="131A10D3"/>
    <w:rsid w:val="169B4F9B"/>
    <w:rsid w:val="1B38452B"/>
    <w:rsid w:val="1BFF50D3"/>
    <w:rsid w:val="1FB45526"/>
    <w:rsid w:val="229A0525"/>
    <w:rsid w:val="23BE2433"/>
    <w:rsid w:val="24412770"/>
    <w:rsid w:val="26B06383"/>
    <w:rsid w:val="26F44DF7"/>
    <w:rsid w:val="2E204D3E"/>
    <w:rsid w:val="30A21824"/>
    <w:rsid w:val="35F3ECA6"/>
    <w:rsid w:val="37EBF1D6"/>
    <w:rsid w:val="3CC77C37"/>
    <w:rsid w:val="3DEAEDDD"/>
    <w:rsid w:val="3DECDE23"/>
    <w:rsid w:val="48AF9479"/>
    <w:rsid w:val="53DA37F9"/>
    <w:rsid w:val="543B3459"/>
    <w:rsid w:val="547BD02A"/>
    <w:rsid w:val="56FC71D0"/>
    <w:rsid w:val="597742A5"/>
    <w:rsid w:val="639C3691"/>
    <w:rsid w:val="69FBC39B"/>
    <w:rsid w:val="6B271CD1"/>
    <w:rsid w:val="6BF44714"/>
    <w:rsid w:val="6D7E0361"/>
    <w:rsid w:val="6F3E480D"/>
    <w:rsid w:val="73F912D5"/>
    <w:rsid w:val="76FF6DF7"/>
    <w:rsid w:val="7B7EF228"/>
    <w:rsid w:val="7CFBF7BB"/>
    <w:rsid w:val="7D8A26EE"/>
    <w:rsid w:val="7EEF8185"/>
    <w:rsid w:val="8CE3C7CF"/>
    <w:rsid w:val="8FFBF629"/>
    <w:rsid w:val="AAEA1E7F"/>
    <w:rsid w:val="BBE39F66"/>
    <w:rsid w:val="BEDD8889"/>
    <w:rsid w:val="DBFF4A85"/>
    <w:rsid w:val="EDFF4BED"/>
    <w:rsid w:val="F6BBEED8"/>
    <w:rsid w:val="F7783A22"/>
    <w:rsid w:val="F7FF202F"/>
    <w:rsid w:val="F9E7A7C9"/>
    <w:rsid w:val="FB5FEE34"/>
    <w:rsid w:val="FF625A3D"/>
    <w:rsid w:val="FFFD6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FangSong_GB2312" w:cs="Times New Roman"/>
      <w:kern w:val="2"/>
      <w:sz w:val="32"/>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缩两字 Char"/>
    <w:basedOn w:val="1"/>
    <w:qFormat/>
    <w:uiPriority w:val="99"/>
    <w:rPr>
      <w:rFonts w:ascii="Verdana" w:hAnsi="Verdana"/>
      <w:bCs/>
    </w:rPr>
  </w:style>
  <w:style w:type="paragraph" w:styleId="3">
    <w:name w:val="Normal Indent"/>
    <w:basedOn w:val="1"/>
    <w:qFormat/>
    <w:uiPriority w:val="0"/>
    <w:pPr>
      <w:ind w:firstLine="880" w:firstLineChars="200"/>
    </w:pPr>
    <w:rPr>
      <w:rFonts w:eastAsia="宋体"/>
    </w:rPr>
  </w:style>
  <w:style w:type="paragraph" w:styleId="4">
    <w:name w:val="Body Text 3"/>
    <w:basedOn w:val="1"/>
    <w:link w:val="16"/>
    <w:qFormat/>
    <w:uiPriority w:val="0"/>
    <w:pPr>
      <w:spacing w:after="120" w:line="240" w:lineRule="auto"/>
    </w:pPr>
    <w:rPr>
      <w:rFonts w:eastAsia="宋体"/>
      <w:sz w:val="16"/>
      <w:szCs w:val="16"/>
    </w:rPr>
  </w:style>
  <w:style w:type="paragraph" w:styleId="5">
    <w:name w:val="Body Text"/>
    <w:basedOn w:val="1"/>
    <w:unhideWhenUsed/>
    <w:uiPriority w:val="99"/>
    <w:rPr>
      <w:rFonts w:ascii="Calibri" w:hAnsi="Calibri" w:eastAsia="宋体" w:cs="Times New Roman"/>
    </w:rPr>
  </w:style>
  <w:style w:type="paragraph" w:styleId="6">
    <w:name w:val="footer"/>
    <w:basedOn w:val="1"/>
    <w:link w:val="13"/>
    <w:unhideWhenUsed/>
    <w:qFormat/>
    <w:uiPriority w:val="0"/>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8">
    <w:name w:val="Normal (Web)"/>
    <w:basedOn w:val="1"/>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10">
    <w:name w:val="Strong"/>
    <w:qFormat/>
    <w:uiPriority w:val="22"/>
    <w:rPr>
      <w:b/>
      <w:bCs/>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页脚 Char"/>
    <w:qFormat/>
    <w:uiPriority w:val="0"/>
    <w:rPr>
      <w:rFonts w:ascii="Times New Roman" w:hAnsi="Times New Roman" w:eastAsia="FangSong_GB2312" w:cs="Times New Roman"/>
      <w:kern w:val="2"/>
      <w:sz w:val="18"/>
      <w:szCs w:val="18"/>
    </w:rPr>
  </w:style>
  <w:style w:type="character" w:customStyle="1" w:styleId="15">
    <w:name w:val="正文文本 3 字符"/>
    <w:basedOn w:val="9"/>
    <w:semiHidden/>
    <w:qFormat/>
    <w:uiPriority w:val="99"/>
    <w:rPr>
      <w:rFonts w:ascii="Times New Roman" w:hAnsi="Times New Roman" w:eastAsia="FangSong_GB2312" w:cs="Times New Roman"/>
      <w:sz w:val="16"/>
      <w:szCs w:val="16"/>
    </w:rPr>
  </w:style>
  <w:style w:type="character" w:customStyle="1" w:styleId="16">
    <w:name w:val="正文文本 3 字符1"/>
    <w:link w:val="4"/>
    <w:qFormat/>
    <w:uiPriority w:val="0"/>
    <w:rPr>
      <w:rFonts w:ascii="Times New Roman" w:hAnsi="Times New Roman" w:eastAsia="宋体" w:cs="Times New Roman"/>
      <w:sz w:val="16"/>
      <w:szCs w:val="16"/>
    </w:rPr>
  </w:style>
  <w:style w:type="paragraph" w:customStyle="1" w:styleId="17">
    <w:name w:val="Char1"/>
    <w:basedOn w:val="1"/>
    <w:qFormat/>
    <w:uiPriority w:val="0"/>
    <w:pPr>
      <w:tabs>
        <w:tab w:val="left" w:pos="840"/>
      </w:tabs>
      <w:spacing w:line="240" w:lineRule="auto"/>
      <w:ind w:left="840" w:hanging="420"/>
    </w:pPr>
    <w:rPr>
      <w:sz w:val="24"/>
      <w:szCs w:val="24"/>
    </w:rPr>
  </w:style>
  <w:style w:type="paragraph" w:customStyle="1" w:styleId="18">
    <w:name w:val="列出段落11"/>
    <w:basedOn w:val="1"/>
    <w:qFormat/>
    <w:uiPriority w:val="0"/>
    <w:pPr>
      <w:spacing w:line="240" w:lineRule="auto"/>
      <w:ind w:firstLine="420" w:firstLineChars="200"/>
    </w:pPr>
    <w:rPr>
      <w:rFonts w:ascii="Calibri" w:hAnsi="Calibri"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6188</Words>
  <Characters>6411</Characters>
  <Lines>46</Lines>
  <Paragraphs>13</Paragraphs>
  <TotalTime>55</TotalTime>
  <ScaleCrop>false</ScaleCrop>
  <LinksUpToDate>false</LinksUpToDate>
  <CharactersWithSpaces>6416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2023-06-26T20:50:00Z</dcterms:created>
  <dc:creator>MX001</dc:creator>
  <cp:lastModifiedBy>Administrator</cp:lastModifiedBy>
  <cp:lastPrinted>2023-08-07T14:28:44Z</cp:lastPrinted>
  <dcterms:modified xsi:type="dcterms:W3CDTF">2023-08-07T14:48:45Z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F50E5A69F02840A9B9181CD2A908A321_13</vt:lpwstr>
  </property>
</Properties>
</file>