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val="0"/>
        <w:topLinePunct w:val="0"/>
        <w:autoSpaceDE/>
        <w:autoSpaceDN/>
        <w:bidi w:val="0"/>
        <w:spacing w:line="580" w:lineRule="exact"/>
        <w:ind w:left="0" w:leftChars="0" w:right="0" w:rightChars="0"/>
        <w:jc w:val="center"/>
        <w:textAlignment w:val="auto"/>
        <w:outlineLvl w:val="9"/>
        <w:rPr>
          <w:rFonts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眉县食品安全事件应急预案</w:t>
      </w:r>
    </w:p>
    <w:p>
      <w:pPr>
        <w:pStyle w:val="8"/>
        <w:keepNext w:val="0"/>
        <w:keepLines w:val="0"/>
        <w:pageBreakBefore w:val="0"/>
        <w:widowControl w:val="0"/>
        <w:kinsoku/>
        <w:wordWrap/>
        <w:overflowPunct w:val="0"/>
        <w:topLinePunct w:val="0"/>
        <w:autoSpaceDE/>
        <w:autoSpaceDN/>
        <w:bidi w:val="0"/>
        <w:spacing w:line="580" w:lineRule="exact"/>
        <w:ind w:left="1320" w:leftChars="0" w:right="0" w:rightChars="0" w:hanging="1320" w:hangingChars="300"/>
        <w:jc w:val="center"/>
        <w:textAlignment w:val="auto"/>
        <w:outlineLvl w:val="9"/>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目</w:t>
      </w:r>
      <w:r>
        <w:rPr>
          <w:rFonts w:ascii="方正小标宋简体" w:hAnsi="仿宋" w:eastAsia="方正小标宋简体"/>
          <w:sz w:val="44"/>
          <w:szCs w:val="44"/>
          <w:lang w:eastAsia="zh-CN"/>
        </w:rPr>
        <w:t xml:space="preserve">  </w:t>
      </w:r>
      <w:r>
        <w:rPr>
          <w:rFonts w:hint="eastAsia" w:ascii="方正小标宋简体" w:hAnsi="仿宋" w:eastAsia="方正小标宋简体"/>
          <w:sz w:val="44"/>
          <w:szCs w:val="44"/>
          <w:lang w:eastAsia="zh-CN"/>
        </w:rPr>
        <w:t>录</w:t>
      </w:r>
    </w:p>
    <w:p>
      <w:pPr>
        <w:pStyle w:val="8"/>
        <w:keepNext w:val="0"/>
        <w:keepLines w:val="0"/>
        <w:pageBreakBefore w:val="0"/>
        <w:widowControl w:val="0"/>
        <w:kinsoku/>
        <w:wordWrap/>
        <w:overflowPunct w:val="0"/>
        <w:topLinePunct w:val="0"/>
        <w:autoSpaceDE/>
        <w:autoSpaceDN/>
        <w:bidi w:val="0"/>
        <w:spacing w:line="580" w:lineRule="exact"/>
        <w:ind w:left="1320" w:leftChars="0" w:right="0" w:rightChars="0" w:hanging="1320" w:hangingChars="300"/>
        <w:jc w:val="center"/>
        <w:textAlignment w:val="auto"/>
        <w:outlineLvl w:val="9"/>
        <w:rPr>
          <w:rFonts w:hint="eastAsia" w:ascii="方正小标宋简体" w:hAnsi="仿宋" w:eastAsia="方正小标宋简体"/>
          <w:sz w:val="44"/>
          <w:szCs w:val="44"/>
          <w:lang w:eastAsia="zh-CN"/>
        </w:rPr>
      </w:pPr>
    </w:p>
    <w:p>
      <w:pPr>
        <w:pStyle w:val="8"/>
        <w:keepNext w:val="0"/>
        <w:keepLines w:val="0"/>
        <w:pageBreakBefore w:val="0"/>
        <w:widowControl w:val="0"/>
        <w:kinsoku/>
        <w:wordWrap/>
        <w:overflowPunct w:val="0"/>
        <w:topLinePunct w:val="0"/>
        <w:autoSpaceDE/>
        <w:autoSpaceDN/>
        <w:bidi w:val="0"/>
        <w:spacing w:line="580" w:lineRule="exact"/>
        <w:ind w:right="0" w:rightChars="0"/>
        <w:jc w:val="left"/>
        <w:textAlignment w:val="auto"/>
        <w:outlineLvl w:val="9"/>
        <w:rPr>
          <w:rFonts w:ascii="黑体" w:eastAsia="黑体"/>
          <w:sz w:val="32"/>
          <w:szCs w:val="32"/>
          <w:lang w:eastAsia="zh-CN"/>
        </w:rPr>
      </w:pPr>
      <w:r>
        <w:rPr>
          <w:rFonts w:ascii="黑体" w:eastAsia="黑体"/>
          <w:sz w:val="32"/>
          <w:szCs w:val="32"/>
          <w:lang w:eastAsia="zh-CN"/>
        </w:rPr>
        <w:t xml:space="preserve">1. </w:t>
      </w:r>
      <w:r>
        <w:rPr>
          <w:rFonts w:hint="eastAsia" w:ascii="黑体" w:eastAsia="黑体"/>
          <w:sz w:val="32"/>
          <w:szCs w:val="32"/>
          <w:lang w:eastAsia="zh-CN"/>
        </w:rPr>
        <w:t>总则</w:t>
      </w:r>
    </w:p>
    <w:p>
      <w:pPr>
        <w:pStyle w:val="8"/>
        <w:keepNext w:val="0"/>
        <w:keepLines w:val="0"/>
        <w:pageBreakBefore w:val="0"/>
        <w:widowControl w:val="0"/>
        <w:kinsoku/>
        <w:wordWrap/>
        <w:overflowPunct w:val="0"/>
        <w:topLinePunct w:val="0"/>
        <w:autoSpaceDE/>
        <w:autoSpaceDN/>
        <w:bidi w:val="0"/>
        <w:spacing w:line="580" w:lineRule="exact"/>
        <w:ind w:left="0" w:leftChars="0" w:right="0" w:rightChars="0"/>
        <w:textAlignment w:val="auto"/>
        <w:outlineLvl w:val="9"/>
        <w:rPr>
          <w:rFonts w:ascii="仿宋_GB2312" w:hAnsi="仿宋_GB2312" w:eastAsia="仿宋_GB2312"/>
          <w:sz w:val="32"/>
          <w:szCs w:val="32"/>
          <w:lang w:eastAsia="zh-CN"/>
        </w:rPr>
      </w:pPr>
      <w:r>
        <w:rPr>
          <w:rFonts w:ascii="仿宋_GB2312" w:hAnsi="仿宋_GB2312" w:eastAsia="仿宋_GB2312"/>
          <w:sz w:val="32"/>
          <w:szCs w:val="32"/>
          <w:lang w:eastAsia="zh-CN"/>
        </w:rPr>
        <w:t xml:space="preserve">1.1  </w:t>
      </w:r>
      <w:r>
        <w:rPr>
          <w:rFonts w:hint="eastAsia" w:ascii="仿宋_GB2312" w:hAnsi="仿宋_GB2312" w:eastAsia="仿宋_GB2312"/>
          <w:sz w:val="32"/>
          <w:szCs w:val="32"/>
          <w:lang w:eastAsia="zh-CN"/>
        </w:rPr>
        <w:t>编制目的</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1.2  </w:t>
      </w:r>
      <w:r>
        <w:rPr>
          <w:rFonts w:hint="eastAsia" w:ascii="仿宋_GB2312" w:hAnsi="仿宋_GB2312" w:eastAsia="仿宋_GB2312" w:cs="仿宋_GB2312"/>
          <w:sz w:val="32"/>
          <w:szCs w:val="32"/>
          <w:lang w:eastAsia="zh-CN"/>
        </w:rPr>
        <w:t>编制依据</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1.3  </w:t>
      </w:r>
      <w:r>
        <w:rPr>
          <w:rFonts w:hint="eastAsia" w:ascii="仿宋_GB2312" w:hAnsi="仿宋_GB2312" w:eastAsia="仿宋_GB2312" w:cs="仿宋_GB2312"/>
          <w:sz w:val="32"/>
          <w:szCs w:val="32"/>
          <w:lang w:eastAsia="zh-CN"/>
        </w:rPr>
        <w:t>适用范围</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1.4  </w:t>
      </w:r>
      <w:r>
        <w:rPr>
          <w:rFonts w:hint="eastAsia" w:ascii="仿宋_GB2312" w:hAnsi="仿宋_GB2312" w:eastAsia="仿宋_GB2312" w:cs="仿宋_GB2312"/>
          <w:sz w:val="32"/>
          <w:szCs w:val="32"/>
          <w:lang w:eastAsia="zh-CN"/>
        </w:rPr>
        <w:t>事件分级</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1.5  </w:t>
      </w:r>
      <w:r>
        <w:rPr>
          <w:rFonts w:hint="eastAsia" w:ascii="仿宋_GB2312" w:hAnsi="仿宋_GB2312" w:eastAsia="仿宋_GB2312" w:cs="仿宋_GB2312"/>
          <w:sz w:val="32"/>
          <w:szCs w:val="32"/>
          <w:lang w:eastAsia="zh-CN"/>
        </w:rPr>
        <w:t>工作原则</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黑体" w:hAnsi="黑体" w:eastAsia="黑体" w:cs="黑体"/>
          <w:sz w:val="32"/>
          <w:szCs w:val="32"/>
          <w:lang w:eastAsia="zh-CN"/>
        </w:rPr>
      </w:pPr>
      <w:r>
        <w:rPr>
          <w:rFonts w:ascii="黑体" w:hAnsi="黑体" w:eastAsia="黑体" w:cs="黑体"/>
          <w:sz w:val="32"/>
          <w:szCs w:val="32"/>
          <w:lang w:eastAsia="zh-CN"/>
        </w:rPr>
        <w:t xml:space="preserve">2. </w:t>
      </w:r>
      <w:r>
        <w:rPr>
          <w:rFonts w:hint="eastAsia" w:ascii="黑体" w:hAnsi="黑体" w:eastAsia="黑体" w:cs="黑体"/>
          <w:sz w:val="32"/>
          <w:szCs w:val="32"/>
          <w:lang w:eastAsia="zh-CN"/>
        </w:rPr>
        <w:t>应急指挥机构及其职责</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2.1  </w:t>
      </w:r>
      <w:r>
        <w:rPr>
          <w:rFonts w:hint="eastAsia" w:ascii="仿宋_GB2312" w:hAnsi="仿宋_GB2312" w:eastAsia="仿宋_GB2312" w:cs="仿宋_GB2312"/>
          <w:sz w:val="32"/>
          <w:szCs w:val="32"/>
          <w:lang w:eastAsia="zh-CN"/>
        </w:rPr>
        <w:t>县食品安全事件应急组织机构</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2.2  </w:t>
      </w:r>
      <w:r>
        <w:rPr>
          <w:rFonts w:hint="eastAsia" w:ascii="仿宋_GB2312" w:hAnsi="仿宋_GB2312" w:eastAsia="仿宋_GB2312" w:cs="仿宋_GB2312"/>
          <w:sz w:val="32"/>
          <w:szCs w:val="32"/>
          <w:lang w:eastAsia="zh-CN"/>
        </w:rPr>
        <w:t>县应急指挥部职责</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2.3  </w:t>
      </w:r>
      <w:r>
        <w:rPr>
          <w:rFonts w:hint="eastAsia" w:ascii="仿宋_GB2312" w:hAnsi="仿宋_GB2312" w:eastAsia="仿宋_GB2312" w:cs="仿宋_GB2312"/>
          <w:sz w:val="32"/>
          <w:szCs w:val="32"/>
          <w:lang w:eastAsia="zh-CN"/>
        </w:rPr>
        <w:t>县应急指挥部办公室职责</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2.4  </w:t>
      </w:r>
      <w:r>
        <w:rPr>
          <w:rFonts w:hint="eastAsia" w:ascii="仿宋_GB2312" w:hAnsi="仿宋_GB2312" w:eastAsia="仿宋_GB2312" w:cs="仿宋_GB2312"/>
          <w:sz w:val="32"/>
          <w:szCs w:val="32"/>
          <w:lang w:eastAsia="zh-CN"/>
        </w:rPr>
        <w:t>县应急指挥部成员单位职责</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2.5  </w:t>
      </w:r>
      <w:r>
        <w:rPr>
          <w:rFonts w:hint="eastAsia" w:ascii="仿宋_GB2312" w:hAnsi="仿宋_GB2312" w:eastAsia="仿宋_GB2312" w:cs="仿宋_GB2312"/>
          <w:sz w:val="32"/>
          <w:szCs w:val="32"/>
          <w:lang w:eastAsia="zh-CN"/>
        </w:rPr>
        <w:t>县应急指挥部工作组组成及职责</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2.6  </w:t>
      </w:r>
      <w:r>
        <w:rPr>
          <w:rFonts w:hint="eastAsia" w:ascii="仿宋_GB2312" w:hAnsi="仿宋_GB2312" w:eastAsia="仿宋_GB2312" w:cs="仿宋_GB2312"/>
          <w:sz w:val="32"/>
          <w:szCs w:val="32"/>
          <w:lang w:eastAsia="zh-CN"/>
        </w:rPr>
        <w:t>县应急处置检验检测机构职责</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2.7  </w:t>
      </w:r>
      <w:r>
        <w:rPr>
          <w:rFonts w:hint="eastAsia" w:ascii="仿宋_GB2312" w:hAnsi="仿宋_GB2312" w:eastAsia="仿宋_GB2312" w:cs="仿宋_GB2312"/>
          <w:sz w:val="32"/>
          <w:szCs w:val="32"/>
          <w:lang w:eastAsia="zh-CN"/>
        </w:rPr>
        <w:t>县应急处置专家队伍职责</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2.8  </w:t>
      </w:r>
      <w:r>
        <w:rPr>
          <w:rFonts w:hint="eastAsia" w:ascii="仿宋_GB2312" w:hAnsi="仿宋_GB2312" w:eastAsia="仿宋_GB2312" w:cs="仿宋_GB2312"/>
          <w:sz w:val="32"/>
          <w:szCs w:val="32"/>
          <w:lang w:eastAsia="zh-CN"/>
        </w:rPr>
        <w:t>镇（街）应急指挥部</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黑体" w:hAnsi="黑体" w:eastAsia="黑体" w:cs="黑体"/>
          <w:sz w:val="32"/>
          <w:szCs w:val="32"/>
          <w:lang w:eastAsia="zh-CN"/>
        </w:rPr>
      </w:pPr>
      <w:r>
        <w:rPr>
          <w:rFonts w:ascii="黑体" w:hAnsi="黑体" w:eastAsia="黑体" w:cs="黑体"/>
          <w:sz w:val="32"/>
          <w:szCs w:val="32"/>
          <w:lang w:eastAsia="zh-CN"/>
        </w:rPr>
        <w:t xml:space="preserve">3. </w:t>
      </w:r>
      <w:r>
        <w:rPr>
          <w:rFonts w:hint="eastAsia" w:ascii="黑体" w:hAnsi="黑体" w:eastAsia="黑体" w:cs="黑体"/>
          <w:sz w:val="32"/>
          <w:szCs w:val="32"/>
          <w:lang w:eastAsia="zh-CN"/>
        </w:rPr>
        <w:t>监测、报告与预警</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3.1  </w:t>
      </w:r>
      <w:r>
        <w:rPr>
          <w:rFonts w:hint="eastAsia" w:ascii="仿宋_GB2312" w:hAnsi="仿宋_GB2312" w:eastAsia="仿宋_GB2312" w:cs="仿宋_GB2312"/>
          <w:sz w:val="32"/>
          <w:szCs w:val="32"/>
          <w:lang w:eastAsia="zh-CN"/>
        </w:rPr>
        <w:t>信息监测</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3.2  </w:t>
      </w:r>
      <w:r>
        <w:rPr>
          <w:rFonts w:hint="eastAsia" w:ascii="仿宋_GB2312" w:hAnsi="仿宋_GB2312" w:eastAsia="仿宋_GB2312" w:cs="仿宋_GB2312"/>
          <w:sz w:val="32"/>
          <w:szCs w:val="32"/>
          <w:lang w:eastAsia="zh-CN"/>
        </w:rPr>
        <w:t>信息报告</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3.3  </w:t>
      </w:r>
      <w:r>
        <w:rPr>
          <w:rFonts w:hint="eastAsia" w:ascii="仿宋_GB2312" w:hAnsi="仿宋_GB2312" w:eastAsia="仿宋_GB2312" w:cs="仿宋_GB2312"/>
          <w:sz w:val="32"/>
          <w:szCs w:val="32"/>
          <w:lang w:eastAsia="zh-CN"/>
        </w:rPr>
        <w:t>预警发布</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黑体" w:hAnsi="黑体" w:eastAsia="黑体" w:cs="黑体"/>
          <w:sz w:val="32"/>
          <w:szCs w:val="32"/>
          <w:lang w:eastAsia="zh-CN"/>
        </w:rPr>
      </w:pPr>
      <w:r>
        <w:rPr>
          <w:rFonts w:ascii="黑体" w:hAnsi="黑体" w:eastAsia="黑体" w:cs="黑体"/>
          <w:sz w:val="32"/>
          <w:szCs w:val="32"/>
          <w:lang w:eastAsia="zh-CN"/>
        </w:rPr>
        <w:t xml:space="preserve">4. </w:t>
      </w:r>
      <w:r>
        <w:rPr>
          <w:rFonts w:hint="eastAsia" w:ascii="黑体" w:hAnsi="黑体" w:eastAsia="黑体" w:cs="黑体"/>
          <w:sz w:val="32"/>
          <w:szCs w:val="32"/>
          <w:lang w:eastAsia="zh-CN"/>
        </w:rPr>
        <w:t>应急响应</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4.1  </w:t>
      </w:r>
      <w:r>
        <w:rPr>
          <w:rFonts w:hint="eastAsia" w:ascii="仿宋_GB2312" w:hAnsi="仿宋_GB2312" w:eastAsia="仿宋_GB2312" w:cs="仿宋_GB2312"/>
          <w:sz w:val="32"/>
          <w:szCs w:val="32"/>
          <w:lang w:eastAsia="zh-CN"/>
        </w:rPr>
        <w:t>先期处置</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4.2  </w:t>
      </w:r>
      <w:r>
        <w:rPr>
          <w:rFonts w:hint="eastAsia" w:ascii="仿宋_GB2312" w:hAnsi="仿宋_GB2312" w:eastAsia="仿宋_GB2312" w:cs="仿宋_GB2312"/>
          <w:sz w:val="32"/>
          <w:szCs w:val="32"/>
          <w:lang w:eastAsia="zh-CN"/>
        </w:rPr>
        <w:t>事件评估</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4.3  </w:t>
      </w:r>
      <w:r>
        <w:rPr>
          <w:rFonts w:hint="eastAsia" w:ascii="仿宋_GB2312" w:hAnsi="仿宋_GB2312" w:eastAsia="仿宋_GB2312" w:cs="仿宋_GB2312"/>
          <w:sz w:val="32"/>
          <w:szCs w:val="32"/>
          <w:lang w:eastAsia="zh-CN"/>
        </w:rPr>
        <w:t>响应启动</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4.4  </w:t>
      </w:r>
      <w:r>
        <w:rPr>
          <w:rFonts w:hint="eastAsia" w:ascii="仿宋_GB2312" w:hAnsi="仿宋_GB2312" w:eastAsia="仿宋_GB2312" w:cs="仿宋_GB2312"/>
          <w:sz w:val="32"/>
          <w:szCs w:val="32"/>
          <w:lang w:eastAsia="zh-CN"/>
        </w:rPr>
        <w:t>处置措施</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4.5  </w:t>
      </w:r>
      <w:r>
        <w:rPr>
          <w:rFonts w:hint="eastAsia" w:ascii="仿宋_GB2312" w:hAnsi="仿宋_GB2312" w:eastAsia="仿宋_GB2312" w:cs="仿宋_GB2312"/>
          <w:sz w:val="32"/>
          <w:szCs w:val="32"/>
          <w:lang w:eastAsia="zh-CN"/>
        </w:rPr>
        <w:t>检测分析评估</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4.6  </w:t>
      </w:r>
      <w:r>
        <w:rPr>
          <w:rFonts w:hint="eastAsia" w:ascii="仿宋_GB2312" w:hAnsi="仿宋_GB2312" w:eastAsia="仿宋_GB2312" w:cs="仿宋_GB2312"/>
          <w:sz w:val="32"/>
          <w:szCs w:val="32"/>
          <w:lang w:eastAsia="zh-CN"/>
        </w:rPr>
        <w:t>响应级别调整及终止</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4.7  </w:t>
      </w:r>
      <w:r>
        <w:rPr>
          <w:rFonts w:hint="eastAsia" w:ascii="仿宋_GB2312" w:hAnsi="仿宋_GB2312" w:eastAsia="仿宋_GB2312" w:cs="仿宋_GB2312"/>
          <w:sz w:val="32"/>
          <w:szCs w:val="32"/>
          <w:lang w:eastAsia="zh-CN"/>
        </w:rPr>
        <w:t>信息发布</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4.8  </w:t>
      </w:r>
      <w:r>
        <w:rPr>
          <w:rFonts w:hint="eastAsia" w:ascii="仿宋_GB2312" w:hAnsi="仿宋_GB2312" w:eastAsia="仿宋_GB2312" w:cs="仿宋_GB2312"/>
          <w:sz w:val="32"/>
          <w:szCs w:val="32"/>
          <w:lang w:eastAsia="zh-CN"/>
        </w:rPr>
        <w:t>后期处置</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 xml:space="preserve">5. </w:t>
      </w:r>
      <w:r>
        <w:rPr>
          <w:rFonts w:hint="eastAsia" w:ascii="黑体" w:hAnsi="黑体" w:eastAsia="黑体" w:cs="黑体"/>
          <w:sz w:val="32"/>
          <w:szCs w:val="32"/>
          <w:lang w:eastAsia="zh-CN"/>
        </w:rPr>
        <w:t>应急保障</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5.1  </w:t>
      </w:r>
      <w:r>
        <w:rPr>
          <w:rFonts w:hint="eastAsia" w:ascii="仿宋_GB2312" w:hAnsi="仿宋_GB2312" w:eastAsia="仿宋_GB2312" w:cs="仿宋_GB2312"/>
          <w:sz w:val="32"/>
          <w:szCs w:val="32"/>
          <w:lang w:eastAsia="zh-CN"/>
        </w:rPr>
        <w:t>应急机制保障</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5.2  </w:t>
      </w:r>
      <w:r>
        <w:rPr>
          <w:rFonts w:hint="eastAsia" w:ascii="仿宋_GB2312" w:hAnsi="仿宋_GB2312" w:eastAsia="仿宋_GB2312" w:cs="仿宋_GB2312"/>
          <w:sz w:val="32"/>
          <w:szCs w:val="32"/>
          <w:lang w:eastAsia="zh-CN"/>
        </w:rPr>
        <w:t>信息保障</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5.3  </w:t>
      </w:r>
      <w:r>
        <w:rPr>
          <w:rFonts w:hint="eastAsia" w:ascii="仿宋_GB2312" w:hAnsi="仿宋_GB2312" w:eastAsia="仿宋_GB2312" w:cs="仿宋_GB2312"/>
          <w:sz w:val="32"/>
          <w:szCs w:val="32"/>
          <w:lang w:eastAsia="zh-CN"/>
        </w:rPr>
        <w:t>医疗保障</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5.4  </w:t>
      </w:r>
      <w:r>
        <w:rPr>
          <w:rFonts w:hint="eastAsia" w:ascii="仿宋_GB2312" w:hAnsi="仿宋_GB2312" w:eastAsia="仿宋_GB2312" w:cs="仿宋_GB2312"/>
          <w:sz w:val="32"/>
          <w:szCs w:val="32"/>
          <w:lang w:eastAsia="zh-CN"/>
        </w:rPr>
        <w:t>人员及技术保障</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5.5  </w:t>
      </w:r>
      <w:r>
        <w:rPr>
          <w:rFonts w:hint="eastAsia" w:ascii="仿宋_GB2312" w:hAnsi="仿宋_GB2312" w:eastAsia="仿宋_GB2312" w:cs="仿宋_GB2312"/>
          <w:sz w:val="32"/>
          <w:szCs w:val="32"/>
          <w:lang w:eastAsia="zh-CN"/>
        </w:rPr>
        <w:t>物资经费保障</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5.6  </w:t>
      </w:r>
      <w:r>
        <w:rPr>
          <w:rFonts w:hint="eastAsia" w:ascii="仿宋_GB2312" w:hAnsi="仿宋_GB2312" w:eastAsia="仿宋_GB2312" w:cs="仿宋_GB2312"/>
          <w:sz w:val="32"/>
          <w:szCs w:val="32"/>
          <w:lang w:eastAsia="zh-CN"/>
        </w:rPr>
        <w:t>社会动员</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5.7  </w:t>
      </w:r>
      <w:r>
        <w:rPr>
          <w:rFonts w:hint="eastAsia" w:ascii="仿宋_GB2312" w:hAnsi="仿宋_GB2312" w:eastAsia="仿宋_GB2312" w:cs="仿宋_GB2312"/>
          <w:sz w:val="32"/>
          <w:szCs w:val="32"/>
          <w:lang w:eastAsia="zh-CN"/>
        </w:rPr>
        <w:t>应急演练</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5.8  </w:t>
      </w:r>
      <w:r>
        <w:rPr>
          <w:rFonts w:hint="eastAsia" w:ascii="仿宋_GB2312" w:hAnsi="仿宋_GB2312" w:eastAsia="仿宋_GB2312" w:cs="仿宋_GB2312"/>
          <w:sz w:val="32"/>
          <w:szCs w:val="32"/>
          <w:lang w:eastAsia="zh-CN"/>
        </w:rPr>
        <w:t>宣教培训</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5.9  </w:t>
      </w:r>
      <w:r>
        <w:rPr>
          <w:rFonts w:hint="eastAsia" w:ascii="仿宋_GB2312" w:hAnsi="仿宋_GB2312" w:eastAsia="仿宋_GB2312" w:cs="仿宋_GB2312"/>
          <w:sz w:val="32"/>
          <w:szCs w:val="32"/>
          <w:lang w:eastAsia="zh-CN"/>
        </w:rPr>
        <w:t>奖惩</w:t>
      </w:r>
    </w:p>
    <w:p>
      <w:pPr>
        <w:keepNext w:val="0"/>
        <w:keepLines w:val="0"/>
        <w:pageBreakBefore w:val="0"/>
        <w:widowControl w:val="0"/>
        <w:numPr>
          <w:ilvl w:val="0"/>
          <w:numId w:val="0"/>
        </w:numPr>
        <w:kinsoku/>
        <w:wordWrap/>
        <w:overflowPunct w:val="0"/>
        <w:topLinePunct w:val="0"/>
        <w:autoSpaceDE/>
        <w:autoSpaceDN/>
        <w:bidi w:val="0"/>
        <w:spacing w:after="0" w:line="580" w:lineRule="exact"/>
        <w:ind w:leftChars="0" w:right="0" w:rightChars="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6. </w:t>
      </w:r>
      <w:r>
        <w:rPr>
          <w:rFonts w:hint="eastAsia" w:ascii="黑体" w:hAnsi="黑体" w:eastAsia="黑体" w:cs="黑体"/>
          <w:sz w:val="32"/>
          <w:szCs w:val="32"/>
          <w:lang w:eastAsia="zh-CN"/>
        </w:rPr>
        <w:t>附则</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6.1  </w:t>
      </w:r>
      <w:r>
        <w:rPr>
          <w:rFonts w:hint="eastAsia" w:ascii="仿宋_GB2312" w:hAnsi="仿宋_GB2312" w:eastAsia="仿宋_GB2312" w:cs="仿宋_GB2312"/>
          <w:sz w:val="32"/>
          <w:szCs w:val="32"/>
          <w:lang w:eastAsia="zh-CN"/>
        </w:rPr>
        <w:t>预案管理及更新</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6.2  </w:t>
      </w:r>
      <w:r>
        <w:rPr>
          <w:rFonts w:hint="eastAsia" w:ascii="仿宋_GB2312" w:hAnsi="仿宋_GB2312" w:eastAsia="仿宋_GB2312" w:cs="仿宋_GB2312"/>
          <w:sz w:val="32"/>
          <w:szCs w:val="32"/>
          <w:lang w:eastAsia="zh-CN"/>
        </w:rPr>
        <w:t>解释部门</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6.3  </w:t>
      </w:r>
      <w:r>
        <w:rPr>
          <w:rFonts w:hint="eastAsia" w:ascii="仿宋_GB2312" w:hAnsi="仿宋_GB2312" w:eastAsia="仿宋_GB2312" w:cs="仿宋_GB2312"/>
          <w:sz w:val="32"/>
          <w:szCs w:val="32"/>
          <w:lang w:eastAsia="zh-CN"/>
        </w:rPr>
        <w:t>名词术语</w:t>
      </w: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 xml:space="preserve">6.4  </w:t>
      </w:r>
      <w:r>
        <w:rPr>
          <w:rFonts w:hint="eastAsia" w:ascii="仿宋_GB2312" w:hAnsi="仿宋_GB2312" w:eastAsia="仿宋_GB2312" w:cs="仿宋_GB2312"/>
          <w:sz w:val="32"/>
          <w:szCs w:val="32"/>
          <w:lang w:eastAsia="zh-CN"/>
        </w:rPr>
        <w:t>实施时间</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firstLineChars="200"/>
        <w:textAlignment w:val="auto"/>
        <w:outlineLvl w:val="9"/>
        <w:rPr>
          <w:rFonts w:ascii="黑体" w:hAnsi="黑体" w:eastAsia="黑体" w:cs="黑体"/>
          <w:sz w:val="32"/>
          <w:szCs w:val="32"/>
          <w:lang w:eastAsia="zh-CN"/>
        </w:rPr>
      </w:pPr>
    </w:p>
    <w:p>
      <w:pPr>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ascii="黑体" w:hAnsi="黑体" w:eastAsia="黑体" w:cs="黑体"/>
          <w:sz w:val="32"/>
          <w:szCs w:val="32"/>
          <w:lang w:eastAsia="zh-CN"/>
        </w:rPr>
      </w:pP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firstLineChars="200"/>
        <w:jc w:val="both"/>
        <w:textAlignment w:val="auto"/>
        <w:outlineLvl w:val="9"/>
        <w:rPr>
          <w:rFonts w:ascii="黑体" w:hAnsi="黑体" w:eastAsia="黑体" w:cs="黑体"/>
          <w:sz w:val="32"/>
          <w:szCs w:val="32"/>
          <w:lang w:eastAsia="zh-CN"/>
        </w:rPr>
      </w:pPr>
      <w:r>
        <w:rPr>
          <w:rFonts w:ascii="黑体" w:hAnsi="黑体" w:eastAsia="黑体" w:cs="黑体"/>
          <w:sz w:val="32"/>
          <w:szCs w:val="32"/>
          <w:lang w:eastAsia="zh-CN"/>
        </w:rPr>
        <w:t>1.</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1.1 </w:t>
      </w:r>
      <w:r>
        <w:rPr>
          <w:rFonts w:hint="eastAsia" w:ascii="楷体_GB2312" w:hAnsi="楷体_GB2312" w:eastAsia="楷体_GB2312" w:cs="楷体_GB2312"/>
          <w:b/>
          <w:bCs/>
          <w:sz w:val="32"/>
          <w:szCs w:val="32"/>
          <w:lang w:eastAsia="zh-CN"/>
        </w:rPr>
        <w:t>编制目的</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健全应对食品安全事件的运行机制，有效预防、积极应对、及时控制食品安全事件，高效组织应急处置工作，最大限度减少食品安全事件的社会危害，保障公众身体健康与生命安全，维护正常的社会经济秩序。</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1.2 </w:t>
      </w:r>
      <w:r>
        <w:rPr>
          <w:rFonts w:hint="eastAsia" w:ascii="楷体_GB2312" w:hAnsi="楷体_GB2312" w:eastAsia="楷体_GB2312" w:cs="楷体_GB2312"/>
          <w:b/>
          <w:bCs/>
          <w:sz w:val="32"/>
          <w:szCs w:val="32"/>
          <w:lang w:eastAsia="zh-CN"/>
        </w:rPr>
        <w:t>编制依据</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据《中华人民共和国突发事件应对法》《中华人民共和国食品安全法》《中华人民共和国食品安全法实施条例》《突发公共卫生事件应急条例》《宝鸡市突发事件应急预案管理办法》等法律法规，结合我县实际，制定本预案。</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1.3 </w:t>
      </w:r>
      <w:r>
        <w:rPr>
          <w:rFonts w:hint="eastAsia" w:ascii="楷体_GB2312" w:hAnsi="楷体_GB2312" w:eastAsia="楷体_GB2312" w:cs="楷体_GB2312"/>
          <w:b/>
          <w:bCs/>
          <w:sz w:val="32"/>
          <w:szCs w:val="32"/>
          <w:lang w:eastAsia="zh-CN"/>
        </w:rPr>
        <w:t>适用范围</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firstLineChars="20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本预案适用于我</w:t>
      </w:r>
      <w:r>
        <w:rPr>
          <w:rFonts w:hint="eastAsia" w:ascii="仿宋_GB2312" w:hAnsi="宋体" w:eastAsia="仿宋_GB2312" w:cs="宋体"/>
          <w:color w:val="000000"/>
          <w:kern w:val="0"/>
          <w:sz w:val="32"/>
          <w:szCs w:val="32"/>
          <w:lang w:eastAsia="zh-CN"/>
        </w:rPr>
        <w:t>县</w:t>
      </w:r>
      <w:r>
        <w:rPr>
          <w:rFonts w:hint="eastAsia" w:ascii="仿宋_GB2312" w:hAnsi="宋体" w:eastAsia="仿宋_GB2312" w:cs="宋体"/>
          <w:color w:val="000000"/>
          <w:kern w:val="0"/>
          <w:sz w:val="32"/>
          <w:szCs w:val="32"/>
        </w:rPr>
        <w:t>行政区域内发生的食品安全突发事件防范应对工作。</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firstLineChars="200"/>
        <w:jc w:val="both"/>
        <w:textAlignment w:val="auto"/>
        <w:outlineLvl w:val="9"/>
        <w:rPr>
          <w:rFonts w:ascii="仿宋_GB2312" w:hAnsi="宋体" w:eastAsia="仿宋_GB2312" w:cs="宋体"/>
          <w:color w:val="000000"/>
          <w:kern w:val="0"/>
          <w:sz w:val="32"/>
          <w:szCs w:val="32"/>
        </w:rPr>
      </w:pPr>
      <w:bookmarkStart w:id="0" w:name="OLE_LINK4"/>
      <w:r>
        <w:rPr>
          <w:rFonts w:hint="eastAsia" w:ascii="仿宋_GB2312" w:hAnsi="宋体" w:eastAsia="仿宋_GB2312" w:cs="宋体"/>
          <w:color w:val="000000"/>
          <w:kern w:val="0"/>
          <w:sz w:val="32"/>
          <w:szCs w:val="32"/>
        </w:rPr>
        <w:t>食源性疾病中涉及传染病疫情的，按照《中华人民共和国传染病防治法》《国家突发公共卫生事件应急预案》和《</w:t>
      </w:r>
      <w:r>
        <w:rPr>
          <w:rFonts w:hint="eastAsia" w:ascii="仿宋_GB2312" w:hAnsi="宋体" w:eastAsia="仿宋_GB2312" w:cs="宋体"/>
          <w:color w:val="000000"/>
          <w:kern w:val="0"/>
          <w:sz w:val="32"/>
          <w:szCs w:val="32"/>
          <w:lang w:val="en-US" w:eastAsia="zh-CN"/>
        </w:rPr>
        <w:t>眉县突发公共卫生事件应急预案</w:t>
      </w:r>
      <w:r>
        <w:rPr>
          <w:rFonts w:hint="eastAsia" w:ascii="仿宋_GB2312" w:hAnsi="宋体" w:eastAsia="仿宋_GB2312" w:cs="宋体"/>
          <w:color w:val="000000"/>
          <w:kern w:val="0"/>
          <w:sz w:val="32"/>
          <w:szCs w:val="32"/>
        </w:rPr>
        <w:t>》等相关规定开展疫情防控和应急处置</w:t>
      </w:r>
      <w:bookmarkEnd w:id="0"/>
      <w:r>
        <w:rPr>
          <w:rFonts w:hint="eastAsia" w:ascii="仿宋_GB2312" w:hAnsi="宋体" w:eastAsia="仿宋_GB2312" w:cs="宋体"/>
          <w:color w:val="000000"/>
          <w:kern w:val="0"/>
          <w:sz w:val="32"/>
          <w:szCs w:val="32"/>
        </w:rPr>
        <w:t>。</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1.4 </w:t>
      </w:r>
      <w:r>
        <w:rPr>
          <w:rFonts w:hint="eastAsia" w:ascii="楷体_GB2312" w:hAnsi="楷体_GB2312" w:eastAsia="楷体_GB2312" w:cs="楷体_GB2312"/>
          <w:b/>
          <w:bCs/>
          <w:sz w:val="32"/>
          <w:szCs w:val="32"/>
          <w:lang w:eastAsia="zh-CN"/>
        </w:rPr>
        <w:t>事件分级</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结合我县实际，按照危害程度将食品安全事件分为：级别食品安全事件和非级别食品安全事件。级别食品安全事件共分四级，即特别重大食品安全事件（Ⅰ级）、重大食品安全事件（Ⅱ级）、较大食品安全事件（Ⅲ级）和一般食品安全事件（Ⅳ级）。前三级食品安全事件按照相关规定上报后，在上级统一指挥下开展工作。Ⅳ级由县人民政府启动应急响应，并统一指挥处置。</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b/>
          <w:bCs w:val="0"/>
          <w:sz w:val="32"/>
          <w:szCs w:val="32"/>
          <w:lang w:eastAsia="zh-CN"/>
        </w:rPr>
      </w:pPr>
      <w:r>
        <w:rPr>
          <w:rFonts w:ascii="仿宋_GB2312" w:hAnsi="仿宋_GB2312" w:eastAsia="仿宋_GB2312" w:cs="仿宋_GB2312"/>
          <w:b/>
          <w:bCs w:val="0"/>
          <w:sz w:val="32"/>
          <w:szCs w:val="32"/>
          <w:lang w:eastAsia="zh-CN"/>
        </w:rPr>
        <w:t>1.4.1 </w:t>
      </w:r>
      <w:r>
        <w:rPr>
          <w:rFonts w:hint="eastAsia" w:ascii="仿宋_GB2312" w:hAnsi="仿宋_GB2312" w:eastAsia="仿宋_GB2312" w:cs="仿宋_GB2312"/>
          <w:b/>
          <w:bCs w:val="0"/>
          <w:sz w:val="32"/>
          <w:szCs w:val="32"/>
          <w:lang w:eastAsia="zh-CN"/>
        </w:rPr>
        <w:t>特别重大食品安全事件（Ⅰ级）</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符合下列情形之一的，为特别重大食品安全事件：</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t>）事件危害特别严重，对２个以上省份造成严重威胁，并有进一步扩散趋势的；</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）超出事发地省级人民政府处置能力水平的；</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eastAsia="zh-CN"/>
        </w:rPr>
        <w:t>）发生跨境（包括港澳台地区）食品安全事件，造成特别严重社会影响的；</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eastAsia="zh-CN"/>
        </w:rPr>
        <w:t>）国务院认为需要由国务院或国务院授权有关部门负责处置的。</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b/>
          <w:bCs w:val="0"/>
          <w:sz w:val="32"/>
          <w:szCs w:val="32"/>
          <w:lang w:eastAsia="zh-CN"/>
        </w:rPr>
      </w:pPr>
      <w:r>
        <w:rPr>
          <w:rFonts w:ascii="仿宋_GB2312" w:hAnsi="仿宋_GB2312" w:eastAsia="仿宋_GB2312" w:cs="仿宋_GB2312"/>
          <w:b/>
          <w:bCs w:val="0"/>
          <w:sz w:val="32"/>
          <w:szCs w:val="32"/>
          <w:lang w:eastAsia="zh-CN"/>
        </w:rPr>
        <w:t>1.4.2 </w:t>
      </w:r>
      <w:r>
        <w:rPr>
          <w:rFonts w:hint="eastAsia" w:ascii="仿宋_GB2312" w:hAnsi="仿宋_GB2312" w:eastAsia="仿宋_GB2312" w:cs="仿宋_GB2312"/>
          <w:b/>
          <w:bCs w:val="0"/>
          <w:sz w:val="32"/>
          <w:szCs w:val="32"/>
          <w:lang w:eastAsia="zh-CN"/>
        </w:rPr>
        <w:t>重大食品安全事件（Ⅱ级）</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符合下列情形之一的，为重大食品安全事件：</w:t>
      </w:r>
    </w:p>
    <w:p>
      <w:pPr>
        <w:keepNext w:val="0"/>
        <w:keepLines w:val="0"/>
        <w:pageBreakBefore w:val="0"/>
        <w:widowControl w:val="0"/>
        <w:numPr>
          <w:ilvl w:val="0"/>
          <w:numId w:val="2"/>
        </w:numPr>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事件危害严重，影响范围涉及省内２个以上设区市行政区域的；</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）１起食物中毒事故中毒人数</w:t>
      </w:r>
      <w:r>
        <w:rPr>
          <w:rFonts w:ascii="仿宋_GB2312" w:hAnsi="仿宋_GB2312" w:eastAsia="仿宋_GB2312" w:cs="仿宋_GB2312"/>
          <w:sz w:val="32"/>
          <w:szCs w:val="32"/>
          <w:lang w:eastAsia="zh-CN"/>
        </w:rPr>
        <w:t>100</w:t>
      </w:r>
      <w:r>
        <w:rPr>
          <w:rFonts w:hint="eastAsia" w:ascii="仿宋_GB2312" w:hAnsi="仿宋_GB2312" w:eastAsia="仿宋_GB2312" w:cs="仿宋_GB2312"/>
          <w:sz w:val="32"/>
          <w:szCs w:val="32"/>
          <w:lang w:eastAsia="zh-CN"/>
        </w:rPr>
        <w:t>人以上，并出现死亡病例的；</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eastAsia="zh-CN"/>
        </w:rPr>
        <w:t>）１起食物中毒事故造成</w:t>
      </w:r>
      <w:r>
        <w:rPr>
          <w:rFonts w:ascii="仿宋_GB2312" w:hAnsi="仿宋_GB2312" w:eastAsia="仿宋_GB2312" w:cs="仿宋_GB2312"/>
          <w:sz w:val="32"/>
          <w:szCs w:val="32"/>
          <w:lang w:eastAsia="zh-CN"/>
        </w:rPr>
        <w:t>10</w:t>
      </w:r>
      <w:r>
        <w:rPr>
          <w:rFonts w:hint="eastAsia" w:ascii="仿宋_GB2312" w:hAnsi="仿宋_GB2312" w:eastAsia="仿宋_GB2312" w:cs="仿宋_GB2312"/>
          <w:sz w:val="32"/>
          <w:szCs w:val="32"/>
          <w:lang w:eastAsia="zh-CN"/>
        </w:rPr>
        <w:t>例以上死亡病例的；</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eastAsia="zh-CN"/>
        </w:rPr>
        <w:t>）省政府认定的重大食品安全事件。</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b/>
          <w:bCs w:val="0"/>
          <w:sz w:val="32"/>
          <w:szCs w:val="32"/>
          <w:lang w:eastAsia="zh-CN"/>
        </w:rPr>
      </w:pPr>
      <w:r>
        <w:rPr>
          <w:rFonts w:ascii="仿宋_GB2312" w:hAnsi="仿宋_GB2312" w:eastAsia="仿宋_GB2312" w:cs="仿宋_GB2312"/>
          <w:b/>
          <w:bCs w:val="0"/>
          <w:sz w:val="32"/>
          <w:szCs w:val="32"/>
          <w:lang w:eastAsia="zh-CN"/>
        </w:rPr>
        <w:t>1.4.3 </w:t>
      </w:r>
      <w:r>
        <w:rPr>
          <w:rFonts w:hint="eastAsia" w:ascii="仿宋_GB2312" w:hAnsi="仿宋_GB2312" w:eastAsia="仿宋_GB2312" w:cs="仿宋_GB2312"/>
          <w:b/>
          <w:bCs w:val="0"/>
          <w:sz w:val="32"/>
          <w:szCs w:val="32"/>
          <w:lang w:eastAsia="zh-CN"/>
        </w:rPr>
        <w:t>较大食品安全事件（Ⅲ级）</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符合下列情形之一的，为较大食品安全事件：</w:t>
      </w:r>
    </w:p>
    <w:p>
      <w:pPr>
        <w:keepNext w:val="0"/>
        <w:keepLines w:val="0"/>
        <w:pageBreakBefore w:val="0"/>
        <w:widowControl w:val="0"/>
        <w:numPr>
          <w:ilvl w:val="0"/>
          <w:numId w:val="3"/>
        </w:numPr>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事件影响范围涉及设区市级行政区域内２个以上县级行政区域，给人民群众饮食安全带来严重危害的</w:t>
      </w:r>
      <w:r>
        <w:rPr>
          <w:rFonts w:ascii="仿宋_GB2312" w:hAnsi="仿宋_GB2312" w:eastAsia="仿宋_GB2312" w:cs="仿宋_GB2312"/>
          <w:sz w:val="32"/>
          <w:szCs w:val="32"/>
          <w:lang w:eastAsia="zh-CN"/>
        </w:rPr>
        <w:t>;</w:t>
      </w:r>
    </w:p>
    <w:p>
      <w:pPr>
        <w:keepNext w:val="0"/>
        <w:keepLines w:val="0"/>
        <w:pageBreakBefore w:val="0"/>
        <w:widowControl w:val="0"/>
        <w:numPr>
          <w:ilvl w:val="0"/>
          <w:numId w:val="3"/>
        </w:numPr>
        <w:kinsoku/>
        <w:wordWrap/>
        <w:overflowPunct w:val="0"/>
        <w:topLinePunct w:val="0"/>
        <w:autoSpaceDE/>
        <w:autoSpaceDN/>
        <w:bidi w:val="0"/>
        <w:spacing w:after="0" w:line="58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１起食物中毒事故中毒人数在</w:t>
      </w:r>
      <w:r>
        <w:rPr>
          <w:rFonts w:ascii="仿宋_GB2312" w:hAnsi="仿宋_GB2312" w:eastAsia="仿宋_GB2312" w:cs="仿宋_GB2312"/>
          <w:sz w:val="32"/>
          <w:szCs w:val="32"/>
          <w:lang w:eastAsia="zh-CN"/>
        </w:rPr>
        <w:t>100</w:t>
      </w:r>
      <w:r>
        <w:rPr>
          <w:rFonts w:hint="eastAsia" w:ascii="仿宋_GB2312" w:hAnsi="仿宋_GB2312" w:eastAsia="仿宋_GB2312" w:cs="仿宋_GB2312"/>
          <w:sz w:val="32"/>
          <w:szCs w:val="32"/>
          <w:lang w:eastAsia="zh-CN"/>
        </w:rPr>
        <w:t>人以上；或出现死</w:t>
      </w:r>
    </w:p>
    <w:p>
      <w:pPr>
        <w:keepNext w:val="0"/>
        <w:keepLines w:val="0"/>
        <w:pageBreakBefore w:val="0"/>
        <w:widowControl w:val="0"/>
        <w:numPr>
          <w:ilvl w:val="0"/>
          <w:numId w:val="0"/>
        </w:numPr>
        <w:kinsoku/>
        <w:wordWrap/>
        <w:overflowPunct w:val="0"/>
        <w:topLinePunct w:val="0"/>
        <w:autoSpaceDE/>
        <w:autoSpaceDN/>
        <w:bidi w:val="0"/>
        <w:spacing w:after="0" w:line="580" w:lineRule="exact"/>
        <w:ind w:left="0" w:leftChars="0" w:right="0" w:rightChars="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亡病例的；</w:t>
      </w:r>
    </w:p>
    <w:p>
      <w:pPr>
        <w:keepNext w:val="0"/>
        <w:keepLines w:val="0"/>
        <w:pageBreakBefore w:val="0"/>
        <w:widowControl w:val="0"/>
        <w:numPr>
          <w:ilvl w:val="0"/>
          <w:numId w:val="4"/>
        </w:numPr>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设区市以上政府认定的其他较大食品安全事件。</w:t>
      </w:r>
    </w:p>
    <w:p>
      <w:pPr>
        <w:keepNext w:val="0"/>
        <w:keepLines w:val="0"/>
        <w:pageBreakBefore w:val="0"/>
        <w:widowControl w:val="0"/>
        <w:numPr>
          <w:ilvl w:val="0"/>
          <w:numId w:val="0"/>
        </w:numPr>
        <w:kinsoku/>
        <w:wordWrap/>
        <w:overflowPunct w:val="0"/>
        <w:topLinePunct w:val="0"/>
        <w:autoSpaceDE/>
        <w:autoSpaceDN/>
        <w:bidi w:val="0"/>
        <w:spacing w:after="0" w:line="580" w:lineRule="exact"/>
        <w:ind w:left="0" w:leftChars="0" w:right="0" w:rightChars="0" w:firstLine="643" w:firstLineChars="200"/>
        <w:jc w:val="both"/>
        <w:textAlignment w:val="auto"/>
        <w:outlineLvl w:val="9"/>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1.4.</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一般食品安全事件（Ⅳ级）</w:t>
      </w:r>
    </w:p>
    <w:p>
      <w:pPr>
        <w:keepNext w:val="0"/>
        <w:keepLines w:val="0"/>
        <w:pageBreakBefore w:val="0"/>
        <w:widowControl w:val="0"/>
        <w:numPr>
          <w:ilvl w:val="0"/>
          <w:numId w:val="0"/>
        </w:numPr>
        <w:kinsoku/>
        <w:wordWrap/>
        <w:overflowPunct w:val="0"/>
        <w:topLinePunct w:val="0"/>
        <w:autoSpaceDE/>
        <w:autoSpaceDN/>
        <w:bidi w:val="0"/>
        <w:spacing w:after="0" w:line="580" w:lineRule="exact"/>
        <w:ind w:left="0" w:leftChars="0" w:right="0" w:rightChars="0"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符合下列情形之一的，为一般食品安全事件</w:t>
      </w:r>
      <w:r>
        <w:rPr>
          <w:rFonts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t>）食品污染已造成严重健康损害后果的；</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）１起食物中毒事故中毒人数在</w:t>
      </w:r>
      <w:r>
        <w:rPr>
          <w:rFonts w:ascii="仿宋_GB2312" w:hAnsi="仿宋_GB2312" w:eastAsia="仿宋_GB2312" w:cs="仿宋_GB2312"/>
          <w:sz w:val="32"/>
          <w:szCs w:val="32"/>
          <w:lang w:eastAsia="zh-CN"/>
        </w:rPr>
        <w:t>30</w:t>
      </w:r>
      <w:r>
        <w:rPr>
          <w:rFonts w:hint="eastAsia" w:ascii="仿宋_GB2312" w:hAnsi="仿宋_GB2312" w:eastAsia="仿宋_GB2312" w:cs="仿宋_GB2312"/>
          <w:sz w:val="32"/>
          <w:szCs w:val="32"/>
          <w:lang w:eastAsia="zh-CN"/>
        </w:rPr>
        <w:t>人以上，</w:t>
      </w:r>
      <w:r>
        <w:rPr>
          <w:rFonts w:ascii="仿宋_GB2312" w:hAnsi="仿宋_GB2312" w:eastAsia="仿宋_GB2312" w:cs="仿宋_GB2312"/>
          <w:sz w:val="32"/>
          <w:szCs w:val="32"/>
          <w:lang w:eastAsia="zh-CN"/>
        </w:rPr>
        <w:t>99</w:t>
      </w:r>
      <w:r>
        <w:rPr>
          <w:rFonts w:hint="eastAsia" w:ascii="仿宋_GB2312" w:hAnsi="仿宋_GB2312" w:eastAsia="仿宋_GB2312" w:cs="仿宋_GB2312"/>
          <w:sz w:val="32"/>
          <w:szCs w:val="32"/>
          <w:lang w:eastAsia="zh-CN"/>
        </w:rPr>
        <w:t>人以下，未出现死亡病例的</w:t>
      </w:r>
      <w:r>
        <w:rPr>
          <w:rFonts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eastAsia="zh-CN"/>
        </w:rPr>
        <w:t>）县级以上政府认定的其他一般食品安全事件。</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b/>
          <w:bCs w:val="0"/>
          <w:sz w:val="32"/>
          <w:szCs w:val="32"/>
          <w:lang w:eastAsia="zh-CN"/>
        </w:rPr>
      </w:pPr>
      <w:r>
        <w:rPr>
          <w:rFonts w:ascii="仿宋_GB2312" w:hAnsi="仿宋_GB2312" w:eastAsia="仿宋_GB2312" w:cs="仿宋_GB2312"/>
          <w:b/>
          <w:bCs w:val="0"/>
          <w:sz w:val="32"/>
          <w:szCs w:val="32"/>
          <w:lang w:eastAsia="zh-CN"/>
        </w:rPr>
        <w:t>1.4.5</w:t>
      </w:r>
      <w:r>
        <w:rPr>
          <w:rFonts w:hint="eastAsia" w:ascii="仿宋_GB2312" w:hAnsi="仿宋_GB2312" w:eastAsia="仿宋_GB2312" w:cs="仿宋_GB2312"/>
          <w:b/>
          <w:bCs w:val="0"/>
          <w:sz w:val="32"/>
          <w:szCs w:val="32"/>
          <w:lang w:eastAsia="zh-CN"/>
        </w:rPr>
        <w:t>非级别食品安全事件</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eastAsia="zh-CN"/>
        </w:rPr>
        <w:t>符合下列情形之一的，为非级别食品安全事件</w:t>
      </w:r>
      <w:r>
        <w:rPr>
          <w:rFonts w:ascii="仿宋_GB2312" w:hAnsi="仿宋_GB2312" w:eastAsia="仿宋_GB2312" w:cs="仿宋_GB2312"/>
          <w:sz w:val="32"/>
          <w:szCs w:val="32"/>
          <w:lang w:eastAsia="zh-CN"/>
        </w:rPr>
        <w:t>:</w:t>
      </w:r>
    </w:p>
    <w:p>
      <w:pPr>
        <w:keepNext w:val="0"/>
        <w:keepLines w:val="0"/>
        <w:pageBreakBefore w:val="0"/>
        <w:widowControl w:val="0"/>
        <w:numPr>
          <w:ilvl w:val="0"/>
          <w:numId w:val="5"/>
        </w:numPr>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发现食品污染，尚未造成健康损害后果的；</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）１起食物中毒事故中毒人数在</w:t>
      </w:r>
      <w:r>
        <w:rPr>
          <w:rFonts w:ascii="仿宋_GB2312" w:hAnsi="仿宋_GB2312" w:eastAsia="仿宋_GB2312" w:cs="仿宋_GB2312"/>
          <w:sz w:val="32"/>
          <w:szCs w:val="32"/>
          <w:lang w:eastAsia="zh-CN"/>
        </w:rPr>
        <w:t>29</w:t>
      </w:r>
      <w:r>
        <w:rPr>
          <w:rFonts w:hint="eastAsia" w:ascii="仿宋_GB2312" w:hAnsi="仿宋_GB2312" w:eastAsia="仿宋_GB2312" w:cs="仿宋_GB2312"/>
          <w:sz w:val="32"/>
          <w:szCs w:val="32"/>
          <w:lang w:eastAsia="zh-CN"/>
        </w:rPr>
        <w:t>人以下，危害程度较轻的；</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eastAsia="zh-CN"/>
        </w:rPr>
        <w:t>）县级以上政府认定的非级别食品安全事件。</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1.5</w:t>
      </w:r>
      <w:r>
        <w:rPr>
          <w:rFonts w:hint="eastAsia" w:ascii="楷体_GB2312" w:hAnsi="楷体_GB2312" w:eastAsia="楷体_GB2312" w:cs="楷体_GB2312"/>
          <w:b/>
          <w:bCs/>
          <w:sz w:val="32"/>
          <w:szCs w:val="32"/>
          <w:lang w:eastAsia="zh-CN"/>
        </w:rPr>
        <w:t>工作原则</w:t>
      </w:r>
    </w:p>
    <w:p>
      <w:pPr>
        <w:keepNext w:val="0"/>
        <w:keepLines w:val="0"/>
        <w:pageBreakBefore w:val="0"/>
        <w:widowControl w:val="0"/>
        <w:numPr>
          <w:ilvl w:val="0"/>
          <w:numId w:val="6"/>
        </w:numPr>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统一领导、分级负责。在县政府统一领导下，落实属地责任，根据事件严重程度，分级组织应对工作。</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）快速反应、协同应对。各有关部门和单位建立协调联动机制，按照职责分工，第一时间开展应急处置，最大程度减少损失和影响。</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eastAsia="zh-CN"/>
        </w:rPr>
        <w:t>）预防为主、防治并重。着力加强风险监测和防范，及时发现食品安全事件苗头，防患于未然。</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eastAsia="zh-CN"/>
        </w:rPr>
        <w:t>）科学严谨、依法处置。利用科学手段和技术装备，依照有关法律法规和制度，做好食品安全事件防范应对工作。</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2.</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应急指挥体系及其职责</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2.1 </w:t>
      </w:r>
      <w:r>
        <w:rPr>
          <w:rFonts w:hint="eastAsia" w:ascii="楷体_GB2312" w:hAnsi="楷体_GB2312" w:eastAsia="楷体_GB2312" w:cs="楷体_GB2312"/>
          <w:b/>
          <w:bCs/>
          <w:sz w:val="32"/>
          <w:szCs w:val="32"/>
          <w:lang w:eastAsia="zh-CN"/>
        </w:rPr>
        <w:t>县食品安全事件应急组织机构</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eastAsia="仿宋_GB2312"/>
          <w:snapToGrid w:val="0"/>
          <w:color w:val="000000"/>
          <w:kern w:val="0"/>
          <w:sz w:val="32"/>
        </w:rPr>
      </w:pPr>
      <w:r>
        <w:rPr>
          <w:rFonts w:hint="eastAsia" w:ascii="仿宋_GB2312" w:eastAsia="仿宋_GB2312"/>
          <w:snapToGrid w:val="0"/>
          <w:color w:val="000000"/>
          <w:kern w:val="0"/>
          <w:sz w:val="32"/>
          <w:lang w:eastAsia="zh-CN"/>
        </w:rPr>
        <w:t>县</w:t>
      </w:r>
      <w:r>
        <w:rPr>
          <w:rFonts w:hint="eastAsia" w:ascii="仿宋_GB2312" w:eastAsia="仿宋_GB2312"/>
          <w:snapToGrid w:val="0"/>
          <w:color w:val="000000"/>
          <w:kern w:val="0"/>
          <w:sz w:val="32"/>
        </w:rPr>
        <w:t>食品安全事件应急指挥部（以下简称</w:t>
      </w:r>
      <w:r>
        <w:rPr>
          <w:rFonts w:hint="eastAsia" w:ascii="仿宋_GB2312" w:eastAsia="仿宋_GB2312"/>
          <w:snapToGrid w:val="0"/>
          <w:color w:val="000000"/>
          <w:kern w:val="0"/>
          <w:sz w:val="32"/>
          <w:lang w:eastAsia="zh-CN"/>
        </w:rPr>
        <w:t>县</w:t>
      </w:r>
      <w:r>
        <w:rPr>
          <w:rFonts w:hint="eastAsia" w:ascii="仿宋_GB2312" w:eastAsia="仿宋_GB2312"/>
          <w:snapToGrid w:val="0"/>
          <w:color w:val="000000"/>
          <w:kern w:val="0"/>
          <w:sz w:val="32"/>
        </w:rPr>
        <w:t>应急指挥部）为全</w:t>
      </w:r>
      <w:r>
        <w:rPr>
          <w:rFonts w:hint="eastAsia" w:ascii="仿宋_GB2312" w:eastAsia="仿宋_GB2312"/>
          <w:snapToGrid w:val="0"/>
          <w:color w:val="000000"/>
          <w:kern w:val="0"/>
          <w:sz w:val="32"/>
          <w:lang w:eastAsia="zh-CN"/>
        </w:rPr>
        <w:t>县</w:t>
      </w:r>
      <w:r>
        <w:rPr>
          <w:rFonts w:hint="eastAsia" w:ascii="仿宋_GB2312" w:eastAsia="仿宋_GB2312"/>
          <w:snapToGrid w:val="0"/>
          <w:color w:val="000000"/>
          <w:kern w:val="0"/>
          <w:sz w:val="32"/>
        </w:rPr>
        <w:t>食品安全事件应急指挥机构，负责统一领导和指挥特别重大、重大、较大食品安全事件应急处置工作。</w:t>
      </w:r>
      <w:r>
        <w:rPr>
          <w:rFonts w:hint="eastAsia" w:ascii="仿宋_GB2312" w:eastAsia="仿宋_GB2312"/>
          <w:snapToGrid w:val="0"/>
          <w:color w:val="000000"/>
          <w:kern w:val="0"/>
          <w:sz w:val="32"/>
          <w:lang w:eastAsia="zh-CN"/>
        </w:rPr>
        <w:t>县</w:t>
      </w:r>
      <w:r>
        <w:rPr>
          <w:rFonts w:hint="eastAsia" w:ascii="仿宋_GB2312" w:eastAsia="仿宋_GB2312"/>
          <w:snapToGrid w:val="0"/>
          <w:color w:val="000000"/>
          <w:kern w:val="0"/>
          <w:sz w:val="32"/>
        </w:rPr>
        <w:t>应急指挥部</w:t>
      </w:r>
      <w:r>
        <w:rPr>
          <w:rFonts w:hint="eastAsia" w:ascii="仿宋_GB2312" w:eastAsia="仿宋_GB2312"/>
          <w:snapToGrid w:val="0"/>
          <w:color w:val="000000"/>
          <w:kern w:val="0"/>
          <w:sz w:val="32"/>
          <w:lang w:eastAsia="zh-CN"/>
        </w:rPr>
        <w:t>总指挥由</w:t>
      </w:r>
      <w:r>
        <w:rPr>
          <w:rFonts w:hint="eastAsia" w:ascii="仿宋_GB2312" w:hAnsi="仿宋_GB2312" w:eastAsia="仿宋_GB2312" w:cs="仿宋_GB2312"/>
          <w:sz w:val="32"/>
          <w:szCs w:val="32"/>
          <w:lang w:eastAsia="zh-CN"/>
        </w:rPr>
        <w:t>县长担任，副</w:t>
      </w:r>
      <w:r>
        <w:rPr>
          <w:rFonts w:hint="eastAsia" w:ascii="仿宋_GB2312" w:eastAsia="仿宋_GB2312"/>
          <w:snapToGrid w:val="0"/>
          <w:color w:val="000000"/>
          <w:kern w:val="0"/>
          <w:sz w:val="32"/>
          <w:lang w:eastAsia="zh-CN"/>
        </w:rPr>
        <w:t>总指挥</w:t>
      </w:r>
      <w:r>
        <w:rPr>
          <w:rFonts w:hint="eastAsia" w:ascii="仿宋_GB2312" w:hAnsi="仿宋_GB2312" w:eastAsia="仿宋_GB2312" w:cs="仿宋_GB2312"/>
          <w:sz w:val="32"/>
          <w:szCs w:val="32"/>
          <w:lang w:eastAsia="zh-CN"/>
        </w:rPr>
        <w:t>由分管市场监管工作的副县长担任。</w:t>
      </w:r>
      <w:r>
        <w:rPr>
          <w:rFonts w:hint="eastAsia" w:ascii="仿宋_GB2312" w:eastAsia="仿宋_GB2312"/>
          <w:snapToGrid w:val="0"/>
          <w:color w:val="000000"/>
          <w:kern w:val="0"/>
          <w:sz w:val="32"/>
        </w:rPr>
        <w:t>应急指挥部办公室由</w:t>
      </w:r>
      <w:r>
        <w:rPr>
          <w:rFonts w:hint="eastAsia" w:ascii="仿宋_GB2312" w:eastAsia="仿宋_GB2312"/>
          <w:snapToGrid w:val="0"/>
          <w:color w:val="000000"/>
          <w:kern w:val="0"/>
          <w:sz w:val="32"/>
          <w:lang w:eastAsia="zh-CN"/>
        </w:rPr>
        <w:t>县</w:t>
      </w:r>
      <w:r>
        <w:rPr>
          <w:rFonts w:hint="eastAsia" w:ascii="仿宋_GB2312" w:eastAsia="仿宋_GB2312"/>
          <w:snapToGrid w:val="0"/>
          <w:color w:val="000000"/>
          <w:kern w:val="0"/>
          <w:sz w:val="32"/>
        </w:rPr>
        <w:t>食</w:t>
      </w:r>
      <w:r>
        <w:rPr>
          <w:rFonts w:hint="eastAsia" w:ascii="仿宋_GB2312" w:eastAsia="仿宋_GB2312"/>
          <w:snapToGrid w:val="0"/>
          <w:color w:val="000000"/>
          <w:kern w:val="0"/>
          <w:sz w:val="32"/>
          <w:lang w:eastAsia="zh-CN"/>
        </w:rPr>
        <w:t>药</w:t>
      </w:r>
      <w:r>
        <w:rPr>
          <w:rFonts w:hint="eastAsia" w:ascii="仿宋_GB2312" w:eastAsia="仿宋_GB2312"/>
          <w:snapToGrid w:val="0"/>
          <w:color w:val="000000"/>
          <w:kern w:val="0"/>
          <w:sz w:val="32"/>
        </w:rPr>
        <w:t>安办、</w:t>
      </w:r>
      <w:r>
        <w:rPr>
          <w:rFonts w:hint="eastAsia" w:ascii="仿宋_GB2312" w:hAnsi="仿宋" w:eastAsia="仿宋_GB2312"/>
          <w:snapToGrid w:val="0"/>
          <w:color w:val="000000"/>
          <w:kern w:val="0"/>
          <w:sz w:val="32"/>
          <w:lang w:eastAsia="zh-CN"/>
        </w:rPr>
        <w:t>县</w:t>
      </w:r>
      <w:r>
        <w:rPr>
          <w:rFonts w:hint="eastAsia" w:ascii="仿宋_GB2312" w:hAnsi="仿宋" w:eastAsia="仿宋_GB2312"/>
          <w:snapToGrid w:val="0"/>
          <w:color w:val="000000"/>
          <w:kern w:val="0"/>
          <w:sz w:val="32"/>
        </w:rPr>
        <w:t>应急管理局、</w:t>
      </w:r>
      <w:r>
        <w:rPr>
          <w:rFonts w:hint="eastAsia" w:ascii="仿宋_GB2312" w:eastAsia="仿宋_GB2312"/>
          <w:snapToGrid w:val="0"/>
          <w:color w:val="000000"/>
          <w:kern w:val="0"/>
          <w:sz w:val="32"/>
          <w:lang w:eastAsia="zh-CN"/>
        </w:rPr>
        <w:t>县卫健局</w:t>
      </w:r>
      <w:r>
        <w:rPr>
          <w:rFonts w:hint="eastAsia" w:ascii="仿宋_GB2312" w:eastAsia="仿宋_GB2312"/>
          <w:snapToGrid w:val="0"/>
          <w:color w:val="000000"/>
          <w:kern w:val="0"/>
          <w:sz w:val="32"/>
        </w:rPr>
        <w:t>等有关部门人员组成，办公地点设在</w:t>
      </w:r>
      <w:r>
        <w:rPr>
          <w:rFonts w:hint="eastAsia" w:ascii="仿宋_GB2312" w:eastAsia="仿宋_GB2312"/>
          <w:snapToGrid w:val="0"/>
          <w:color w:val="000000"/>
          <w:kern w:val="0"/>
          <w:sz w:val="32"/>
          <w:lang w:eastAsia="zh-CN"/>
        </w:rPr>
        <w:t>县</w:t>
      </w:r>
      <w:r>
        <w:rPr>
          <w:rFonts w:hint="eastAsia" w:ascii="仿宋_GB2312" w:eastAsia="仿宋_GB2312"/>
          <w:snapToGrid w:val="0"/>
          <w:color w:val="000000"/>
          <w:kern w:val="0"/>
          <w:sz w:val="32"/>
        </w:rPr>
        <w:t>食</w:t>
      </w:r>
      <w:r>
        <w:rPr>
          <w:rFonts w:hint="eastAsia" w:ascii="仿宋_GB2312" w:eastAsia="仿宋_GB2312"/>
          <w:snapToGrid w:val="0"/>
          <w:color w:val="000000"/>
          <w:kern w:val="0"/>
          <w:sz w:val="32"/>
          <w:lang w:eastAsia="zh-CN"/>
        </w:rPr>
        <w:t>药</w:t>
      </w:r>
      <w:r>
        <w:rPr>
          <w:rFonts w:hint="eastAsia" w:ascii="仿宋_GB2312" w:eastAsia="仿宋_GB2312"/>
          <w:snapToGrid w:val="0"/>
          <w:color w:val="000000"/>
          <w:kern w:val="0"/>
          <w:sz w:val="32"/>
        </w:rPr>
        <w:t>安办，</w:t>
      </w:r>
      <w:r>
        <w:rPr>
          <w:rFonts w:hint="eastAsia" w:ascii="仿宋_GB2312" w:eastAsia="仿宋_GB2312"/>
          <w:snapToGrid w:val="0"/>
          <w:color w:val="000000"/>
          <w:kern w:val="0"/>
          <w:sz w:val="32"/>
          <w:lang w:eastAsia="zh-CN"/>
        </w:rPr>
        <w:t>县</w:t>
      </w:r>
      <w:r>
        <w:rPr>
          <w:rFonts w:hint="eastAsia" w:ascii="仿宋_GB2312" w:eastAsia="仿宋_GB2312"/>
          <w:snapToGrid w:val="0"/>
          <w:color w:val="000000"/>
          <w:kern w:val="0"/>
          <w:sz w:val="32"/>
        </w:rPr>
        <w:t>食</w:t>
      </w:r>
      <w:r>
        <w:rPr>
          <w:rFonts w:hint="eastAsia" w:ascii="仿宋_GB2312" w:eastAsia="仿宋_GB2312"/>
          <w:snapToGrid w:val="0"/>
          <w:color w:val="000000"/>
          <w:kern w:val="0"/>
          <w:sz w:val="32"/>
          <w:lang w:eastAsia="zh-CN"/>
        </w:rPr>
        <w:t>药</w:t>
      </w:r>
      <w:r>
        <w:rPr>
          <w:rFonts w:hint="eastAsia" w:ascii="仿宋_GB2312" w:eastAsia="仿宋_GB2312"/>
          <w:snapToGrid w:val="0"/>
          <w:color w:val="000000"/>
          <w:kern w:val="0"/>
          <w:sz w:val="32"/>
        </w:rPr>
        <w:t>安办主任担任应急指挥部办公室主任。应急指挥车辆、办公设备要落实到位。</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eastAsia="仿宋_GB2312"/>
          <w:snapToGrid w:val="0"/>
          <w:color w:val="000000"/>
          <w:kern w:val="0"/>
          <w:sz w:val="32"/>
          <w:lang w:eastAsia="zh-CN"/>
        </w:rPr>
        <w:t>县应急指挥部成员单位主要包括：县食药安办、县</w:t>
      </w:r>
      <w:r>
        <w:rPr>
          <w:rFonts w:hint="eastAsia" w:ascii="仿宋_GB2312" w:eastAsia="仿宋_GB2312"/>
          <w:snapToGrid w:val="0"/>
          <w:color w:val="000000"/>
          <w:kern w:val="0"/>
          <w:sz w:val="32"/>
        </w:rPr>
        <w:t>纪委监委、</w:t>
      </w:r>
      <w:r>
        <w:rPr>
          <w:rFonts w:hint="eastAsia" w:ascii="仿宋_GB2312" w:eastAsia="仿宋_GB2312"/>
          <w:snapToGrid w:val="0"/>
          <w:color w:val="000000"/>
          <w:kern w:val="0"/>
          <w:sz w:val="32"/>
          <w:lang w:eastAsia="zh-CN"/>
        </w:rPr>
        <w:t>县</w:t>
      </w:r>
      <w:r>
        <w:rPr>
          <w:rFonts w:hint="eastAsia" w:ascii="仿宋_GB2312" w:eastAsia="仿宋_GB2312"/>
          <w:snapToGrid w:val="0"/>
          <w:color w:val="000000"/>
          <w:kern w:val="0"/>
          <w:sz w:val="32"/>
        </w:rPr>
        <w:t>委宣传部、</w:t>
      </w:r>
      <w:r>
        <w:rPr>
          <w:rFonts w:hint="eastAsia" w:ascii="仿宋_GB2312" w:eastAsia="仿宋_GB2312"/>
          <w:snapToGrid w:val="0"/>
          <w:color w:val="000000"/>
          <w:kern w:val="0"/>
          <w:sz w:val="32"/>
          <w:lang w:eastAsia="zh-CN"/>
        </w:rPr>
        <w:t>县委编办</w:t>
      </w:r>
      <w:r>
        <w:rPr>
          <w:rFonts w:hint="eastAsia" w:ascii="仿宋_GB2312" w:eastAsia="仿宋_GB2312"/>
          <w:snapToGrid w:val="0"/>
          <w:color w:val="000000"/>
          <w:kern w:val="0"/>
          <w:sz w:val="32"/>
        </w:rPr>
        <w:t>、</w:t>
      </w:r>
      <w:r>
        <w:rPr>
          <w:rFonts w:hint="eastAsia" w:ascii="仿宋_GB2312" w:eastAsia="仿宋_GB2312"/>
          <w:snapToGrid w:val="0"/>
          <w:color w:val="000000"/>
          <w:kern w:val="0"/>
          <w:sz w:val="32"/>
          <w:lang w:eastAsia="zh-CN"/>
        </w:rPr>
        <w:t>县发改局</w:t>
      </w:r>
      <w:r>
        <w:rPr>
          <w:rFonts w:hint="eastAsia" w:ascii="仿宋_GB2312" w:eastAsia="仿宋_GB2312"/>
          <w:snapToGrid w:val="0"/>
          <w:color w:val="000000"/>
          <w:kern w:val="0"/>
          <w:sz w:val="32"/>
        </w:rPr>
        <w:t>、教</w:t>
      </w:r>
      <w:r>
        <w:rPr>
          <w:rFonts w:hint="eastAsia" w:ascii="仿宋_GB2312" w:eastAsia="仿宋_GB2312"/>
          <w:snapToGrid w:val="0"/>
          <w:color w:val="000000"/>
          <w:kern w:val="0"/>
          <w:sz w:val="32"/>
          <w:lang w:eastAsia="zh-CN"/>
        </w:rPr>
        <w:t>体</w:t>
      </w:r>
      <w:r>
        <w:rPr>
          <w:rFonts w:hint="eastAsia" w:ascii="仿宋_GB2312" w:eastAsia="仿宋_GB2312"/>
          <w:snapToGrid w:val="0"/>
          <w:color w:val="000000"/>
          <w:kern w:val="0"/>
          <w:sz w:val="32"/>
        </w:rPr>
        <w:t>局、商务和</w:t>
      </w:r>
      <w:r>
        <w:rPr>
          <w:rFonts w:hint="eastAsia" w:ascii="仿宋_GB2312" w:eastAsia="仿宋_GB2312"/>
          <w:snapToGrid w:val="0"/>
          <w:color w:val="000000"/>
          <w:kern w:val="0"/>
          <w:sz w:val="32"/>
          <w:lang w:eastAsia="zh-CN"/>
        </w:rPr>
        <w:t>工业</w:t>
      </w:r>
      <w:r>
        <w:rPr>
          <w:rFonts w:hint="eastAsia" w:ascii="仿宋_GB2312" w:eastAsia="仿宋_GB2312"/>
          <w:snapToGrid w:val="0"/>
          <w:color w:val="000000"/>
          <w:kern w:val="0"/>
          <w:sz w:val="32"/>
        </w:rPr>
        <w:t>信息化局、应急管理局、公安局、民政局、司法局、财政局、</w:t>
      </w:r>
      <w:r>
        <w:rPr>
          <w:rFonts w:hint="eastAsia" w:ascii="仿宋_GB2312" w:eastAsia="仿宋_GB2312"/>
          <w:snapToGrid w:val="0"/>
          <w:color w:val="000000"/>
          <w:kern w:val="0"/>
          <w:sz w:val="32"/>
          <w:lang w:eastAsia="zh-CN"/>
        </w:rPr>
        <w:t>住建局</w:t>
      </w:r>
      <w:r>
        <w:rPr>
          <w:rFonts w:hint="eastAsia" w:ascii="仿宋_GB2312" w:eastAsia="仿宋_GB2312"/>
          <w:snapToGrid w:val="0"/>
          <w:color w:val="000000"/>
          <w:kern w:val="0"/>
          <w:sz w:val="32"/>
        </w:rPr>
        <w:t>、交通运输局、农业农村局、</w:t>
      </w:r>
      <w:r>
        <w:rPr>
          <w:rFonts w:hint="eastAsia" w:ascii="仿宋_GB2312" w:eastAsia="仿宋_GB2312"/>
          <w:snapToGrid w:val="0"/>
          <w:color w:val="000000"/>
          <w:kern w:val="0"/>
          <w:sz w:val="32"/>
          <w:lang w:eastAsia="zh-CN"/>
        </w:rPr>
        <w:t>文旅局</w:t>
      </w:r>
      <w:r>
        <w:rPr>
          <w:rFonts w:hint="eastAsia" w:ascii="仿宋_GB2312" w:eastAsia="仿宋_GB2312"/>
          <w:snapToGrid w:val="0"/>
          <w:color w:val="000000"/>
          <w:kern w:val="0"/>
          <w:sz w:val="32"/>
        </w:rPr>
        <w:t>、</w:t>
      </w:r>
      <w:r>
        <w:rPr>
          <w:rFonts w:hint="eastAsia" w:ascii="仿宋_GB2312" w:eastAsia="仿宋_GB2312"/>
          <w:snapToGrid w:val="0"/>
          <w:color w:val="000000"/>
          <w:kern w:val="0"/>
          <w:sz w:val="32"/>
          <w:lang w:eastAsia="zh-CN"/>
        </w:rPr>
        <w:t>卫健局</w:t>
      </w:r>
      <w:r>
        <w:rPr>
          <w:rFonts w:hint="eastAsia" w:ascii="仿宋_GB2312" w:eastAsia="仿宋_GB2312"/>
          <w:snapToGrid w:val="0"/>
          <w:color w:val="000000"/>
          <w:kern w:val="0"/>
          <w:sz w:val="32"/>
        </w:rPr>
        <w:t>、</w:t>
      </w:r>
      <w:r>
        <w:rPr>
          <w:rFonts w:hint="eastAsia" w:ascii="仿宋_GB2312" w:eastAsia="仿宋_GB2312"/>
          <w:snapToGrid w:val="0"/>
          <w:color w:val="000000"/>
          <w:kern w:val="0"/>
          <w:sz w:val="32"/>
          <w:lang w:eastAsia="zh-CN"/>
        </w:rPr>
        <w:t>市场监管局</w:t>
      </w:r>
      <w:r>
        <w:rPr>
          <w:rFonts w:hint="eastAsia" w:ascii="仿宋_GB2312" w:eastAsia="仿宋_GB2312"/>
          <w:snapToGrid w:val="0"/>
          <w:color w:val="000000"/>
          <w:kern w:val="0"/>
          <w:sz w:val="32"/>
        </w:rPr>
        <w:t>、行政审批服务局、林业局、生态环境局、</w:t>
      </w:r>
      <w:r>
        <w:rPr>
          <w:rFonts w:hint="eastAsia" w:ascii="仿宋_GB2312" w:eastAsia="仿宋_GB2312"/>
          <w:snapToGrid w:val="0"/>
          <w:color w:val="000000"/>
          <w:kern w:val="0"/>
          <w:sz w:val="32"/>
          <w:lang w:eastAsia="zh-CN"/>
        </w:rPr>
        <w:t>民宗局</w:t>
      </w:r>
      <w:r>
        <w:rPr>
          <w:rFonts w:hint="eastAsia" w:ascii="仿宋_GB2312" w:eastAsia="仿宋_GB2312"/>
          <w:snapToGrid w:val="0"/>
          <w:color w:val="000000"/>
          <w:kern w:val="0"/>
          <w:sz w:val="32"/>
        </w:rPr>
        <w:t>等单位。</w:t>
      </w:r>
      <w:r>
        <w:rPr>
          <w:rFonts w:hint="eastAsia" w:ascii="仿宋_GB2312" w:eastAsia="仿宋_GB2312"/>
          <w:snapToGrid w:val="0"/>
          <w:color w:val="000000"/>
          <w:kern w:val="0"/>
          <w:sz w:val="32"/>
          <w:lang w:eastAsia="zh-CN"/>
        </w:rPr>
        <w:t>各成</w:t>
      </w:r>
      <w:r>
        <w:rPr>
          <w:rFonts w:hint="eastAsia" w:ascii="仿宋_GB2312" w:hAnsi="仿宋_GB2312" w:eastAsia="仿宋_GB2312" w:cs="仿宋_GB2312"/>
          <w:sz w:val="32"/>
          <w:szCs w:val="32"/>
          <w:lang w:eastAsia="zh-CN"/>
        </w:rPr>
        <w:t>员单位主要负责同志为县应急指挥部成员</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并确定</w:t>
      </w:r>
      <w:r>
        <w:rPr>
          <w:rFonts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t>名联络员。</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w:t>
      </w:r>
      <w:r>
        <w:rPr>
          <w:rFonts w:hint="eastAsia" w:ascii="仿宋_GB2312" w:eastAsia="仿宋_GB2312"/>
          <w:snapToGrid w:val="0"/>
          <w:color w:val="000000"/>
          <w:kern w:val="0"/>
          <w:sz w:val="32"/>
        </w:rPr>
        <w:t>应急指挥部</w:t>
      </w:r>
      <w:r>
        <w:rPr>
          <w:rFonts w:hint="eastAsia" w:ascii="仿宋_GB2312" w:hAnsi="仿宋_GB2312" w:eastAsia="仿宋_GB2312" w:cs="仿宋_GB2312"/>
          <w:sz w:val="32"/>
          <w:szCs w:val="32"/>
          <w:lang w:eastAsia="zh-CN"/>
        </w:rPr>
        <w:t>下设事件调查、危害控制、医疗救治、检测评估、维护稳定、物资供应、新闻报道</w:t>
      </w:r>
      <w:r>
        <w:rPr>
          <w:rFonts w:ascii="仿宋_GB2312" w:hAnsi="仿宋_GB2312" w:eastAsia="仿宋_GB2312" w:cs="仿宋_GB2312"/>
          <w:sz w:val="32"/>
          <w:szCs w:val="32"/>
          <w:lang w:eastAsia="zh-CN"/>
        </w:rPr>
        <w:t>7</w:t>
      </w:r>
      <w:r>
        <w:rPr>
          <w:rFonts w:hint="eastAsia" w:ascii="仿宋_GB2312" w:hAnsi="仿宋_GB2312" w:eastAsia="仿宋_GB2312" w:cs="仿宋_GB2312"/>
          <w:sz w:val="32"/>
          <w:szCs w:val="32"/>
          <w:lang w:eastAsia="zh-CN"/>
        </w:rPr>
        <w:t>个工作组，分别开展相关工作。如事件涉及较大范围经济赔偿，可单设民事赔偿组，民事赔偿组牵头部门由县</w:t>
      </w:r>
      <w:r>
        <w:rPr>
          <w:rFonts w:hint="eastAsia" w:ascii="仿宋_GB2312" w:eastAsia="仿宋_GB2312"/>
          <w:snapToGrid w:val="0"/>
          <w:color w:val="000000"/>
          <w:kern w:val="0"/>
          <w:sz w:val="32"/>
        </w:rPr>
        <w:t>应急指挥部</w:t>
      </w:r>
      <w:r>
        <w:rPr>
          <w:rFonts w:hint="eastAsia" w:ascii="仿宋_GB2312" w:hAnsi="仿宋_GB2312" w:eastAsia="仿宋_GB2312" w:cs="仿宋_GB2312"/>
          <w:sz w:val="32"/>
          <w:szCs w:val="32"/>
          <w:lang w:eastAsia="zh-CN"/>
        </w:rPr>
        <w:t>临时指定，指导做好善后</w:t>
      </w:r>
    </w:p>
    <w:p>
      <w:pPr>
        <w:keepNext w:val="0"/>
        <w:keepLines w:val="0"/>
        <w:pageBreakBefore w:val="0"/>
        <w:widowControl w:val="0"/>
        <w:kinsoku/>
        <w:wordWrap/>
        <w:overflowPunct w:val="0"/>
        <w:topLinePunct w:val="0"/>
        <w:autoSpaceDE/>
        <w:autoSpaceDN/>
        <w:bidi w:val="0"/>
        <w:spacing w:after="0" w:line="58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2.2县应急指挥部职责</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负责统一领导全县食品安全事件的应急处置工作；研究重</w:t>
      </w:r>
    </w:p>
    <w:p>
      <w:pPr>
        <w:keepNext w:val="0"/>
        <w:keepLines w:val="0"/>
        <w:pageBreakBefore w:val="0"/>
        <w:widowControl w:val="0"/>
        <w:kinsoku/>
        <w:wordWrap/>
        <w:overflowPunct w:val="0"/>
        <w:topLinePunct w:val="0"/>
        <w:autoSpaceDE/>
        <w:autoSpaceDN/>
        <w:bidi w:val="0"/>
        <w:spacing w:after="0" w:line="58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大应急决策和部署；组织发布事件的重要信息；审议批准县应急指挥部办公室提交的应急处置工作报告；应急处置的其他工作。</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b/>
          <w:bCs/>
          <w:sz w:val="32"/>
          <w:szCs w:val="32"/>
          <w:lang w:eastAsia="zh-CN"/>
        </w:rPr>
        <w:t>2.3县应急指挥部办公室职责</w:t>
      </w:r>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eastAsia="仿宋_GB2312"/>
          <w:snapToGrid w:val="0"/>
          <w:color w:val="000000"/>
          <w:kern w:val="0"/>
          <w:sz w:val="32"/>
        </w:rPr>
      </w:pPr>
      <w:r>
        <w:rPr>
          <w:rFonts w:hint="eastAsia" w:ascii="仿宋_GB2312" w:eastAsia="仿宋_GB2312"/>
          <w:snapToGrid w:val="0"/>
          <w:color w:val="000000"/>
          <w:kern w:val="0"/>
          <w:sz w:val="32"/>
        </w:rPr>
        <w:t>承担</w:t>
      </w:r>
      <w:r>
        <w:rPr>
          <w:rFonts w:hint="eastAsia" w:ascii="仿宋_GB2312" w:eastAsia="仿宋_GB2312"/>
          <w:snapToGrid w:val="0"/>
          <w:color w:val="000000"/>
          <w:kern w:val="0"/>
          <w:sz w:val="32"/>
          <w:lang w:eastAsia="zh-CN"/>
        </w:rPr>
        <w:t>县</w:t>
      </w:r>
      <w:r>
        <w:rPr>
          <w:rFonts w:hint="eastAsia" w:ascii="仿宋_GB2312" w:eastAsia="仿宋_GB2312"/>
          <w:snapToGrid w:val="0"/>
          <w:color w:val="000000"/>
          <w:kern w:val="0"/>
          <w:sz w:val="32"/>
        </w:rPr>
        <w:t>应急指挥部的日常工作，主要负责贯彻落实</w:t>
      </w:r>
      <w:r>
        <w:rPr>
          <w:rFonts w:hint="eastAsia" w:ascii="仿宋_GB2312" w:eastAsia="仿宋_GB2312"/>
          <w:snapToGrid w:val="0"/>
          <w:color w:val="000000"/>
          <w:kern w:val="0"/>
          <w:sz w:val="32"/>
          <w:lang w:eastAsia="zh-CN"/>
        </w:rPr>
        <w:t>县</w:t>
      </w:r>
      <w:r>
        <w:rPr>
          <w:rFonts w:hint="eastAsia" w:ascii="仿宋_GB2312" w:eastAsia="仿宋_GB2312"/>
          <w:snapToGrid w:val="0"/>
          <w:color w:val="000000"/>
          <w:kern w:val="0"/>
          <w:sz w:val="32"/>
        </w:rPr>
        <w:t>应急指挥部应急处置的各项部署；</w:t>
      </w:r>
      <w:r>
        <w:rPr>
          <w:rFonts w:hint="eastAsia" w:ascii="仿宋_GB2312" w:hAnsi="仿宋" w:eastAsia="仿宋_GB2312"/>
          <w:snapToGrid w:val="0"/>
          <w:color w:val="000000"/>
          <w:kern w:val="0"/>
          <w:sz w:val="32"/>
          <w:szCs w:val="32"/>
        </w:rPr>
        <w:t>组织分析评估食品安全事件级别，发布预警，下达应急处置任务；检查督促、协调指导应急工作组、成员单位及相关</w:t>
      </w:r>
      <w:r>
        <w:rPr>
          <w:rFonts w:hint="eastAsia" w:ascii="仿宋_GB2312" w:hAnsi="仿宋" w:eastAsia="仿宋_GB2312"/>
          <w:snapToGrid w:val="0"/>
          <w:color w:val="000000"/>
          <w:kern w:val="0"/>
          <w:sz w:val="32"/>
          <w:szCs w:val="32"/>
          <w:lang w:eastAsia="zh-CN"/>
        </w:rPr>
        <w:t>镇</w:t>
      </w:r>
      <w:r>
        <w:rPr>
          <w:rFonts w:hint="eastAsia" w:ascii="仿宋_GB2312" w:hAnsi="仿宋" w:eastAsia="仿宋_GB2312"/>
          <w:snapToGrid w:val="0"/>
          <w:color w:val="000000"/>
          <w:kern w:val="0"/>
          <w:sz w:val="32"/>
          <w:szCs w:val="32"/>
        </w:rPr>
        <w:t>（</w:t>
      </w:r>
      <w:r>
        <w:rPr>
          <w:rFonts w:hint="eastAsia" w:ascii="仿宋_GB2312" w:hAnsi="仿宋" w:eastAsia="仿宋_GB2312"/>
          <w:snapToGrid w:val="0"/>
          <w:color w:val="000000"/>
          <w:kern w:val="0"/>
          <w:sz w:val="32"/>
          <w:szCs w:val="32"/>
          <w:lang w:eastAsia="zh-CN"/>
        </w:rPr>
        <w:t>街</w:t>
      </w:r>
      <w:r>
        <w:rPr>
          <w:rFonts w:hint="eastAsia" w:ascii="仿宋_GB2312" w:hAnsi="仿宋" w:eastAsia="仿宋_GB2312"/>
          <w:snapToGrid w:val="0"/>
          <w:color w:val="000000"/>
          <w:kern w:val="0"/>
          <w:sz w:val="32"/>
          <w:szCs w:val="32"/>
        </w:rPr>
        <w:t>）和部门做好各项应急处置</w:t>
      </w:r>
      <w:r>
        <w:rPr>
          <w:rFonts w:hint="eastAsia" w:ascii="仿宋_GB2312" w:eastAsia="仿宋_GB2312"/>
          <w:snapToGrid w:val="0"/>
          <w:color w:val="000000"/>
          <w:kern w:val="0"/>
          <w:sz w:val="32"/>
        </w:rPr>
        <w:t>，及时有效地控制事件，防止事态蔓延扩大；研究协调解决事件应急工作中的具体问题；向</w:t>
      </w:r>
      <w:r>
        <w:rPr>
          <w:rFonts w:hint="eastAsia" w:ascii="仿宋_GB2312" w:eastAsia="仿宋_GB2312"/>
          <w:snapToGrid w:val="0"/>
          <w:color w:val="000000"/>
          <w:kern w:val="0"/>
          <w:sz w:val="32"/>
          <w:lang w:eastAsia="zh-CN"/>
        </w:rPr>
        <w:t>市</w:t>
      </w:r>
      <w:r>
        <w:rPr>
          <w:rFonts w:hint="eastAsia" w:ascii="仿宋_GB2312" w:hAnsi="仿宋" w:eastAsia="仿宋_GB2312"/>
          <w:snapToGrid w:val="0"/>
          <w:color w:val="000000"/>
          <w:kern w:val="0"/>
          <w:sz w:val="32"/>
          <w:szCs w:val="32"/>
        </w:rPr>
        <w:t>应急指挥部办公室</w:t>
      </w:r>
      <w:r>
        <w:rPr>
          <w:rFonts w:hint="eastAsia" w:ascii="仿宋_GB2312" w:eastAsia="仿宋_GB2312"/>
          <w:snapToGrid w:val="0"/>
          <w:color w:val="000000"/>
          <w:kern w:val="0"/>
          <w:sz w:val="32"/>
        </w:rPr>
        <w:t>、</w:t>
      </w:r>
      <w:r>
        <w:rPr>
          <w:rFonts w:hint="eastAsia" w:ascii="仿宋_GB2312" w:eastAsia="仿宋_GB2312"/>
          <w:snapToGrid w:val="0"/>
          <w:color w:val="000000"/>
          <w:kern w:val="0"/>
          <w:sz w:val="32"/>
          <w:lang w:eastAsia="zh-CN"/>
        </w:rPr>
        <w:t>县</w:t>
      </w:r>
      <w:r>
        <w:rPr>
          <w:rFonts w:hint="eastAsia" w:ascii="仿宋_GB2312" w:eastAsia="仿宋_GB2312"/>
          <w:snapToGrid w:val="0"/>
          <w:color w:val="000000"/>
          <w:kern w:val="0"/>
          <w:sz w:val="32"/>
        </w:rPr>
        <w:t>政府、</w:t>
      </w:r>
      <w:r>
        <w:rPr>
          <w:rFonts w:hint="eastAsia" w:ascii="仿宋_GB2312" w:eastAsia="仿宋_GB2312"/>
          <w:snapToGrid w:val="0"/>
          <w:color w:val="000000"/>
          <w:kern w:val="0"/>
          <w:sz w:val="32"/>
          <w:lang w:eastAsia="zh-CN"/>
        </w:rPr>
        <w:t>县</w:t>
      </w:r>
      <w:r>
        <w:rPr>
          <w:rFonts w:hint="eastAsia" w:ascii="仿宋_GB2312" w:eastAsia="仿宋_GB2312"/>
          <w:snapToGrid w:val="0"/>
          <w:color w:val="000000"/>
          <w:kern w:val="0"/>
          <w:sz w:val="32"/>
        </w:rPr>
        <w:t>应急指挥部及其成员单位报告、通报事件应急处置工作情况；组织信息发布，必要时接受媒体专访</w:t>
      </w:r>
      <w:r>
        <w:rPr>
          <w:rFonts w:hint="eastAsia" w:ascii="仿宋_GB2312" w:eastAsia="仿宋_GB2312"/>
          <w:snapToGrid w:val="0"/>
          <w:color w:val="000000"/>
          <w:kern w:val="0"/>
          <w:sz w:val="32"/>
          <w:lang w:eastAsia="zh-CN"/>
        </w:rPr>
        <w:t>；</w:t>
      </w:r>
      <w:r>
        <w:rPr>
          <w:rFonts w:hint="eastAsia" w:ascii="仿宋_GB2312" w:eastAsia="仿宋_GB2312"/>
          <w:snapToGrid w:val="0"/>
          <w:color w:val="000000"/>
          <w:kern w:val="0"/>
          <w:sz w:val="32"/>
        </w:rPr>
        <w:t>完成</w:t>
      </w:r>
      <w:r>
        <w:rPr>
          <w:rFonts w:hint="eastAsia" w:ascii="仿宋_GB2312" w:eastAsia="仿宋_GB2312"/>
          <w:snapToGrid w:val="0"/>
          <w:color w:val="000000"/>
          <w:kern w:val="0"/>
          <w:sz w:val="32"/>
          <w:lang w:eastAsia="zh-CN"/>
        </w:rPr>
        <w:t>县</w:t>
      </w:r>
      <w:r>
        <w:rPr>
          <w:rFonts w:hint="eastAsia" w:ascii="仿宋_GB2312" w:eastAsia="仿宋_GB2312"/>
          <w:snapToGrid w:val="0"/>
          <w:color w:val="000000"/>
          <w:kern w:val="0"/>
          <w:sz w:val="32"/>
        </w:rPr>
        <w:t>应急指挥部交办的其它工作任务。</w:t>
      </w:r>
      <w:r>
        <w:rPr>
          <w:rFonts w:hint="eastAsia" w:ascii="仿宋_GB2312" w:eastAsia="仿宋_GB2312"/>
          <w:snapToGrid w:val="0"/>
          <w:color w:val="000000"/>
          <w:kern w:val="0"/>
          <w:sz w:val="32"/>
          <w:lang w:eastAsia="zh-CN"/>
        </w:rPr>
        <w:t>县</w:t>
      </w:r>
      <w:r>
        <w:rPr>
          <w:rFonts w:hint="eastAsia" w:ascii="仿宋_GB2312" w:eastAsia="仿宋_GB2312"/>
          <w:snapToGrid w:val="0"/>
          <w:color w:val="000000"/>
          <w:kern w:val="0"/>
          <w:sz w:val="32"/>
        </w:rPr>
        <w:t>应急指挥部办公室</w:t>
      </w:r>
      <w:r>
        <w:rPr>
          <w:rFonts w:hint="eastAsia" w:ascii="仿宋_GB2312" w:eastAsia="仿宋_GB2312"/>
          <w:snapToGrid w:val="0"/>
          <w:color w:val="000000"/>
          <w:kern w:val="0"/>
          <w:sz w:val="32"/>
          <w:lang w:eastAsia="zh-CN"/>
        </w:rPr>
        <w:t>要</w:t>
      </w:r>
      <w:r>
        <w:rPr>
          <w:rFonts w:hint="eastAsia" w:ascii="仿宋_GB2312" w:eastAsia="仿宋_GB2312"/>
          <w:snapToGrid w:val="0"/>
          <w:color w:val="000000"/>
          <w:kern w:val="0"/>
          <w:sz w:val="32"/>
        </w:rPr>
        <w:t>建立会商、发文、信息发布和督查等制度，确保快速反应、高效处置。</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2.4</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eastAsia="zh-CN"/>
        </w:rPr>
        <w:t>县应急指挥部成员单位职责</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各成员单位在县应急指挥部统一领导下开展工作，加强对事件发生地镇（街）工作的督促、指导，积极参与应急救援，完成县</w:t>
      </w:r>
      <w:r>
        <w:rPr>
          <w:rFonts w:hint="eastAsia" w:ascii="仿宋_GB2312" w:eastAsia="仿宋_GB2312"/>
          <w:snapToGrid w:val="0"/>
          <w:color w:val="000000"/>
          <w:spacing w:val="-2"/>
          <w:kern w:val="0"/>
          <w:sz w:val="32"/>
        </w:rPr>
        <w:t>应急指挥部</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lang w:eastAsia="zh-CN"/>
        </w:rPr>
        <w:t>的各项任务。</w:t>
      </w:r>
    </w:p>
    <w:p>
      <w:pPr>
        <w:keepNext w:val="0"/>
        <w:keepLines w:val="0"/>
        <w:pageBreakBefore w:val="0"/>
        <w:widowControl w:val="0"/>
        <w:numPr>
          <w:ilvl w:val="0"/>
          <w:numId w:val="7"/>
        </w:numPr>
        <w:kinsoku/>
        <w:wordWrap/>
        <w:overflowPunct w:val="0"/>
        <w:topLinePunct w:val="0"/>
        <w:autoSpaceDE/>
        <w:autoSpaceDN/>
        <w:bidi w:val="0"/>
        <w:adjustRightInd w:val="0"/>
        <w:snapToGrid w:val="0"/>
        <w:spacing w:after="0"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县食药安办：</w:t>
      </w:r>
      <w:r>
        <w:rPr>
          <w:rFonts w:hint="eastAsia" w:ascii="仿宋_GB2312" w:eastAsia="仿宋_GB2312"/>
          <w:snapToGrid w:val="0"/>
          <w:color w:val="000000"/>
          <w:kern w:val="0"/>
          <w:sz w:val="32"/>
        </w:rPr>
        <w:t>负责</w:t>
      </w:r>
      <w:r>
        <w:rPr>
          <w:rFonts w:hint="eastAsia" w:ascii="仿宋_GB2312" w:eastAsia="仿宋_GB2312"/>
          <w:snapToGrid w:val="0"/>
          <w:color w:val="000000"/>
          <w:kern w:val="0"/>
          <w:sz w:val="32"/>
          <w:lang w:eastAsia="zh-CN"/>
        </w:rPr>
        <w:t>县</w:t>
      </w:r>
      <w:r>
        <w:rPr>
          <w:rFonts w:hint="eastAsia" w:ascii="仿宋_GB2312" w:eastAsia="仿宋_GB2312"/>
          <w:snapToGrid w:val="0"/>
          <w:color w:val="000000"/>
          <w:kern w:val="0"/>
          <w:sz w:val="32"/>
        </w:rPr>
        <w:t>应急指挥部办公室日常工作，落实办公室各项职责，编制和修订</w:t>
      </w:r>
      <w:r>
        <w:rPr>
          <w:rFonts w:hint="eastAsia" w:ascii="仿宋_GB2312" w:eastAsia="仿宋_GB2312"/>
          <w:snapToGrid w:val="0"/>
          <w:color w:val="000000"/>
          <w:kern w:val="0"/>
          <w:sz w:val="32"/>
          <w:lang w:eastAsia="zh-CN"/>
        </w:rPr>
        <w:t>县</w:t>
      </w:r>
      <w:r>
        <w:rPr>
          <w:rFonts w:hint="eastAsia" w:ascii="仿宋_GB2312" w:eastAsia="仿宋_GB2312"/>
          <w:snapToGrid w:val="0"/>
          <w:color w:val="000000"/>
          <w:kern w:val="0"/>
          <w:sz w:val="32"/>
        </w:rPr>
        <w:t>食品安全事件应急预案及其工作手册，组织协调应急处置工作；建立和管理</w:t>
      </w:r>
      <w:r>
        <w:rPr>
          <w:rFonts w:hint="eastAsia" w:ascii="仿宋_GB2312" w:eastAsia="仿宋_GB2312"/>
          <w:snapToGrid w:val="0"/>
          <w:color w:val="000000"/>
          <w:kern w:val="0"/>
          <w:sz w:val="32"/>
          <w:lang w:eastAsia="zh-CN"/>
        </w:rPr>
        <w:t>县</w:t>
      </w:r>
      <w:r>
        <w:rPr>
          <w:rFonts w:hint="eastAsia" w:ascii="仿宋_GB2312" w:eastAsia="仿宋_GB2312"/>
          <w:snapToGrid w:val="0"/>
          <w:color w:val="000000"/>
          <w:kern w:val="0"/>
          <w:sz w:val="32"/>
        </w:rPr>
        <w:t>级应急处置专家库；组织监测、收集来自网络、媒体、公众、企业、技术机构、成员单位及其他渠道获得的食品安全事件信息，组织分析研判，按规定程序处置；组织指导食品安全事件应急体系建设和应急队伍、应急装备、应急保障等能力建设；负责保障应急指挥车辆、办公设备等应急设备、设施</w:t>
      </w:r>
      <w:r>
        <w:rPr>
          <w:rFonts w:hint="eastAsia" w:ascii="仿宋_GB2312" w:eastAsia="仿宋_GB2312"/>
          <w:snapToGrid w:val="0"/>
          <w:color w:val="000000"/>
          <w:kern w:val="0"/>
          <w:sz w:val="32"/>
          <w:lang w:eastAsia="zh-CN"/>
        </w:rPr>
        <w:t>；</w:t>
      </w:r>
      <w:r>
        <w:rPr>
          <w:rFonts w:hint="eastAsia" w:ascii="仿宋_GB2312" w:eastAsia="仿宋_GB2312"/>
          <w:snapToGrid w:val="0"/>
          <w:color w:val="000000"/>
          <w:kern w:val="0"/>
          <w:sz w:val="32"/>
        </w:rPr>
        <w:t>开展应急处置宣传、教育、培训、演练，对外发布食品安全事件信息。</w:t>
      </w:r>
    </w:p>
    <w:p>
      <w:pPr>
        <w:keepNext w:val="0"/>
        <w:keepLines w:val="0"/>
        <w:pageBreakBefore w:val="0"/>
        <w:widowControl w:val="0"/>
        <w:numPr>
          <w:ilvl w:val="0"/>
          <w:numId w:val="7"/>
        </w:numPr>
        <w:kinsoku/>
        <w:wordWrap/>
        <w:overflowPunct w:val="0"/>
        <w:topLinePunct w:val="0"/>
        <w:autoSpaceDE/>
        <w:autoSpaceDN/>
        <w:bidi w:val="0"/>
        <w:adjustRightInd w:val="0"/>
        <w:snapToGrid w:val="0"/>
        <w:spacing w:after="0"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县应急管理局</w:t>
      </w:r>
      <w:r>
        <w:rPr>
          <w:rFonts w:hint="eastAsia" w:ascii="仿宋_GB2312" w:hAnsi="仿宋_GB2312" w:eastAsia="仿宋_GB2312" w:cs="仿宋_GB2312"/>
          <w:sz w:val="32"/>
          <w:szCs w:val="32"/>
          <w:lang w:eastAsia="zh-CN"/>
        </w:rPr>
        <w:t>：指导县食品突发事件应急预案体系建设，协助相关监管部门组织处置事故引发的次生食品安全事件。</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）县纪委监委：</w:t>
      </w:r>
      <w:r>
        <w:rPr>
          <w:rFonts w:hint="eastAsia" w:ascii="仿宋_GB2312" w:hAnsi="仿宋_GB2312" w:eastAsia="仿宋_GB2312" w:cs="仿宋_GB2312"/>
          <w:sz w:val="32"/>
          <w:szCs w:val="32"/>
          <w:lang w:eastAsia="zh-CN"/>
        </w:rPr>
        <w:t>负责对国家公务员和国家行政机关任命的其他人员在食品安全事件以及应急处置中失职、渎职等违法行为的调查处理。</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）县委宣传部：</w:t>
      </w:r>
      <w:r>
        <w:rPr>
          <w:rFonts w:hint="eastAsia" w:ascii="仿宋_GB2312" w:hAnsi="仿宋_GB2312" w:eastAsia="仿宋_GB2312" w:cs="仿宋_GB2312"/>
          <w:sz w:val="32"/>
          <w:szCs w:val="32"/>
          <w:lang w:eastAsia="zh-CN"/>
        </w:rPr>
        <w:t>负责把握食品安全事件新闻报道的正确导向，指导协调新闻单位做好食品安全事件的新闻报道工作；指导事件调查处置部门及时发布权威信息；指导、协调县内网站做好食品安全事件网络新闻报道工作，加强对互联网信息管理和网上舆论引导。</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）县委编办</w:t>
      </w:r>
      <w:r>
        <w:rPr>
          <w:rFonts w:hint="eastAsia" w:ascii="仿宋_GB2312" w:hAnsi="仿宋_GB2312" w:eastAsia="仿宋_GB2312" w:cs="仿宋_GB2312"/>
          <w:sz w:val="32"/>
          <w:szCs w:val="32"/>
          <w:lang w:eastAsia="zh-CN"/>
        </w:rPr>
        <w:t>：负责监管部门监管职责的调整、完善工作。</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eastAsia="zh-CN"/>
        </w:rPr>
        <w:t>）县发改局:</w:t>
      </w:r>
      <w:r>
        <w:rPr>
          <w:rFonts w:hint="eastAsia" w:ascii="仿宋_GB2312" w:hAnsi="仿宋_GB2312" w:eastAsia="仿宋_GB2312" w:cs="仿宋_GB2312"/>
          <w:sz w:val="32"/>
          <w:szCs w:val="32"/>
          <w:lang w:eastAsia="zh-CN"/>
        </w:rPr>
        <w:t xml:space="preserve"> 负责组织食品安全事件应急所需物资的收储、动用、轮换、管理和保障。负责粮食收购、储存环节和政策性用粮购销活动中发生食品安全事件的应急处置和违法行为的调查处理，并依法采取必要的处置措施，防止或者减轻社会危害。</w:t>
      </w:r>
    </w:p>
    <w:p>
      <w:pPr>
        <w:keepNext w:val="0"/>
        <w:keepLines w:val="0"/>
        <w:pageBreakBefore w:val="0"/>
        <w:widowControl w:val="0"/>
        <w:kinsoku/>
        <w:wordWrap/>
        <w:overflowPunct w:val="0"/>
        <w:topLinePunct w:val="0"/>
        <w:autoSpaceDE/>
        <w:autoSpaceDN/>
        <w:bidi w:val="0"/>
        <w:spacing w:after="0" w:line="580" w:lineRule="exact"/>
        <w:ind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eastAsia="zh-CN"/>
        </w:rPr>
        <w:t>）县教体局：</w:t>
      </w:r>
      <w:r>
        <w:rPr>
          <w:rFonts w:hint="eastAsia" w:ascii="仿宋_GB2312" w:hAnsi="仿宋_GB2312" w:eastAsia="仿宋_GB2312" w:cs="仿宋_GB2312"/>
          <w:sz w:val="32"/>
          <w:szCs w:val="32"/>
          <w:lang w:eastAsia="zh-CN"/>
        </w:rPr>
        <w:t>负责协助食品安全监管部门对学校（托幼机构）食堂、学生营养餐、学校周边食品经营发生食品安全事件原因进行调查，组织相关应急处置工作。</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lang w:val="en-US" w:eastAsia="zh-CN"/>
        </w:rPr>
        <w:t>商务和工业信息化</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sz w:val="32"/>
          <w:szCs w:val="32"/>
          <w:lang w:eastAsia="zh-CN"/>
        </w:rPr>
        <w:t>负责食品安全事件处置的科技攻关项目的组织申报工作，为事件处置提供相关的项目支持；负责协助对乳制品、转基因食品、酒类等特定食品工业中食品安全事件的调查和应急处置；配合食品安全监管部门做好食品流通、餐饮服务环节食品安全事件的调查处置。</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lang w:eastAsia="zh-CN"/>
        </w:rPr>
        <w:t>）县公安局：</w:t>
      </w:r>
      <w:r>
        <w:rPr>
          <w:rFonts w:hint="eastAsia" w:ascii="仿宋_GB2312" w:hAnsi="仿宋_GB2312" w:eastAsia="仿宋_GB2312" w:cs="仿宋_GB2312"/>
          <w:sz w:val="32"/>
          <w:szCs w:val="32"/>
          <w:lang w:eastAsia="zh-CN"/>
        </w:rPr>
        <w:t>负责食品安全事件中涉嫌犯罪行为的侦查工作；加强对食品安全事件现场的治安管理，有效维护社会治安秩序。</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lang w:eastAsia="zh-CN"/>
        </w:rPr>
        <w:t>）县民政局：</w:t>
      </w:r>
      <w:r>
        <w:rPr>
          <w:rFonts w:hint="eastAsia" w:ascii="仿宋_GB2312" w:hAnsi="仿宋_GB2312" w:eastAsia="仿宋_GB2312" w:cs="仿宋_GB2312"/>
          <w:sz w:val="32"/>
          <w:szCs w:val="32"/>
          <w:lang w:eastAsia="zh-CN"/>
        </w:rPr>
        <w:t>负责协助做好受食品安全事件影响、生活困难群众的临时救助工作；负责协助食品安全监管部门做好养老机构、社会福利机构食堂等集中用餐单位食品安全事件的应急处置工作。</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lang w:eastAsia="zh-CN"/>
        </w:rPr>
        <w:t>）县司法局：</w:t>
      </w:r>
      <w:r>
        <w:rPr>
          <w:rFonts w:hint="eastAsia" w:ascii="仿宋_GB2312" w:hAnsi="仿宋_GB2312" w:eastAsia="仿宋_GB2312" w:cs="仿宋_GB2312"/>
          <w:sz w:val="32"/>
          <w:szCs w:val="32"/>
          <w:lang w:eastAsia="zh-CN"/>
        </w:rPr>
        <w:t>负责对食品安全监管部门依法行政的监督指导。</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）县财政局：</w:t>
      </w:r>
      <w:r>
        <w:rPr>
          <w:rFonts w:hint="eastAsia" w:ascii="仿宋_GB2312" w:hAnsi="仿宋_GB2312" w:eastAsia="仿宋_GB2312" w:cs="仿宋_GB2312"/>
          <w:sz w:val="32"/>
          <w:szCs w:val="32"/>
          <w:lang w:eastAsia="zh-CN"/>
        </w:rPr>
        <w:t>负责食品安全事件应急处置资金保障及资金使用监督管理。</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13</w:t>
      </w:r>
      <w:r>
        <w:rPr>
          <w:rFonts w:hint="eastAsia" w:ascii="仿宋_GB2312" w:hAnsi="仿宋_GB2312" w:eastAsia="仿宋_GB2312" w:cs="仿宋_GB2312"/>
          <w:b/>
          <w:bCs/>
          <w:sz w:val="32"/>
          <w:szCs w:val="32"/>
          <w:lang w:eastAsia="zh-CN"/>
        </w:rPr>
        <w:t>）县生态环境局：</w:t>
      </w:r>
      <w:r>
        <w:rPr>
          <w:rFonts w:hint="eastAsia" w:ascii="仿宋_GB2312" w:hAnsi="仿宋_GB2312" w:eastAsia="仿宋_GB2312" w:cs="仿宋_GB2312"/>
          <w:sz w:val="32"/>
          <w:szCs w:val="32"/>
          <w:lang w:eastAsia="zh-CN"/>
        </w:rPr>
        <w:t>负责组织协调次生食品安全事件的环境污染调查处置工作；对造成食品安全事件的环境违法行为追究相应责任。</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）县住建局:</w:t>
      </w:r>
      <w:r>
        <w:rPr>
          <w:rFonts w:hint="eastAsia" w:ascii="仿宋_GB2312" w:hAnsi="仿宋_GB2312" w:eastAsia="仿宋_GB2312" w:cs="仿宋_GB2312"/>
          <w:sz w:val="32"/>
          <w:szCs w:val="32"/>
          <w:lang w:eastAsia="zh-CN"/>
        </w:rPr>
        <w:t xml:space="preserve"> 负责协助食品安全监管部门做好建筑工地食堂食品安全管理工作；负责指导各镇（街）做好临时性马路市场、占道摊点和停留市场以外的食品摊贩在食品安全事件中违法行为的调查处理；负责废弃食用油脂及餐厨垃圾收集、运输、处置，配合食品安全事件中违法行为的调查处理；并依</w:t>
      </w:r>
    </w:p>
    <w:p>
      <w:pPr>
        <w:keepNext w:val="0"/>
        <w:keepLines w:val="0"/>
        <w:pageBreakBefore w:val="0"/>
        <w:widowControl w:val="0"/>
        <w:kinsoku/>
        <w:wordWrap/>
        <w:overflowPunct w:val="0"/>
        <w:topLinePunct w:val="0"/>
        <w:autoSpaceDE/>
        <w:autoSpaceDN/>
        <w:bidi w:val="0"/>
        <w:spacing w:after="0" w:line="58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法采取必要的应急处置措施，防止或者减轻社会危害。</w:t>
      </w:r>
    </w:p>
    <w:p>
      <w:pPr>
        <w:keepNext w:val="0"/>
        <w:keepLines w:val="0"/>
        <w:pageBreakBefore w:val="0"/>
        <w:widowControl w:val="0"/>
        <w:numPr>
          <w:ilvl w:val="0"/>
          <w:numId w:val="0"/>
        </w:numPr>
        <w:kinsoku/>
        <w:wordWrap/>
        <w:overflowPunct w:val="0"/>
        <w:topLinePunct w:val="0"/>
        <w:autoSpaceDE/>
        <w:autoSpaceDN/>
        <w:bidi w:val="0"/>
        <w:spacing w:after="0"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lang w:eastAsia="zh-CN"/>
        </w:rPr>
        <w:t>）县交通运输局：</w:t>
      </w:r>
      <w:r>
        <w:rPr>
          <w:rFonts w:hint="eastAsia" w:ascii="仿宋_GB2312" w:hAnsi="仿宋_GB2312" w:eastAsia="仿宋_GB2312" w:cs="仿宋_GB2312"/>
          <w:sz w:val="32"/>
          <w:szCs w:val="32"/>
          <w:lang w:eastAsia="zh-CN"/>
        </w:rPr>
        <w:t>负责协助提供事件应急处置过程中的道路交通运力保障；配合食品安全监管部门做好运输环节食品安全事件的应急处置工作。</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eastAsia="zh-CN"/>
        </w:rPr>
        <w:t>）县农业农村局：</w:t>
      </w:r>
      <w:r>
        <w:rPr>
          <w:rFonts w:hint="eastAsia" w:ascii="仿宋_GB2312" w:hAnsi="仿宋_GB2312" w:eastAsia="仿宋_GB2312" w:cs="仿宋_GB2312"/>
          <w:sz w:val="32"/>
          <w:szCs w:val="32"/>
          <w:lang w:eastAsia="zh-CN"/>
        </w:rPr>
        <w:t>负责食用农产品、水产品种植养殖环节、畜禽屠宰环节和生鲜乳收购环节质量安全事件中违法行为的调查处理，并依法采取必要的应急处置措施，防止或者减轻社会危害；负责有关应急处置工作检测队伍建设，组织开展食用农产品、水产品检测评估，提出评估结论。</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lang w:eastAsia="zh-CN"/>
        </w:rPr>
        <w:t>）县文旅局：</w:t>
      </w:r>
      <w:r>
        <w:rPr>
          <w:rFonts w:hint="eastAsia" w:ascii="仿宋_GB2312" w:hAnsi="仿宋_GB2312" w:eastAsia="仿宋_GB2312" w:cs="仿宋_GB2312"/>
          <w:sz w:val="32"/>
          <w:szCs w:val="32"/>
          <w:lang w:eastAsia="zh-CN"/>
        </w:rPr>
        <w:t>在县委宣传部的指导下，负责食品安全事件应急处置新闻报道工作中广播电视机构的相关管理协调工作；协助食品安全监管部门对涉及旅游的食品安全事件进行应急处理。</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18</w:t>
      </w:r>
      <w:r>
        <w:rPr>
          <w:rFonts w:hint="eastAsia" w:ascii="仿宋_GB2312" w:hAnsi="仿宋_GB2312" w:eastAsia="仿宋_GB2312" w:cs="仿宋_GB2312"/>
          <w:b/>
          <w:bCs/>
          <w:sz w:val="32"/>
          <w:szCs w:val="32"/>
          <w:lang w:eastAsia="zh-CN"/>
        </w:rPr>
        <w:t>）县卫健局：</w:t>
      </w:r>
      <w:r>
        <w:rPr>
          <w:rFonts w:hint="eastAsia" w:ascii="仿宋_GB2312" w:hAnsi="仿宋_GB2312" w:eastAsia="仿宋_GB2312" w:cs="仿宋_GB2312"/>
          <w:sz w:val="32"/>
          <w:szCs w:val="32"/>
          <w:lang w:eastAsia="zh-CN"/>
        </w:rPr>
        <w:t>为县应急指挥部办公室提供技术支持，参加县应急指挥部办公室工作；会同食品安全监管部门开展事件调查、核定事件级别；会同食品安全监管部门提出应急响应建议；负责有关应急处置工作医疗救援力量建设；组织医疗救治，协调现场处置及技术调查；提供相关标准解释；组织开展相关检测和风险评估，提出相关评估结论；负责</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lang w:eastAsia="zh-CN"/>
        </w:rPr>
        <w:t>应急处置工作检测队伍建设。</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19</w:t>
      </w:r>
      <w:r>
        <w:rPr>
          <w:rFonts w:hint="eastAsia" w:ascii="仿宋_GB2312" w:hAnsi="仿宋_GB2312" w:eastAsia="仿宋_GB2312" w:cs="仿宋_GB2312"/>
          <w:b/>
          <w:bCs/>
          <w:sz w:val="32"/>
          <w:szCs w:val="32"/>
          <w:lang w:eastAsia="zh-CN"/>
        </w:rPr>
        <w:t>）县市场监管局：</w:t>
      </w:r>
      <w:r>
        <w:rPr>
          <w:rFonts w:hint="eastAsia" w:ascii="仿宋_GB2312" w:hAnsi="仿宋_GB2312" w:eastAsia="仿宋_GB2312" w:cs="仿宋_GB2312"/>
          <w:sz w:val="32"/>
          <w:szCs w:val="32"/>
          <w:lang w:eastAsia="zh-CN"/>
        </w:rPr>
        <w:t>负责食用农产品、水产品流通环节、食品生产经营、餐饮服务环节食品安全事件和食品包装材料、容器、食品生产经营工具等食品相关产品安全事件中违法行为的调查处理，依法采取必要的应急处置措施，防止或者减轻社会危害；负责有关应急处置工作检测队伍建设。</w:t>
      </w:r>
    </w:p>
    <w:p>
      <w:pPr>
        <w:keepNext w:val="0"/>
        <w:keepLines w:val="0"/>
        <w:pageBreakBefore w:val="0"/>
        <w:widowControl w:val="0"/>
        <w:numPr>
          <w:ilvl w:val="0"/>
          <w:numId w:val="0"/>
        </w:numPr>
        <w:kinsoku/>
        <w:wordWrap/>
        <w:overflowPunct w:val="0"/>
        <w:topLinePunct w:val="0"/>
        <w:autoSpaceDE/>
        <w:autoSpaceDN/>
        <w:bidi w:val="0"/>
        <w:spacing w:after="0"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lang w:eastAsia="zh-CN"/>
        </w:rPr>
        <w:t>）县行政审批服务局：</w:t>
      </w:r>
      <w:r>
        <w:rPr>
          <w:rFonts w:hint="eastAsia" w:ascii="仿宋_GB2312" w:hAnsi="仿宋_GB2312" w:eastAsia="仿宋_GB2312" w:cs="仿宋_GB2312"/>
          <w:sz w:val="32"/>
          <w:szCs w:val="32"/>
          <w:lang w:eastAsia="zh-CN"/>
        </w:rPr>
        <w:t>负责配合食品安全监管部门做好食品生产经营、餐饮服务环节食品安全事件的有关调查处置工作。</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b/>
          <w:bCs/>
          <w:sz w:val="32"/>
          <w:szCs w:val="32"/>
          <w:lang w:eastAsia="zh-CN"/>
        </w:rPr>
        <w:t>）县林业局:</w:t>
      </w:r>
      <w:r>
        <w:rPr>
          <w:rFonts w:hint="eastAsia" w:ascii="仿宋_GB2312" w:hAnsi="仿宋_GB2312" w:eastAsia="仿宋_GB2312" w:cs="仿宋_GB2312"/>
          <w:sz w:val="32"/>
          <w:szCs w:val="32"/>
          <w:lang w:eastAsia="zh-CN"/>
        </w:rPr>
        <w:t xml:space="preserve"> 负责食用林产品种植养殖环节质量安全事件中违法行为的调查处理，并依法采取必要的处置措施，防止或者减轻社会危害。</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22</w:t>
      </w:r>
      <w:r>
        <w:rPr>
          <w:rFonts w:hint="eastAsia" w:ascii="仿宋_GB2312" w:hAnsi="仿宋_GB2312" w:eastAsia="仿宋_GB2312" w:cs="仿宋_GB2312"/>
          <w:b/>
          <w:bCs/>
          <w:sz w:val="32"/>
          <w:szCs w:val="32"/>
          <w:lang w:eastAsia="zh-CN"/>
        </w:rPr>
        <w:t>）县民宗局：</w:t>
      </w:r>
      <w:r>
        <w:rPr>
          <w:rFonts w:hint="eastAsia" w:ascii="仿宋_GB2312" w:hAnsi="仿宋_GB2312" w:eastAsia="仿宋_GB2312" w:cs="仿宋_GB2312"/>
          <w:sz w:val="32"/>
          <w:szCs w:val="32"/>
          <w:lang w:eastAsia="zh-CN"/>
        </w:rPr>
        <w:t>依照相关法规，负责协助有关监管部门开展清真食品相关安全事件的调查处置，组织相关清真认定工作。</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2.5</w:t>
      </w:r>
      <w:r>
        <w:rPr>
          <w:rFonts w:hint="eastAsia" w:ascii="楷体_GB2312" w:hAnsi="楷体_GB2312" w:eastAsia="楷体_GB2312" w:cs="楷体_GB2312"/>
          <w:b/>
          <w:bCs/>
          <w:sz w:val="32"/>
          <w:szCs w:val="32"/>
          <w:lang w:eastAsia="zh-CN"/>
        </w:rPr>
        <w:t>县应急指挥部工作组组成及职责</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各工作组在县应急指挥部的统一指挥下开展工作，并随时向县应急指挥部报告进展情况。</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）医疗救治组：</w:t>
      </w:r>
      <w:r>
        <w:rPr>
          <w:rFonts w:hint="eastAsia" w:ascii="仿宋_GB2312" w:hAnsi="仿宋_GB2312" w:eastAsia="仿宋_GB2312" w:cs="仿宋_GB2312"/>
          <w:sz w:val="32"/>
          <w:szCs w:val="32"/>
          <w:lang w:eastAsia="zh-CN"/>
        </w:rPr>
        <w:t>县卫健局牵头，必要时公安部门配合交通疏导及治安保障。职责：结合事件调查情况，组织协调医疗机构，迅速</w:t>
      </w:r>
      <w:r>
        <w:rPr>
          <w:rFonts w:hint="eastAsia" w:ascii="仿宋_GB2312" w:hAnsi="仿宋_GB2312" w:eastAsia="仿宋_GB2312" w:cs="仿宋_GB2312"/>
          <w:sz w:val="32"/>
          <w:szCs w:val="32"/>
          <w:lang w:val="en-US" w:eastAsia="zh-CN"/>
        </w:rPr>
        <w:t>组建</w:t>
      </w:r>
      <w:r>
        <w:rPr>
          <w:rFonts w:hint="eastAsia" w:ascii="仿宋_GB2312" w:hAnsi="仿宋_GB2312" w:eastAsia="仿宋_GB2312" w:cs="仿宋_GB2312"/>
          <w:sz w:val="32"/>
          <w:szCs w:val="32"/>
          <w:lang w:eastAsia="zh-CN"/>
        </w:rPr>
        <w:t>抢救队伍，尽快查明致病（死）原因，制定最佳救治方案，提出救治措施，积极实施救治，最大限度降低危害。</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）危害控制组：</w:t>
      </w:r>
      <w:r>
        <w:rPr>
          <w:rFonts w:hint="eastAsia" w:ascii="仿宋_GB2312" w:hAnsi="仿宋_GB2312" w:eastAsia="仿宋_GB2312" w:cs="仿宋_GB2312"/>
          <w:sz w:val="32"/>
          <w:szCs w:val="32"/>
          <w:lang w:eastAsia="zh-CN"/>
        </w:rPr>
        <w:t>县应急指挥部根据事件发生情况，按照成员单位职能确定牵头单位和参加单位。职责：监督、指导事件发生地有关成员单位召回、下架、封存有关食品、原料、食</w:t>
      </w:r>
    </w:p>
    <w:p>
      <w:pPr>
        <w:keepNext w:val="0"/>
        <w:keepLines w:val="0"/>
        <w:pageBreakBefore w:val="0"/>
        <w:widowControl w:val="0"/>
        <w:kinsoku/>
        <w:wordWrap/>
        <w:overflowPunct w:val="0"/>
        <w:topLinePunct w:val="0"/>
        <w:autoSpaceDE/>
        <w:autoSpaceDN/>
        <w:bidi w:val="0"/>
        <w:spacing w:after="0" w:line="580" w:lineRule="exact"/>
        <w:ind w:left="0" w:leftChars="0" w:right="0" w:rightChars="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品添加剂及相关产品，严格控制流通渠道，防止危害蔓延扩大。</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）事件调查组：</w:t>
      </w:r>
      <w:r>
        <w:rPr>
          <w:rFonts w:hint="eastAsia" w:ascii="仿宋_GB2312" w:hAnsi="仿宋_GB2312" w:eastAsia="仿宋_GB2312" w:cs="仿宋_GB2312"/>
          <w:sz w:val="32"/>
          <w:szCs w:val="32"/>
          <w:lang w:eastAsia="zh-CN"/>
        </w:rPr>
        <w:t>县应急指挥部根据事件发生情况，按照成员单位职能确定牵头单位和参加单位。职责：协调有关成员单位开展应急救援工作，监督应急处置措施的落实；调查事件发生原因，确定事件性质和等级，评估事件影响，作出调查结论，提出事件防范意见和处理意见。县卫健局负责查明事件致病原因，作出调查结论，评估事件影响，提出事件防范意见；有关成员单位负责查明事件发生的监管漏洞以及导致事件发生的第一责任原因，作出调查结论，提出监管处理意见以及防范措施；县公安局对涉嫌犯罪的，负责立案侦办，查清事实，依法追究刑事责任。</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）检测评估组：</w:t>
      </w:r>
      <w:r>
        <w:rPr>
          <w:rFonts w:hint="eastAsia" w:ascii="仿宋_GB2312" w:hAnsi="仿宋_GB2312" w:eastAsia="仿宋_GB2312" w:cs="仿宋_GB2312"/>
          <w:sz w:val="32"/>
          <w:szCs w:val="32"/>
          <w:lang w:eastAsia="zh-CN"/>
        </w:rPr>
        <w:t>县市场监管局牵头，县卫健局、农业农村局等成员单位的检测检验技术机构配合。职责：负责可疑样品的封存，提出检测方案和要求，组织开展相关检测，综合分析各方检测数据。配合事件调查组，查找事件原因和评估事件发展趋势，预测事件后果，为制</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lang w:eastAsia="zh-CN"/>
        </w:rPr>
        <w:t>现场抢救方案和采取控制措施提供参考，检测评估结果要及时报告县食安办。必要时检测评估组可与事件调查组一并开展工作。</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）维护稳定组：</w:t>
      </w:r>
      <w:r>
        <w:rPr>
          <w:rFonts w:hint="eastAsia" w:ascii="仿宋_GB2312" w:hAnsi="仿宋_GB2312" w:eastAsia="仿宋_GB2312" w:cs="仿宋_GB2312"/>
          <w:sz w:val="32"/>
          <w:szCs w:val="32"/>
          <w:lang w:eastAsia="zh-CN"/>
        </w:rPr>
        <w:t>县公安局负责，职责：</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eastAsia="zh-CN"/>
        </w:rPr>
        <w:t>事件现场的安全保卫、治安管理和交通疏导，积极化解因事件造成的矛盾纠纷，维护社会稳定。必要时，冻结事件发生单位及主要责任人资产，对肇事者及相关人员采取监控措施，防止逃逸。</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eastAsia="zh-CN"/>
        </w:rPr>
        <w:t>）物资供应组：</w:t>
      </w:r>
      <w:r>
        <w:rPr>
          <w:rFonts w:hint="eastAsia" w:ascii="仿宋_GB2312" w:hAnsi="仿宋_GB2312" w:eastAsia="仿宋_GB2312" w:cs="仿宋_GB2312"/>
          <w:sz w:val="32"/>
          <w:szCs w:val="32"/>
          <w:lang w:eastAsia="zh-CN"/>
        </w:rPr>
        <w:t>县发改局牵头，县</w:t>
      </w:r>
      <w:r>
        <w:rPr>
          <w:rFonts w:hint="eastAsia" w:ascii="仿宋_GB2312" w:hAnsi="仿宋_GB2312" w:eastAsia="仿宋_GB2312" w:cs="仿宋_GB2312"/>
          <w:sz w:val="32"/>
          <w:szCs w:val="32"/>
          <w:lang w:val="en-US" w:eastAsia="zh-CN"/>
        </w:rPr>
        <w:t>商务和工业信息化</w:t>
      </w:r>
      <w:r>
        <w:rPr>
          <w:rFonts w:hint="eastAsia" w:ascii="仿宋_GB2312" w:hAnsi="仿宋_GB2312" w:eastAsia="仿宋_GB2312" w:cs="仿宋_GB2312"/>
          <w:sz w:val="32"/>
          <w:szCs w:val="32"/>
          <w:lang w:eastAsia="zh-CN"/>
        </w:rPr>
        <w:t>局配合。职责：建立健全重要应急物资监测网络、预警体系和应急物资生产、储备、调拨及紧急配送体系，完善应急工作程序，确保应急所需物资和生活用品的及时供应。加强对物资储备的监督管理，及时补充和更新。</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eastAsia="zh-CN"/>
        </w:rPr>
        <w:t>）新闻报道组：</w:t>
      </w:r>
      <w:r>
        <w:rPr>
          <w:rFonts w:hint="eastAsia" w:ascii="仿宋_GB2312" w:hAnsi="仿宋_GB2312" w:eastAsia="仿宋_GB2312" w:cs="仿宋_GB2312"/>
          <w:sz w:val="32"/>
          <w:szCs w:val="32"/>
          <w:lang w:eastAsia="zh-CN"/>
        </w:rPr>
        <w:t>县委宣传部牵头，县文旅局配合组织实施。职责：配合县应急指挥部组织事件处置新闻报道和舆论引导，把握食品安全事件报道工作的正确导向，指导协调新闻宣传单位做好事件的新闻报道，配合相关部门做好信息发布。</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2.6</w:t>
      </w:r>
      <w:r>
        <w:rPr>
          <w:rFonts w:hint="eastAsia" w:ascii="楷体_GB2312" w:hAnsi="楷体_GB2312" w:eastAsia="楷体_GB2312" w:cs="楷体_GB2312"/>
          <w:b/>
          <w:bCs/>
          <w:sz w:val="32"/>
          <w:szCs w:val="32"/>
          <w:lang w:eastAsia="zh-CN"/>
        </w:rPr>
        <w:t>县应急处置检验检测机构职责</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医疗、疾病预防控制、食品安全检验检测中心以及县应急指挥部成员单位的相关技术机构（含第三方食品检测机构）作为食品安全事件应急处置专业技术机构，应当在县应急指挥部及其上级部门组织领导下开展应急处置相关技术支撑工作。食品安全事件发生后，各应急处置检验检测机构严格按照县应急指挥部的统一调配开展工作。</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2.7</w:t>
      </w:r>
      <w:r>
        <w:rPr>
          <w:rFonts w:hint="eastAsia" w:ascii="楷体_GB2312" w:hAnsi="楷体_GB2312" w:eastAsia="楷体_GB2312" w:cs="楷体_GB2312"/>
          <w:b/>
          <w:bCs/>
          <w:sz w:val="32"/>
          <w:szCs w:val="32"/>
          <w:lang w:eastAsia="zh-CN"/>
        </w:rPr>
        <w:t>县应急处置专家队伍职责</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应急指挥部建立食品安全事件应急处置专家库。食品安全事件发生后，从专家库中确定相关专家，组建食品安全事件专家组，对食品安全事件应急处置工作提供咨询、提出建议、技术指导，对食品安全事件形成定性、定因结论。</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2.8</w:t>
      </w:r>
      <w:r>
        <w:rPr>
          <w:rFonts w:hint="eastAsia" w:ascii="楷体_GB2312" w:hAnsi="楷体_GB2312" w:eastAsia="楷体_GB2312" w:cs="楷体_GB2312"/>
          <w:b/>
          <w:bCs/>
          <w:sz w:val="32"/>
          <w:szCs w:val="32"/>
          <w:lang w:eastAsia="zh-CN"/>
        </w:rPr>
        <w:t>镇（街）应急指挥部</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镇（街）应急指挥部要参照县级应急指挥体系设立相应的应急组织机构，并在县应急指挥部的领导下，组织和指挥本辖区、本单位食品安全事件的应急处置工作。</w:t>
      </w:r>
    </w:p>
    <w:p>
      <w:pPr>
        <w:keepNext w:val="0"/>
        <w:keepLines w:val="0"/>
        <w:pageBreakBefore w:val="0"/>
        <w:widowControl w:val="0"/>
        <w:numPr>
          <w:ilvl w:val="0"/>
          <w:numId w:val="8"/>
        </w:numPr>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监测、报告、预警</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3.1</w:t>
      </w:r>
      <w:r>
        <w:rPr>
          <w:rFonts w:hint="eastAsia" w:ascii="楷体_GB2312" w:hAnsi="楷体_GB2312" w:eastAsia="楷体_GB2312" w:cs="楷体_GB2312"/>
          <w:b/>
          <w:bCs/>
          <w:sz w:val="32"/>
          <w:szCs w:val="32"/>
          <w:lang w:eastAsia="zh-CN"/>
        </w:rPr>
        <w:t>信息监测</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镇（街）应急指挥部办公室和县应急指挥部成员单位要加强食品安全信息搜集与监测，开展食品安全风险分析，及时发现事件苗头，早预警、早处置，有效控制事态发展蔓延；对重大、敏感性强的食品安全信息要跟踪监测，建立信息通报、</w:t>
      </w:r>
    </w:p>
    <w:p>
      <w:pPr>
        <w:keepNext w:val="0"/>
        <w:keepLines w:val="0"/>
        <w:pageBreakBefore w:val="0"/>
        <w:widowControl w:val="0"/>
        <w:kinsoku/>
        <w:wordWrap/>
        <w:overflowPunct w:val="0"/>
        <w:topLinePunct w:val="0"/>
        <w:autoSpaceDE/>
        <w:autoSpaceDN/>
        <w:bidi w:val="0"/>
        <w:spacing w:after="0" w:line="580" w:lineRule="exact"/>
        <w:ind w:left="0" w:leftChars="0" w:right="0" w:rightChars="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分析研判、分级处置机制。监测信息的主要内容包括：</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）来自广播、电视、报刊、互联网及移动网络等媒体上的食品安全相关舆情信息。</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）食品安全事件发生单位与引发食品安全事件生产经营单位报告的信息。</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）医疗机构报告的信息。</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）食品安全相关技术机构监测和分析结果。</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）经核实的公众举报信息。</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）有关部门通报的食品安全事件信息。</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）日常监督检查和抽检监测中发现的食品安全信息。</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）上级有关部门和其他县通报我县的信息。</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）其他渠道获取的食品安全事件信息。</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3.2</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eastAsia="zh-CN"/>
        </w:rPr>
        <w:t>信息报告</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b/>
          <w:bCs w:val="0"/>
          <w:sz w:val="32"/>
          <w:szCs w:val="32"/>
          <w:lang w:eastAsia="zh-CN"/>
        </w:rPr>
      </w:pPr>
      <w:r>
        <w:rPr>
          <w:rFonts w:ascii="仿宋_GB2312" w:hAnsi="仿宋_GB2312" w:eastAsia="仿宋_GB2312" w:cs="仿宋_GB2312"/>
          <w:b/>
          <w:bCs w:val="0"/>
          <w:sz w:val="32"/>
          <w:szCs w:val="32"/>
          <w:lang w:eastAsia="zh-CN"/>
        </w:rPr>
        <w:t>3.2.1</w:t>
      </w:r>
      <w:r>
        <w:rPr>
          <w:rFonts w:hint="eastAsia" w:ascii="仿宋_GB2312" w:hAnsi="仿宋_GB2312" w:eastAsia="仿宋_GB2312" w:cs="仿宋_GB2312"/>
          <w:b/>
          <w:bCs w:val="0"/>
          <w:sz w:val="32"/>
          <w:szCs w:val="32"/>
          <w:lang w:eastAsia="zh-CN"/>
        </w:rPr>
        <w:t>信息来源报告</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）食品生产经营者发现其生产经营的食品已造成或者可能造成公众健康损害的情况和信息，以及发生可能与食品有关的急性群体性健康损害的，必须在</w:t>
      </w:r>
      <w:r>
        <w:rPr>
          <w:rFonts w:ascii="仿宋_GB2312" w:hAnsi="仿宋_GB2312" w:eastAsia="仿宋_GB2312" w:cs="仿宋_GB2312"/>
          <w:sz w:val="32"/>
          <w:szCs w:val="32"/>
          <w:lang w:eastAsia="zh-CN"/>
        </w:rPr>
        <w:t>30</w:t>
      </w:r>
      <w:r>
        <w:rPr>
          <w:rFonts w:hint="eastAsia" w:ascii="仿宋_GB2312" w:hAnsi="仿宋_GB2312" w:eastAsia="仿宋_GB2312" w:cs="仿宋_GB2312"/>
          <w:sz w:val="32"/>
          <w:szCs w:val="32"/>
          <w:lang w:eastAsia="zh-CN"/>
        </w:rPr>
        <w:t>分钟内向县市场监管局和其他食安委成员单位报告。</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）接收食品安全事件病人的医疗卫生机构、突发事件检验检测机构和有关成员单位，在作出集体性食物中毒或食源性疾病判断后，必须</w:t>
      </w:r>
      <w:r>
        <w:rPr>
          <w:rFonts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小时内向县卫健局报告。</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）食品安全检测技术机构（含第三方食品检测机构）、有关社会团体及个人发现食品安全事件相关情况，要及时向县市场监管局和</w:t>
      </w:r>
      <w:r>
        <w:rPr>
          <w:rFonts w:hint="eastAsia" w:ascii="仿宋_GB2312" w:hAnsi="仿宋_GB2312" w:eastAsia="仿宋_GB2312" w:cs="仿宋_GB2312"/>
          <w:sz w:val="32"/>
          <w:szCs w:val="32"/>
          <w:lang w:val="en-US" w:eastAsia="zh-CN"/>
        </w:rPr>
        <w:t>涉及的</w:t>
      </w:r>
      <w:r>
        <w:rPr>
          <w:rFonts w:hint="eastAsia" w:ascii="仿宋_GB2312" w:hAnsi="仿宋_GB2312" w:eastAsia="仿宋_GB2312" w:cs="仿宋_GB2312"/>
          <w:sz w:val="32"/>
          <w:szCs w:val="32"/>
          <w:lang w:eastAsia="zh-CN"/>
        </w:rPr>
        <w:t>成员单位报告，同时向其行政主管部门报告。</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）接到事件信息的成员单位经核实事件发生地不在本行政区域</w:t>
      </w:r>
      <w:r>
        <w:rPr>
          <w:rFonts w:hint="eastAsia" w:ascii="仿宋_GB2312" w:hAnsi="仿宋_GB2312" w:eastAsia="仿宋_GB2312" w:cs="仿宋_GB2312"/>
          <w:sz w:val="32"/>
          <w:szCs w:val="32"/>
          <w:lang w:val="en-US" w:eastAsia="zh-CN"/>
        </w:rPr>
        <w:t>或本部门</w:t>
      </w:r>
      <w:r>
        <w:rPr>
          <w:rFonts w:hint="eastAsia" w:ascii="仿宋_GB2312" w:hAnsi="仿宋_GB2312" w:eastAsia="仿宋_GB2312" w:cs="仿宋_GB2312"/>
          <w:sz w:val="32"/>
          <w:szCs w:val="32"/>
          <w:lang w:eastAsia="zh-CN"/>
        </w:rPr>
        <w:t>时，需及时向食品安全事件发生地</w:t>
      </w:r>
      <w:r>
        <w:rPr>
          <w:rFonts w:hint="eastAsia" w:ascii="仿宋_GB2312" w:hAnsi="仿宋_GB2312" w:eastAsia="仿宋_GB2312" w:cs="仿宋_GB2312"/>
          <w:sz w:val="32"/>
          <w:szCs w:val="32"/>
          <w:lang w:val="en-US" w:eastAsia="zh-CN"/>
        </w:rPr>
        <w:t>镇（街）或部门</w:t>
      </w:r>
      <w:r>
        <w:rPr>
          <w:rFonts w:hint="eastAsia" w:ascii="仿宋_GB2312" w:hAnsi="仿宋_GB2312" w:eastAsia="仿宋_GB2312" w:cs="仿宋_GB2312"/>
          <w:sz w:val="32"/>
          <w:szCs w:val="32"/>
          <w:lang w:eastAsia="zh-CN"/>
        </w:rPr>
        <w:t>通报。</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）市场监管部门及应急指挥部相关成员单位应向社会及相关单位公布事件信息报告电话，畅通信息渠道，保障食品安全事件信息报告与通报的即时性。</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b/>
          <w:bCs w:val="0"/>
          <w:sz w:val="32"/>
          <w:szCs w:val="32"/>
          <w:lang w:eastAsia="zh-CN"/>
        </w:rPr>
      </w:pPr>
      <w:r>
        <w:rPr>
          <w:rFonts w:ascii="仿宋_GB2312" w:hAnsi="仿宋_GB2312" w:eastAsia="仿宋_GB2312" w:cs="仿宋_GB2312"/>
          <w:b/>
          <w:bCs w:val="0"/>
          <w:sz w:val="32"/>
          <w:szCs w:val="32"/>
          <w:lang w:eastAsia="zh-CN"/>
        </w:rPr>
        <w:t>3.2.2</w:t>
      </w:r>
      <w:r>
        <w:rPr>
          <w:rFonts w:hint="eastAsia" w:ascii="仿宋_GB2312" w:hAnsi="仿宋_GB2312" w:eastAsia="仿宋_GB2312" w:cs="仿宋_GB2312"/>
          <w:b/>
          <w:bCs w:val="0"/>
          <w:sz w:val="32"/>
          <w:szCs w:val="32"/>
          <w:lang w:eastAsia="zh-CN"/>
        </w:rPr>
        <w:t>成员单位信息报告</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）各应急指挥部成员单位获得疑似或已确定的食品安全事件信息，特别是敏感人群、敏感时期所发生的食品安全事件信息后，要在第一时间向同级应急指挥部办公室报告简要情况，详情随后续报，原则上不得超过</w:t>
      </w:r>
      <w:r>
        <w:rPr>
          <w:rFonts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小时。</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）发生</w:t>
      </w:r>
      <w:r>
        <w:rPr>
          <w:rFonts w:ascii="仿宋_GB2312" w:hAnsi="仿宋_GB2312" w:eastAsia="仿宋_GB2312" w:cs="仿宋_GB2312"/>
          <w:sz w:val="32"/>
          <w:szCs w:val="32"/>
          <w:lang w:eastAsia="zh-CN"/>
        </w:rPr>
        <w:t>IV</w:t>
      </w:r>
      <w:r>
        <w:rPr>
          <w:rFonts w:hint="eastAsia" w:ascii="仿宋_GB2312" w:hAnsi="仿宋_GB2312" w:eastAsia="仿宋_GB2312" w:cs="仿宋_GB2312"/>
          <w:sz w:val="32"/>
          <w:szCs w:val="32"/>
          <w:lang w:eastAsia="zh-CN"/>
        </w:rPr>
        <w:t>级或</w:t>
      </w:r>
      <w:r>
        <w:rPr>
          <w:rFonts w:ascii="仿宋_GB2312" w:hAnsi="仿宋_GB2312" w:eastAsia="仿宋_GB2312" w:cs="仿宋_GB2312"/>
          <w:sz w:val="32"/>
          <w:szCs w:val="32"/>
          <w:lang w:eastAsia="zh-CN"/>
        </w:rPr>
        <w:t>III</w:t>
      </w:r>
      <w:r>
        <w:rPr>
          <w:rFonts w:hint="eastAsia" w:ascii="仿宋_GB2312" w:hAnsi="仿宋_GB2312" w:eastAsia="仿宋_GB2312" w:cs="仿宋_GB2312"/>
          <w:sz w:val="32"/>
          <w:szCs w:val="32"/>
          <w:lang w:eastAsia="zh-CN"/>
        </w:rPr>
        <w:t>级食品安全事件，县应急指挥部办公室必须２小时内报县应急指挥部并向市应急指挥部办公室报告。</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）发生Ⅱ级、Ⅰ级重大食品安全事件，县应急指挥部办公室必须</w:t>
      </w:r>
      <w:r>
        <w:rPr>
          <w:rFonts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t>小时内报告县应急指挥部并向市应急指挥部办公室报告，特殊情况可直接上报省应急指挥部办公室，最迟不得超过</w:t>
      </w:r>
      <w:r>
        <w:rPr>
          <w:rFonts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eastAsia="zh-CN"/>
        </w:rPr>
        <w:t>小时。</w:t>
      </w:r>
    </w:p>
    <w:p>
      <w:pPr>
        <w:keepNext w:val="0"/>
        <w:keepLines w:val="0"/>
        <w:pageBreakBefore w:val="0"/>
        <w:widowControl w:val="0"/>
        <w:kinsoku/>
        <w:wordWrap/>
        <w:overflowPunct w:val="0"/>
        <w:topLinePunct w:val="0"/>
        <w:autoSpaceDE/>
        <w:autoSpaceDN/>
        <w:bidi w:val="0"/>
        <w:spacing w:after="0" w:line="580" w:lineRule="exact"/>
        <w:ind w:right="0" w:rightChars="0"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）各应急指挥部成员单位监测到食品安全舆情事件信息后，及时通报同级应急指挥部办公室，应急指挥部办公室根据研判结果提出处置意见，报县应急指挥部和市应急指挥部办公室。</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b/>
          <w:bCs w:val="0"/>
          <w:sz w:val="32"/>
          <w:szCs w:val="32"/>
          <w:lang w:eastAsia="zh-CN"/>
        </w:rPr>
      </w:pPr>
      <w:r>
        <w:rPr>
          <w:rFonts w:ascii="仿宋_GB2312" w:hAnsi="仿宋_GB2312" w:eastAsia="仿宋_GB2312" w:cs="仿宋_GB2312"/>
          <w:b/>
          <w:bCs w:val="0"/>
          <w:sz w:val="32"/>
          <w:szCs w:val="32"/>
          <w:lang w:eastAsia="zh-CN"/>
        </w:rPr>
        <w:t>3.2.3</w:t>
      </w:r>
      <w:r>
        <w:rPr>
          <w:rFonts w:hint="eastAsia" w:ascii="仿宋_GB2312" w:hAnsi="仿宋_GB2312" w:eastAsia="仿宋_GB2312" w:cs="仿宋_GB2312"/>
          <w:b/>
          <w:bCs w:val="0"/>
          <w:sz w:val="32"/>
          <w:szCs w:val="32"/>
          <w:lang w:eastAsia="zh-CN"/>
        </w:rPr>
        <w:t>报告内容</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食品生产经营者、医疗单位、技术机构和社会团体、个人向市场监管、卫健部门等有关成员单位报告疑似食品安全事件信息时，应当包括事件发生时间、地点、人数、信息来源等基本情况。</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成员单位报告食品安全事件信息时，应当包括事件发生单位、时间、地点、危害程度、伤亡人数、事件简要经过、事件性质、影响范围、事件趋势和已采取措施等内容，事件报告单位信息应含报告时间、报告单位联系人员及联系方式。应急处置过程中，随时报告工作进展情况。</w:t>
      </w:r>
    </w:p>
    <w:p>
      <w:pPr>
        <w:keepNext w:val="0"/>
        <w:keepLines w:val="0"/>
        <w:pageBreakBefore w:val="0"/>
        <w:widowControl w:val="0"/>
        <w:tabs>
          <w:tab w:val="left" w:pos="7785"/>
        </w:tabs>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sz w:val="32"/>
          <w:szCs w:val="32"/>
          <w:lang w:eastAsia="zh-CN"/>
        </w:rPr>
      </w:pPr>
      <w:r>
        <w:rPr>
          <w:rFonts w:ascii="楷体_GB2312" w:hAnsi="楷体_GB2312" w:eastAsia="楷体_GB2312" w:cs="楷体_GB2312"/>
          <w:b/>
          <w:bCs/>
          <w:sz w:val="32"/>
          <w:szCs w:val="32"/>
          <w:lang w:eastAsia="zh-CN"/>
        </w:rPr>
        <w:t>3.3</w:t>
      </w:r>
      <w:r>
        <w:rPr>
          <w:rFonts w:hint="eastAsia" w:ascii="楷体_GB2312" w:hAnsi="楷体_GB2312" w:eastAsia="楷体_GB2312" w:cs="楷体_GB2312"/>
          <w:b/>
          <w:bCs/>
          <w:sz w:val="32"/>
          <w:szCs w:val="32"/>
          <w:lang w:eastAsia="zh-CN"/>
        </w:rPr>
        <w:t>预警发布</w:t>
      </w:r>
      <w:r>
        <w:rPr>
          <w:rFonts w:hint="eastAsia" w:ascii="楷体_GB2312" w:hAnsi="楷体_GB2312" w:eastAsia="楷体_GB2312" w:cs="楷体_GB2312"/>
          <w:sz w:val="32"/>
          <w:szCs w:val="32"/>
          <w:lang w:eastAsia="zh-CN"/>
        </w:rPr>
        <w:tab/>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指挥部办公室接到食品安全事件信息报告后，及时对信息进行调查核实、分析、评估和研判，经评估不需要启动本级应急响应的，通报有关成员单位对事发地进行指导处置；经评估事态有可能进一步扩大需要启动本级应急响应的，报本级应急指挥部同意，由应急指挥部办公室向本级应急指挥部成员单位发布预警信息，各成员单位在对事发地进行指导处置的同时，根据各自职责做好应急响应准备。</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应急指挥部在指挥食品安全事件处置中，根据风险危害及蔓延情况可在一定区域内由同级应急指挥部办公室向公众发布风险警示信息。</w:t>
      </w:r>
    </w:p>
    <w:p>
      <w:pPr>
        <w:keepNext w:val="0"/>
        <w:keepLines w:val="0"/>
        <w:pageBreakBefore w:val="0"/>
        <w:widowControl w:val="0"/>
        <w:numPr>
          <w:ilvl w:val="0"/>
          <w:numId w:val="8"/>
        </w:numPr>
        <w:kinsoku/>
        <w:wordWrap/>
        <w:overflowPunct w:val="0"/>
        <w:topLinePunct w:val="0"/>
        <w:autoSpaceDE/>
        <w:autoSpaceDN/>
        <w:bidi w:val="0"/>
        <w:spacing w:after="0" w:line="580" w:lineRule="exact"/>
        <w:ind w:left="0" w:leftChars="0" w:right="0" w:rightChars="0" w:firstLine="640" w:firstLineChars="0"/>
        <w:jc w:val="both"/>
        <w:textAlignment w:val="auto"/>
        <w:outlineLvl w:val="9"/>
        <w:rPr>
          <w:rFonts w:ascii="黑体" w:hAnsi="黑体" w:eastAsia="黑体" w:cs="黑体"/>
          <w:sz w:val="32"/>
          <w:szCs w:val="32"/>
          <w:lang w:eastAsia="zh-CN"/>
        </w:rPr>
      </w:pPr>
      <w:r>
        <w:rPr>
          <w:rFonts w:hint="eastAsia" w:ascii="黑体" w:hAnsi="黑体" w:eastAsia="黑体" w:cs="黑体"/>
          <w:sz w:val="32"/>
          <w:szCs w:val="32"/>
          <w:lang w:eastAsia="zh-CN"/>
        </w:rPr>
        <w:t>应急响应</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4.1</w:t>
      </w:r>
      <w:r>
        <w:rPr>
          <w:rFonts w:hint="eastAsia" w:ascii="楷体_GB2312" w:hAnsi="楷体_GB2312" w:eastAsia="楷体_GB2312" w:cs="楷体_GB2312"/>
          <w:b/>
          <w:bCs/>
          <w:sz w:val="32"/>
          <w:szCs w:val="32"/>
          <w:lang w:eastAsia="zh-CN"/>
        </w:rPr>
        <w:t>先期处置</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应急指挥部办公室接到食品安全事件报告后，应立即按要求上报和通报事件信息，并组织卫生健康、公安及涉及的食品监管职能部门在各自职责范围内开展先期应急处置和事件调查，并采取下列措施，防止或减轻社会危害</w:t>
      </w:r>
      <w:r>
        <w:rPr>
          <w:rFonts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）开展应急救援</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组织救治因食品安全事件导致</w:t>
      </w:r>
      <w:r>
        <w:rPr>
          <w:rFonts w:hint="eastAsia" w:ascii="仿宋_GB2312" w:hAnsi="仿宋_GB2312" w:eastAsia="仿宋_GB2312" w:cs="仿宋_GB2312"/>
          <w:sz w:val="32"/>
          <w:szCs w:val="32"/>
          <w:lang w:val="en-US" w:eastAsia="zh-CN"/>
        </w:rPr>
        <w:t>被</w:t>
      </w:r>
      <w:r>
        <w:rPr>
          <w:rFonts w:hint="eastAsia" w:ascii="仿宋_GB2312" w:hAnsi="仿宋_GB2312" w:eastAsia="仿宋_GB2312" w:cs="仿宋_GB2312"/>
          <w:sz w:val="32"/>
          <w:szCs w:val="32"/>
          <w:lang w:eastAsia="zh-CN"/>
        </w:rPr>
        <w:t>伤害的人员。</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保护现场，维护治安，封存可能导致食品安全事件的食品及其原料；封存被污染的食品用工具及用具；封存发生集体性食物中毒的食堂或操作间；立即组织检验，对确认属于被污染的食品及其原料，责令食品生产经营者依法予以召回，停止生产经营。</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）根据各自职责开展事件初步调查。</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）向社会依法发布食品安全事件及其处理情况，对可能产生的危害</w:t>
      </w:r>
      <w:r>
        <w:rPr>
          <w:rFonts w:hint="eastAsia" w:ascii="仿宋_GB2312" w:hAnsi="仿宋_GB2312" w:eastAsia="仿宋_GB2312" w:cs="仿宋_GB2312"/>
          <w:sz w:val="32"/>
          <w:szCs w:val="32"/>
          <w:lang w:val="en-US" w:eastAsia="zh-CN"/>
        </w:rPr>
        <w:t>给予</w:t>
      </w:r>
      <w:r>
        <w:rPr>
          <w:rFonts w:hint="eastAsia" w:ascii="仿宋_GB2312" w:hAnsi="仿宋_GB2312" w:eastAsia="仿宋_GB2312" w:cs="仿宋_GB2312"/>
          <w:sz w:val="32"/>
          <w:szCs w:val="32"/>
          <w:lang w:eastAsia="zh-CN"/>
        </w:rPr>
        <w:t>解释和说明。</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4.2</w:t>
      </w:r>
      <w:r>
        <w:rPr>
          <w:rFonts w:hint="eastAsia" w:ascii="楷体_GB2312" w:hAnsi="楷体_GB2312" w:eastAsia="楷体_GB2312" w:cs="楷体_GB2312"/>
          <w:b/>
          <w:bCs/>
          <w:sz w:val="32"/>
          <w:szCs w:val="32"/>
          <w:lang w:eastAsia="zh-CN"/>
        </w:rPr>
        <w:t>事件评估</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）各应急指挥部成员单位应当按规定及时向卫健部门提供相关信息和资料。</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）县疾病预防控制中心应当开展流行病学调查，向县应急指挥部办公室、卫健部门提交流行病学调查报告。</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卫健部门负责对食品安全事件进行评估，评估内容包括：污染食品可能导致的健康损害及所涉及的范围，是否已造成健康损害后果及严重程度；事件的影响范围及严重程度；事件发展蔓延趋势；确定事件级别，提出是否需要启动应急响应建议，形成评估报告，报同级应急指挥部办公室和上级行政主管部门。</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4.3</w:t>
      </w:r>
      <w:r>
        <w:rPr>
          <w:rFonts w:hint="eastAsia" w:ascii="楷体_GB2312" w:hAnsi="楷体_GB2312" w:eastAsia="楷体_GB2312" w:cs="楷体_GB2312"/>
          <w:b/>
          <w:bCs/>
          <w:sz w:val="32"/>
          <w:szCs w:val="32"/>
          <w:lang w:eastAsia="zh-CN"/>
        </w:rPr>
        <w:t>响应启动</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b/>
          <w:bCs w:val="0"/>
          <w:sz w:val="32"/>
          <w:szCs w:val="32"/>
          <w:lang w:eastAsia="zh-CN"/>
        </w:rPr>
      </w:pPr>
      <w:r>
        <w:rPr>
          <w:rFonts w:ascii="仿宋_GB2312" w:hAnsi="仿宋_GB2312" w:eastAsia="仿宋_GB2312" w:cs="仿宋_GB2312"/>
          <w:b/>
          <w:bCs w:val="0"/>
          <w:sz w:val="32"/>
          <w:szCs w:val="32"/>
          <w:lang w:eastAsia="zh-CN"/>
        </w:rPr>
        <w:t>4.3.1</w:t>
      </w:r>
      <w:r>
        <w:rPr>
          <w:rFonts w:hint="eastAsia" w:ascii="仿宋_GB2312" w:hAnsi="仿宋_GB2312" w:eastAsia="仿宋_GB2312" w:cs="仿宋_GB2312"/>
          <w:b/>
          <w:bCs w:val="0"/>
          <w:sz w:val="32"/>
          <w:szCs w:val="32"/>
          <w:lang w:eastAsia="zh-CN"/>
        </w:rPr>
        <w:t>应急机制启动</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食品安全事件发生后，在县级应急指挥部的指挥下进行先</w:t>
      </w:r>
    </w:p>
    <w:p>
      <w:pPr>
        <w:keepNext w:val="0"/>
        <w:keepLines w:val="0"/>
        <w:pageBreakBefore w:val="0"/>
        <w:widowControl w:val="0"/>
        <w:kinsoku/>
        <w:wordWrap/>
        <w:overflowPunct w:val="0"/>
        <w:topLinePunct w:val="0"/>
        <w:autoSpaceDE/>
        <w:autoSpaceDN/>
        <w:bidi w:val="0"/>
        <w:spacing w:after="0" w:line="580" w:lineRule="exact"/>
        <w:ind w:left="0" w:leftChars="0" w:right="0" w:rightChars="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期处置，经卫健部门分析评估，需要启动应急预案的，应急指挥部办公室会同卫健部门向本级应急指挥部提出启动相应级别应急响应的建议，经本级应急指挥部批准</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lang w:eastAsia="zh-CN"/>
        </w:rPr>
        <w:t>启动。</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b/>
          <w:bCs w:val="0"/>
          <w:sz w:val="32"/>
          <w:szCs w:val="32"/>
          <w:lang w:eastAsia="zh-CN"/>
        </w:rPr>
      </w:pPr>
      <w:r>
        <w:rPr>
          <w:rFonts w:ascii="仿宋_GB2312" w:hAnsi="仿宋_GB2312" w:eastAsia="仿宋_GB2312" w:cs="仿宋_GB2312"/>
          <w:b/>
          <w:bCs w:val="0"/>
          <w:sz w:val="32"/>
          <w:szCs w:val="32"/>
          <w:lang w:eastAsia="zh-CN"/>
        </w:rPr>
        <w:t>4.3.2</w:t>
      </w:r>
      <w:r>
        <w:rPr>
          <w:rFonts w:hint="eastAsia" w:ascii="仿宋_GB2312" w:hAnsi="仿宋_GB2312" w:eastAsia="仿宋_GB2312" w:cs="仿宋_GB2312"/>
          <w:b/>
          <w:bCs w:val="0"/>
          <w:sz w:val="32"/>
          <w:szCs w:val="32"/>
          <w:lang w:eastAsia="zh-CN"/>
        </w:rPr>
        <w:t>启动响应程序</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食品安全事件分级情况，Ⅳ级事件由县应急指挥部启动应急响应，并统一指挥处置。当发生非级别食品安全事件时，原则上按非响应程序处置，必要时启动Ⅳ级响应。</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食源性疾病中涉及传染病疫情的，按照《中华人民共和国传染病防治法》《国家突发公共卫生事件应急预案》和《陕西省〈突发公共卫生事件应急条例〉实施办法》等相关规定开展疫情防控和应急处置。</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b/>
          <w:bCs w:val="0"/>
          <w:sz w:val="32"/>
          <w:szCs w:val="32"/>
          <w:lang w:eastAsia="zh-CN"/>
        </w:rPr>
      </w:pPr>
      <w:r>
        <w:rPr>
          <w:rFonts w:ascii="仿宋_GB2312" w:hAnsi="仿宋_GB2312" w:eastAsia="仿宋_GB2312" w:cs="仿宋_GB2312"/>
          <w:b/>
          <w:bCs w:val="0"/>
          <w:sz w:val="32"/>
          <w:szCs w:val="32"/>
          <w:lang w:eastAsia="zh-CN"/>
        </w:rPr>
        <w:t>4.3.3</w:t>
      </w:r>
      <w:r>
        <w:rPr>
          <w:rFonts w:hint="eastAsia" w:ascii="仿宋_GB2312" w:hAnsi="仿宋_GB2312" w:eastAsia="仿宋_GB2312" w:cs="仿宋_GB2312"/>
          <w:b/>
          <w:bCs w:val="0"/>
          <w:sz w:val="32"/>
          <w:szCs w:val="32"/>
          <w:lang w:eastAsia="zh-CN"/>
        </w:rPr>
        <w:t>特别重大、重大食品安全事件应急响应（Ⅰ级、Ⅱ级、Ⅲ级）</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对特别重大、重大、较大食品安全事件由县应急指挥部分别配合国务院应急指挥部启动Ⅰ级、省应急指挥部启动Ⅱ级、市应急指挥部启动Ⅲ级响应，组织应急处置，</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eastAsia="zh-CN"/>
        </w:rPr>
        <w:t>成员单位在县应急指挥部的统一指挥下履行各自职责。</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b/>
          <w:bCs w:val="0"/>
          <w:sz w:val="32"/>
          <w:szCs w:val="32"/>
          <w:lang w:eastAsia="zh-CN"/>
        </w:rPr>
      </w:pPr>
      <w:r>
        <w:rPr>
          <w:rFonts w:ascii="仿宋_GB2312" w:hAnsi="仿宋_GB2312" w:eastAsia="仿宋_GB2312" w:cs="仿宋_GB2312"/>
          <w:b/>
          <w:bCs w:val="0"/>
          <w:sz w:val="32"/>
          <w:szCs w:val="32"/>
          <w:lang w:eastAsia="zh-CN"/>
        </w:rPr>
        <w:t>4.3.4</w:t>
      </w:r>
      <w:r>
        <w:rPr>
          <w:rFonts w:hint="eastAsia" w:ascii="仿宋_GB2312" w:hAnsi="仿宋_GB2312" w:eastAsia="仿宋_GB2312" w:cs="仿宋_GB2312"/>
          <w:b/>
          <w:bCs w:val="0"/>
          <w:sz w:val="32"/>
          <w:szCs w:val="32"/>
          <w:lang w:eastAsia="zh-CN"/>
        </w:rPr>
        <w:t>一般食品安全事件的应急响应（Ⅳ级）</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）一般食品安全事件发生后，县应急指挥部办公室应及时向县应急指挥部和市应急指挥部办公室报告事件基本情况、事态发展和救援进展等，并指导、部署事发地应急指挥部开展先期处置；</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）向县应急指挥部成员单位通报情况，组织开展调查评估，发布预警信息，各成员单位作好应急响应各项准备；</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）根据评估结果，提出启动县应急指挥部工作程序和应急处置工作建议；</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）组织成员单位迅速到位，事件调查组、危害控制组、医疗救治组、检测评估组、维护稳定组、物资供应组、新闻报道组、技术专家组等立即开展应急处置各项工作，并要求镇（街）启动相应应急响应；</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）加强与事件发生地镇（街）应急指挥部和各工作组的通信联系，随时掌握事件发展动态；</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）根据有关部门和专家建议，通知有关应急机构随时待命，为地方或专业应急指挥机构提供技术支持，必要时协调专业应急力量参与救援；</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）食品安全事件有蔓延趋势的，应向毗邻或可能涉及</w:t>
      </w:r>
      <w:r>
        <w:rPr>
          <w:rFonts w:hint="eastAsia" w:ascii="仿宋_GB2312" w:hAnsi="仿宋_GB2312" w:eastAsia="仿宋_GB2312" w:cs="仿宋_GB2312"/>
          <w:sz w:val="32"/>
          <w:szCs w:val="32"/>
          <w:lang w:val="en-US" w:eastAsia="zh-CN"/>
        </w:rPr>
        <w:t>镇（街）、县区</w:t>
      </w:r>
      <w:r>
        <w:rPr>
          <w:rFonts w:hint="eastAsia" w:ascii="仿宋_GB2312" w:hAnsi="仿宋_GB2312" w:eastAsia="仿宋_GB2312" w:cs="仿宋_GB2312"/>
          <w:sz w:val="32"/>
          <w:szCs w:val="32"/>
          <w:lang w:eastAsia="zh-CN"/>
        </w:rPr>
        <w:t>通报事件有关情况。</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Ⅳ级食品安全事件发生地镇（街）和相关单位应当及时开展先期处置，根据评估结果，启动相应级别的应急响应，并在县应急指挥部的统一指挥下认真履行各自职责。</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b/>
          <w:bCs w:val="0"/>
          <w:sz w:val="32"/>
          <w:szCs w:val="32"/>
          <w:lang w:eastAsia="zh-CN"/>
        </w:rPr>
      </w:pPr>
      <w:r>
        <w:rPr>
          <w:rFonts w:ascii="仿宋_GB2312" w:hAnsi="仿宋_GB2312" w:eastAsia="仿宋_GB2312" w:cs="仿宋_GB2312"/>
          <w:b/>
          <w:bCs w:val="0"/>
          <w:sz w:val="32"/>
          <w:szCs w:val="32"/>
          <w:lang w:eastAsia="zh-CN"/>
        </w:rPr>
        <w:t>4.3.5</w:t>
      </w:r>
      <w:r>
        <w:rPr>
          <w:rFonts w:hint="eastAsia" w:ascii="仿宋_GB2312" w:hAnsi="仿宋_GB2312" w:eastAsia="仿宋_GB2312" w:cs="仿宋_GB2312"/>
          <w:b/>
          <w:bCs w:val="0"/>
          <w:sz w:val="32"/>
          <w:szCs w:val="32"/>
          <w:lang w:eastAsia="zh-CN"/>
        </w:rPr>
        <w:t>非响应程序</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食品安全事件发生后，经评估不需要启动应急预案的，县</w:t>
      </w:r>
    </w:p>
    <w:p>
      <w:pPr>
        <w:keepNext w:val="0"/>
        <w:keepLines w:val="0"/>
        <w:pageBreakBefore w:val="0"/>
        <w:widowControl w:val="0"/>
        <w:kinsoku/>
        <w:wordWrap/>
        <w:overflowPunct w:val="0"/>
        <w:topLinePunct w:val="0"/>
        <w:autoSpaceDE/>
        <w:autoSpaceDN/>
        <w:bidi w:val="0"/>
        <w:spacing w:after="0" w:line="580" w:lineRule="exact"/>
        <w:ind w:left="0" w:leftChars="0" w:right="0" w:rightChars="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应急指挥部办公室在先期处置基础上，指挥相关成员单位开展事件调查、信息发布、善后处置等工作。事件处置结束后，</w:t>
      </w:r>
      <w:r>
        <w:rPr>
          <w:rFonts w:ascii="仿宋_GB2312" w:hAnsi="仿宋_GB2312" w:eastAsia="仿宋_GB2312" w:cs="仿宋_GB2312"/>
          <w:sz w:val="32"/>
          <w:szCs w:val="32"/>
          <w:lang w:eastAsia="zh-CN"/>
        </w:rPr>
        <w:t>15</w:t>
      </w:r>
      <w:r>
        <w:rPr>
          <w:rFonts w:hint="eastAsia" w:ascii="仿宋_GB2312" w:hAnsi="仿宋_GB2312" w:eastAsia="仿宋_GB2312" w:cs="仿宋_GB2312"/>
          <w:sz w:val="32"/>
          <w:szCs w:val="32"/>
          <w:lang w:eastAsia="zh-CN"/>
        </w:rPr>
        <w:t>日内形成总结报县应急指挥部和市应急指挥部办公室。</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4.4</w:t>
      </w:r>
      <w:r>
        <w:rPr>
          <w:rFonts w:hint="eastAsia" w:ascii="楷体_GB2312" w:hAnsi="楷体_GB2312" w:eastAsia="楷体_GB2312" w:cs="楷体_GB2312"/>
          <w:b/>
          <w:bCs/>
          <w:sz w:val="32"/>
          <w:szCs w:val="32"/>
          <w:lang w:eastAsia="zh-CN"/>
        </w:rPr>
        <w:t>处置措施</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Ⅰ级、Ⅱ级、Ⅲ级、Ⅳ级事件发生后，县应急指挥部办公</w:t>
      </w:r>
    </w:p>
    <w:p>
      <w:pPr>
        <w:keepNext w:val="0"/>
        <w:keepLines w:val="0"/>
        <w:pageBreakBefore w:val="0"/>
        <w:widowControl w:val="0"/>
        <w:kinsoku/>
        <w:wordWrap/>
        <w:overflowPunct w:val="0"/>
        <w:topLinePunct w:val="0"/>
        <w:autoSpaceDE/>
        <w:autoSpaceDN/>
        <w:bidi w:val="0"/>
        <w:spacing w:after="0" w:line="58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室根据事件性质、特点和危害程度，立即组织相关成员单位采</w:t>
      </w:r>
    </w:p>
    <w:p>
      <w:pPr>
        <w:keepNext w:val="0"/>
        <w:keepLines w:val="0"/>
        <w:pageBreakBefore w:val="0"/>
        <w:widowControl w:val="0"/>
        <w:kinsoku/>
        <w:wordWrap/>
        <w:overflowPunct w:val="0"/>
        <w:topLinePunct w:val="0"/>
        <w:autoSpaceDE/>
        <w:autoSpaceDN/>
        <w:bidi w:val="0"/>
        <w:spacing w:after="0" w:line="580" w:lineRule="exact"/>
        <w:ind w:left="0" w:leftChars="0" w:right="0" w:rightChars="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取下列应急处置措施：</w:t>
      </w:r>
    </w:p>
    <w:p>
      <w:pPr>
        <w:keepNext w:val="0"/>
        <w:keepLines w:val="0"/>
        <w:pageBreakBefore w:val="0"/>
        <w:widowControl w:val="0"/>
        <w:numPr>
          <w:ilvl w:val="0"/>
          <w:numId w:val="0"/>
        </w:numPr>
        <w:kinsoku/>
        <w:wordWrap/>
        <w:overflowPunct w:val="0"/>
        <w:topLinePunct w:val="0"/>
        <w:autoSpaceDE/>
        <w:autoSpaceDN/>
        <w:bidi w:val="0"/>
        <w:spacing w:after="0" w:line="58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）医疗救治组及时组织医疗机构，开展对食品安全事件中患者的救治。</w:t>
      </w:r>
    </w:p>
    <w:p>
      <w:pPr>
        <w:keepNext w:val="0"/>
        <w:keepLines w:val="0"/>
        <w:pageBreakBefore w:val="0"/>
        <w:widowControl w:val="0"/>
        <w:numPr>
          <w:ilvl w:val="0"/>
          <w:numId w:val="0"/>
        </w:numPr>
        <w:kinsoku/>
        <w:wordWrap/>
        <w:overflowPunct w:val="0"/>
        <w:topLinePunct w:val="0"/>
        <w:autoSpaceDE/>
        <w:autoSpaceDN/>
        <w:bidi w:val="0"/>
        <w:spacing w:after="0" w:line="580" w:lineRule="exact"/>
        <w:ind w:right="0" w:rightChars="0"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）检测评估组及时组织疾病预防控制机构，开展流行病学调查与检测，组织检验机构开展抽样检验，尽快查找食品安全事件发生原因；涉嫌犯罪的，公安机关及时介入并开展相关侦破工作。</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）危害控制组依法强制性就地或异地封存事件相关食品、原料和被污染的食品用工具及用具，待查明导致食品安全事件原因后，责令食品生产经营者彻底清洗消毒被污染的食品用工具及用具，消除污染。</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）对确认受到有毒有害物质污染的相关食品及原料，农业农村、市场监管等</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应当依法责令生产经营者召回、停止经营并销毁，检验后确认未被污染的应予以解封。对确认由次生环境污染，造成的较大食品安全事件的环境违法行为，县生态环境局应当指导、协调事发地镇（街）开展环境污染处置，对造成较大以上食品安全事件的环境违法行为依法进行处理。</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）及时组织评估事件发展态势，并向事件可能蔓延到的县（区）通报信息，提醒做好应对准备。</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）事态出现急剧恶化时，现场应急处置机构在充分考虑专家和有关方面意见基础上，及时制定紧急处置方案，依法采取紧急处置措施。</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4.5</w:t>
      </w:r>
      <w:r>
        <w:rPr>
          <w:rFonts w:hint="eastAsia" w:ascii="楷体_GB2312" w:hAnsi="楷体_GB2312" w:eastAsia="楷体_GB2312" w:cs="楷体_GB2312"/>
          <w:b/>
          <w:bCs/>
          <w:sz w:val="32"/>
          <w:szCs w:val="32"/>
          <w:lang w:eastAsia="zh-CN"/>
        </w:rPr>
        <w:t>检测分析评估</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应急处置专业技术机构应当对引发食品安全事件的相关危</w:t>
      </w:r>
    </w:p>
    <w:p>
      <w:pPr>
        <w:keepNext w:val="0"/>
        <w:keepLines w:val="0"/>
        <w:pageBreakBefore w:val="0"/>
        <w:widowControl w:val="0"/>
        <w:kinsoku/>
        <w:wordWrap/>
        <w:overflowPunct w:val="0"/>
        <w:topLinePunct w:val="0"/>
        <w:autoSpaceDE/>
        <w:autoSpaceDN/>
        <w:bidi w:val="0"/>
        <w:spacing w:after="0" w:line="580" w:lineRule="exact"/>
        <w:ind w:left="0" w:leftChars="0" w:right="0" w:rightChars="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害因素及时检测</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专家组对检测数据进行综合分析和评估</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分析事件发展趋势、预测事件后果，为制订事件调查和现场处置方案提供参考。有关部门对食品安全事件相关危险因素、事件中伤病人员救治、现场受污染食品控制、食品与环境、次生</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衍生事件隐患消除等情况进行分析评估。</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4.6</w:t>
      </w:r>
      <w:r>
        <w:rPr>
          <w:rFonts w:hint="eastAsia" w:ascii="楷体_GB2312" w:hAnsi="楷体_GB2312" w:eastAsia="楷体_GB2312" w:cs="楷体_GB2312"/>
          <w:b/>
          <w:bCs/>
          <w:sz w:val="32"/>
          <w:szCs w:val="32"/>
          <w:lang w:eastAsia="zh-CN"/>
        </w:rPr>
        <w:t>响应级别调整及终止</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食品安全事件处置过程中，要遵循事件发生发展客观规律，结合实际情况和防控需要，根据评估结果及时调整应急响应级别，直至响应终止。</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b/>
          <w:bCs w:val="0"/>
          <w:sz w:val="32"/>
          <w:szCs w:val="32"/>
          <w:lang w:eastAsia="zh-CN"/>
        </w:rPr>
      </w:pPr>
      <w:r>
        <w:rPr>
          <w:rFonts w:ascii="仿宋_GB2312" w:hAnsi="仿宋_GB2312" w:eastAsia="仿宋_GB2312" w:cs="仿宋_GB2312"/>
          <w:b/>
          <w:bCs w:val="0"/>
          <w:sz w:val="32"/>
          <w:szCs w:val="32"/>
          <w:lang w:eastAsia="zh-CN"/>
        </w:rPr>
        <w:t>4.6.1</w:t>
      </w:r>
      <w:r>
        <w:rPr>
          <w:rFonts w:hint="eastAsia" w:ascii="仿宋_GB2312" w:hAnsi="仿宋_GB2312" w:eastAsia="仿宋_GB2312" w:cs="仿宋_GB2312"/>
          <w:b/>
          <w:bCs w:val="0"/>
          <w:sz w:val="32"/>
          <w:szCs w:val="32"/>
          <w:lang w:eastAsia="zh-CN"/>
        </w:rPr>
        <w:t>响应级别调整及终止条件</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）级别提升</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事件进一步加重，影响和危害扩大并有蔓延趋势、情况复杂本级难以控制时，应当及时提升响应级别。当学校或托幼机构、重要活动期间发生食品安全事件时，可相应提高响应级别，加大处置力度，确保迅速、有效控制食品安全事件，维护社会稳定。</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）级别降低</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事件危害得到有效控制，且经研判认为事件危害降低到原级别评估标准以下或无进一步扩散趋势的，可降低应急响应级别。</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）响应终止</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当食品安全事件得到控制，并达到以下要求，经分析评估</w:t>
      </w:r>
    </w:p>
    <w:p>
      <w:pPr>
        <w:keepNext w:val="0"/>
        <w:keepLines w:val="0"/>
        <w:pageBreakBefore w:val="0"/>
        <w:widowControl w:val="0"/>
        <w:kinsoku/>
        <w:wordWrap/>
        <w:overflowPunct w:val="0"/>
        <w:topLinePunct w:val="0"/>
        <w:autoSpaceDE/>
        <w:autoSpaceDN/>
        <w:bidi w:val="0"/>
        <w:spacing w:after="0" w:line="580" w:lineRule="exact"/>
        <w:ind w:left="0" w:leftChars="0" w:right="0" w:rightChars="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认为可解除响应的，应当及时终止响应：</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①食品安全事件伤病员全部得到救治，原患者病情稳定</w:t>
      </w:r>
      <w:r>
        <w:rPr>
          <w:rFonts w:ascii="仿宋_GB2312" w:hAnsi="仿宋_GB2312" w:eastAsia="仿宋_GB2312" w:cs="仿宋_GB2312"/>
          <w:sz w:val="32"/>
          <w:szCs w:val="32"/>
          <w:lang w:eastAsia="zh-CN"/>
        </w:rPr>
        <w:t>24</w:t>
      </w:r>
    </w:p>
    <w:p>
      <w:pPr>
        <w:keepNext w:val="0"/>
        <w:keepLines w:val="0"/>
        <w:pageBreakBefore w:val="0"/>
        <w:widowControl w:val="0"/>
        <w:kinsoku/>
        <w:wordWrap/>
        <w:overflowPunct w:val="0"/>
        <w:topLinePunct w:val="0"/>
        <w:autoSpaceDE/>
        <w:autoSpaceDN/>
        <w:bidi w:val="0"/>
        <w:spacing w:after="0" w:line="580" w:lineRule="exact"/>
        <w:ind w:left="0" w:leftChars="0" w:right="0" w:rightChars="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小时以上，且无新的急性病症患者出现（集体性食物中毒事件阻断肇事食物摄入</w:t>
      </w:r>
      <w:r>
        <w:rPr>
          <w:rFonts w:ascii="仿宋_GB2312" w:hAnsi="仿宋_GB2312" w:eastAsia="仿宋_GB2312" w:cs="仿宋_GB2312"/>
          <w:sz w:val="32"/>
          <w:szCs w:val="32"/>
          <w:lang w:eastAsia="zh-CN"/>
        </w:rPr>
        <w:t>72</w:t>
      </w:r>
      <w:r>
        <w:rPr>
          <w:rFonts w:hint="eastAsia" w:ascii="仿宋_GB2312" w:hAnsi="仿宋_GB2312" w:eastAsia="仿宋_GB2312" w:cs="仿宋_GB2312"/>
          <w:sz w:val="32"/>
          <w:szCs w:val="32"/>
          <w:lang w:eastAsia="zh-CN"/>
        </w:rPr>
        <w:t>小时内无同类病例发生），食源性感染性疾病在末例患者后经过最长潜伏期无新病例出现。</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②现场、受污染食品得以有效控制，食品与环境污染得到有效清理并符合相关标准，次生、衍生事件隐患消除。</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b/>
          <w:bCs w:val="0"/>
          <w:sz w:val="32"/>
          <w:szCs w:val="32"/>
          <w:lang w:eastAsia="zh-CN"/>
        </w:rPr>
      </w:pPr>
      <w:r>
        <w:rPr>
          <w:rFonts w:ascii="仿宋_GB2312" w:hAnsi="仿宋_GB2312" w:eastAsia="仿宋_GB2312" w:cs="仿宋_GB2312"/>
          <w:b/>
          <w:bCs w:val="0"/>
          <w:sz w:val="32"/>
          <w:szCs w:val="32"/>
          <w:lang w:eastAsia="zh-CN"/>
        </w:rPr>
        <w:t>4.6.2</w:t>
      </w:r>
      <w:r>
        <w:rPr>
          <w:rFonts w:hint="eastAsia" w:ascii="仿宋_GB2312" w:hAnsi="仿宋_GB2312" w:eastAsia="仿宋_GB2312" w:cs="仿宋_GB2312"/>
          <w:b/>
          <w:bCs w:val="0"/>
          <w:sz w:val="32"/>
          <w:szCs w:val="32"/>
          <w:lang w:eastAsia="zh-CN"/>
        </w:rPr>
        <w:t>响应级别调整及终止程序</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Ⅳ级事件由县应急指挥部办公室组织分析评估论证。评估认为符合级别调整条件的，提出调整应急响应级别建议，</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lang w:eastAsia="zh-CN"/>
        </w:rPr>
        <w:t>县应急指挥部批准后实施。响应级别调整后，事件相关</w:t>
      </w:r>
      <w:r>
        <w:rPr>
          <w:rFonts w:hint="eastAsia" w:ascii="仿宋_GB2312" w:hAnsi="仿宋_GB2312" w:eastAsia="仿宋_GB2312" w:cs="仿宋_GB2312"/>
          <w:sz w:val="32"/>
          <w:szCs w:val="32"/>
          <w:lang w:val="en-US" w:eastAsia="zh-CN"/>
        </w:rPr>
        <w:t>镇（街）</w:t>
      </w:r>
      <w:r>
        <w:rPr>
          <w:rFonts w:hint="eastAsia" w:ascii="仿宋_GB2312" w:hAnsi="仿宋_GB2312" w:eastAsia="仿宋_GB2312" w:cs="仿宋_GB2312"/>
          <w:sz w:val="32"/>
          <w:szCs w:val="32"/>
          <w:lang w:eastAsia="zh-CN"/>
        </w:rPr>
        <w:t>应急指挥部应当结合调整后级别采取相应措施。评估认为符合响应终止条件的，县应急指挥部办公室提出终止响应的建议，报县应急指挥部批准后实施。</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4.7</w:t>
      </w:r>
      <w:r>
        <w:rPr>
          <w:rFonts w:hint="eastAsia" w:ascii="楷体_GB2312" w:hAnsi="楷体_GB2312" w:eastAsia="楷体_GB2312" w:cs="楷体_GB2312"/>
          <w:b/>
          <w:bCs/>
          <w:sz w:val="32"/>
          <w:szCs w:val="32"/>
          <w:lang w:eastAsia="zh-CN"/>
        </w:rPr>
        <w:t>信息发布</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Ⅳ级事件信息发布由县应急指挥部统一组织。具体按照《国家突发公共事件新闻发布应急预案》《陕西省突发公共事件新闻发布应急预案》《眉县网络舆情分级处置工作预案》执行，采取发布新闻通稿等形式向社会发布，做好宣传报道和舆论引</w:t>
      </w:r>
    </w:p>
    <w:p>
      <w:pPr>
        <w:keepNext w:val="0"/>
        <w:keepLines w:val="0"/>
        <w:pageBreakBefore w:val="0"/>
        <w:widowControl w:val="0"/>
        <w:kinsoku/>
        <w:wordWrap/>
        <w:overflowPunct w:val="0"/>
        <w:topLinePunct w:val="0"/>
        <w:autoSpaceDE/>
        <w:autoSpaceDN/>
        <w:bidi w:val="0"/>
        <w:spacing w:after="0" w:line="580" w:lineRule="exact"/>
        <w:ind w:left="0" w:leftChars="0" w:right="0" w:rightChars="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导。</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4.8</w:t>
      </w:r>
      <w:r>
        <w:rPr>
          <w:rFonts w:hint="eastAsia" w:ascii="楷体_GB2312" w:hAnsi="楷体_GB2312" w:eastAsia="楷体_GB2312" w:cs="楷体_GB2312"/>
          <w:b/>
          <w:bCs/>
          <w:sz w:val="32"/>
          <w:szCs w:val="32"/>
          <w:lang w:eastAsia="zh-CN"/>
        </w:rPr>
        <w:t>后期处置</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）善后处置</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由食品安全事件发生地镇（街）负责，</w:t>
      </w:r>
      <w:r>
        <w:rPr>
          <w:rFonts w:hint="eastAsia" w:ascii="仿宋_GB2312" w:hAnsi="仿宋_GB2312" w:eastAsia="仿宋_GB2312" w:cs="仿宋_GB2312"/>
          <w:sz w:val="32"/>
          <w:szCs w:val="32"/>
          <w:lang w:val="en-US" w:eastAsia="zh-CN"/>
        </w:rPr>
        <w:t>联系相关部门，</w:t>
      </w:r>
      <w:r>
        <w:rPr>
          <w:rFonts w:hint="eastAsia" w:ascii="仿宋_GB2312" w:hAnsi="仿宋_GB2312" w:eastAsia="仿宋_GB2312" w:cs="仿宋_GB2312"/>
          <w:sz w:val="32"/>
          <w:szCs w:val="32"/>
          <w:lang w:eastAsia="zh-CN"/>
        </w:rPr>
        <w:t>认真做好伤亡人员善后和家属的安抚工作。必要时成立民事赔偿组，负责食品安全事件的人员安置、补偿，征用物资及运输工具补偿；</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eastAsia="zh-CN"/>
        </w:rPr>
        <w:t>应急及医疗机构费用垫付、事件受害者后续治疗</w:t>
      </w:r>
    </w:p>
    <w:p>
      <w:pPr>
        <w:keepNext w:val="0"/>
        <w:keepLines w:val="0"/>
        <w:pageBreakBefore w:val="0"/>
        <w:widowControl w:val="0"/>
        <w:kinsoku/>
        <w:wordWrap/>
        <w:overflowPunct w:val="0"/>
        <w:topLinePunct w:val="0"/>
        <w:autoSpaceDE/>
        <w:autoSpaceDN/>
        <w:bidi w:val="0"/>
        <w:spacing w:after="0" w:line="58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费用的及时支付、产品抽样和检验费用的及时拨付等。</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食品安全事件发生后，保险机构要及时开展应急救援人员和受灾人员的保险受理。</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造成食品安全事件的责任单位和责任人应当按照有关规定对受害人给予赔偿，承担受害人后续治疗及保障等所需全部费用。</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）总结</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品安全事件善后处置结束后，镇（街）总结分析应急处置经验教训，提出改进应急处置工作的建议，完成应急处置终结报告，报本级应急指挥部，同时抄报县应急指挥部办公室。县应急指挥部办公室根据镇（街）提交的应急处置终结报告，组织研究改进应急处置工作措施，并</w:t>
      </w:r>
      <w:r>
        <w:rPr>
          <w:rFonts w:hint="eastAsia" w:ascii="仿宋_GB2312" w:hAnsi="仿宋_GB2312" w:eastAsia="仿宋_GB2312" w:cs="仿宋_GB2312"/>
          <w:sz w:val="32"/>
          <w:szCs w:val="32"/>
          <w:lang w:val="en-US" w:eastAsia="zh-CN"/>
        </w:rPr>
        <w:t>抄送县应急指挥部成员单位。</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黑体" w:hAnsi="黑体" w:eastAsia="黑体" w:cs="黑体"/>
          <w:sz w:val="32"/>
          <w:szCs w:val="32"/>
          <w:lang w:eastAsia="zh-CN"/>
        </w:rPr>
      </w:pPr>
      <w:r>
        <w:rPr>
          <w:rFonts w:ascii="黑体" w:hAnsi="黑体" w:eastAsia="黑体" w:cs="黑体"/>
          <w:sz w:val="32"/>
          <w:szCs w:val="32"/>
          <w:lang w:eastAsia="zh-CN"/>
        </w:rPr>
        <w:t>5.</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应急保障</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5.1</w:t>
      </w:r>
      <w:r>
        <w:rPr>
          <w:rFonts w:hint="eastAsia" w:ascii="楷体_GB2312" w:hAnsi="楷体_GB2312" w:eastAsia="楷体_GB2312" w:cs="楷体_GB2312"/>
          <w:b/>
          <w:bCs/>
          <w:sz w:val="32"/>
          <w:szCs w:val="32"/>
          <w:lang w:eastAsia="zh-CN"/>
        </w:rPr>
        <w:t>应急机制保障</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本预</w:t>
      </w:r>
      <w:r>
        <w:rPr>
          <w:rFonts w:hint="eastAsia" w:ascii="仿宋_GB2312" w:hAnsi="仿宋_GB2312" w:eastAsia="仿宋_GB2312" w:cs="仿宋_GB2312"/>
          <w:sz w:val="32"/>
          <w:szCs w:val="32"/>
          <w:lang w:eastAsia="zh-CN"/>
        </w:rPr>
        <w:t>案涉及到的单位、医疗机构、技术机构以及应急工作小组应根据各自工作职责，建立单位或组织内部事件处置应急预案或工作程序，保障各项应急工作有序、高效运行。食品生产经营企业应依法制定食品安全事件处置方案，定期检查落实，及时消除食品安全事件隐患。</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5.2</w:t>
      </w:r>
      <w:r>
        <w:rPr>
          <w:rFonts w:hint="eastAsia" w:ascii="楷体_GB2312" w:hAnsi="楷体_GB2312" w:eastAsia="楷体_GB2312" w:cs="楷体_GB2312"/>
          <w:b/>
          <w:bCs/>
          <w:sz w:val="32"/>
          <w:szCs w:val="32"/>
          <w:lang w:eastAsia="zh-CN"/>
        </w:rPr>
        <w:t>信息保障</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应急指挥部办公室适时召开联络员会议，通报、交流、分</w:t>
      </w:r>
    </w:p>
    <w:p>
      <w:pPr>
        <w:keepNext w:val="0"/>
        <w:keepLines w:val="0"/>
        <w:pageBreakBefore w:val="0"/>
        <w:widowControl w:val="0"/>
        <w:kinsoku/>
        <w:wordWrap/>
        <w:overflowPunct w:val="0"/>
        <w:topLinePunct w:val="0"/>
        <w:autoSpaceDE/>
        <w:autoSpaceDN/>
        <w:bidi w:val="0"/>
        <w:spacing w:after="0" w:line="580" w:lineRule="exact"/>
        <w:ind w:left="0" w:leftChars="0" w:right="0" w:rightChars="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析食品安全事件监测预警信息。加强食品安全事件专项信息的收集、处理、发布和传递等工作。</w:t>
      </w:r>
      <w:r>
        <w:rPr>
          <w:rFonts w:hint="eastAsia" w:ascii="仿宋_GB2312" w:hAnsi="仿宋" w:eastAsia="仿宋_GB2312"/>
          <w:snapToGrid w:val="0"/>
          <w:color w:val="000000"/>
          <w:kern w:val="0"/>
          <w:sz w:val="32"/>
          <w:szCs w:val="32"/>
        </w:rPr>
        <w:t>有关成员单位应设立信息报告和举报电话，畅通信息报</w:t>
      </w:r>
      <w:r>
        <w:rPr>
          <w:rFonts w:hint="eastAsia" w:ascii="仿宋_GB2312" w:hAnsi="仿宋_GB2312" w:eastAsia="仿宋_GB2312" w:cs="仿宋_GB2312"/>
          <w:sz w:val="32"/>
          <w:szCs w:val="32"/>
          <w:lang w:eastAsia="zh-CN"/>
        </w:rPr>
        <w:t>告渠道，确保食品安全事件的及时报告与相关信息的及时收集。</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5.3</w:t>
      </w:r>
      <w:r>
        <w:rPr>
          <w:rFonts w:hint="eastAsia" w:ascii="楷体_GB2312" w:hAnsi="楷体_GB2312" w:eastAsia="楷体_GB2312" w:cs="楷体_GB2312"/>
          <w:b/>
          <w:bCs/>
          <w:sz w:val="32"/>
          <w:szCs w:val="32"/>
          <w:lang w:eastAsia="zh-CN"/>
        </w:rPr>
        <w:t>医疗保障</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食品安全事件造成人员伤害的，县卫健局应当立即启动应急救援响应，救治人员立即赶赴现场开展救治。</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5.4人员及技术保障</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处置专业技术机构应当结合本机构职责开展专业技术人员食品安全事件应急处置能力培训，加强应急处置力量建设，提高快速应对能力和技术水平。健全专家队伍，为事件核实、级别核定、事件隐患预警及应急响应等相关技术工作提供人才保障。</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5.5</w:t>
      </w:r>
      <w:r>
        <w:rPr>
          <w:rFonts w:hint="eastAsia" w:ascii="楷体_GB2312" w:hAnsi="楷体_GB2312" w:eastAsia="楷体_GB2312" w:cs="楷体_GB2312"/>
          <w:b/>
          <w:bCs/>
          <w:sz w:val="32"/>
          <w:szCs w:val="32"/>
          <w:lang w:eastAsia="zh-CN"/>
        </w:rPr>
        <w:t>物资经费保障</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县、镇（街）应当保障食品安全事件应急处置所需车辆、通讯、救治、办公等设施、设备和物资的储备与调用；使用储备物资后须及时补充；</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lang w:eastAsia="zh-CN"/>
        </w:rPr>
        <w:t>食品安全事件应急处置、演练、产品抽样及检验等所需经费。</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5.6</w:t>
      </w:r>
      <w:r>
        <w:rPr>
          <w:rFonts w:hint="eastAsia" w:ascii="楷体_GB2312" w:hAnsi="楷体_GB2312" w:eastAsia="楷体_GB2312" w:cs="楷体_GB2312"/>
          <w:b/>
          <w:bCs/>
          <w:sz w:val="32"/>
          <w:szCs w:val="32"/>
          <w:lang w:eastAsia="zh-CN"/>
        </w:rPr>
        <w:t>社会动员</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根据食品安全事件应急处置需要</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动员和组织社会力量协助参与应急处置</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必要时依法调用企业及个人物资。在动用社会力量或企业、个人物资进行应急处置后，应当及时归还或给予补偿。</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5.7</w:t>
      </w:r>
      <w:r>
        <w:rPr>
          <w:rFonts w:hint="eastAsia" w:ascii="楷体_GB2312" w:hAnsi="楷体_GB2312" w:eastAsia="楷体_GB2312" w:cs="楷体_GB2312"/>
          <w:b/>
          <w:bCs/>
          <w:sz w:val="32"/>
          <w:szCs w:val="32"/>
          <w:lang w:eastAsia="zh-CN"/>
        </w:rPr>
        <w:t>应急演练</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镇（街）</w:t>
      </w:r>
      <w:r>
        <w:rPr>
          <w:rFonts w:hint="eastAsia" w:ascii="仿宋_GB2312" w:hAnsi="仿宋_GB2312" w:eastAsia="仿宋_GB2312" w:cs="仿宋_GB2312"/>
          <w:sz w:val="32"/>
          <w:szCs w:val="32"/>
          <w:lang w:eastAsia="zh-CN"/>
        </w:rPr>
        <w:t>及有关部门要按照“统一规划、分类实施、分级负责、突出重点、适应需求”的原则，组织开展食品安全事件的应急演练，以检验和强化应急准备、协调和应急响应能力，并对演练结果进行总结和评估，进一步完善应急预案。原则上每</w:t>
      </w:r>
      <w:r>
        <w:rPr>
          <w:rFonts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eastAsia="zh-CN"/>
        </w:rPr>
        <w:t>年至少开展</w:t>
      </w:r>
      <w:r>
        <w:rPr>
          <w:rFonts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t>次演练。</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应急指挥部</w:t>
      </w:r>
      <w:r>
        <w:rPr>
          <w:rFonts w:hint="eastAsia" w:ascii="仿宋_GB2312" w:hAnsi="仿宋_GB2312" w:eastAsia="仿宋_GB2312" w:cs="仿宋_GB2312"/>
          <w:sz w:val="32"/>
          <w:szCs w:val="32"/>
          <w:lang w:eastAsia="zh-CN"/>
        </w:rPr>
        <w:t>根据我县实际情况和工作需要，统一组织</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eastAsia="zh-CN"/>
        </w:rPr>
        <w:t>突发食品安全事件的应急演练。</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县有关企事业单位应当定期或不定期组织本单位的应急处置演练。</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5.8</w:t>
      </w:r>
      <w:r>
        <w:rPr>
          <w:rFonts w:hint="eastAsia" w:ascii="楷体_GB2312" w:hAnsi="楷体_GB2312" w:eastAsia="楷体_GB2312" w:cs="楷体_GB2312"/>
          <w:b/>
          <w:bCs/>
          <w:sz w:val="32"/>
          <w:szCs w:val="32"/>
          <w:lang w:eastAsia="zh-CN"/>
        </w:rPr>
        <w:t>宣教培训</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相关部门应当加强对食品安全专业人员、食品生产经营者及广大消费者的食品安全知识宣传、教育与培训，促进专业人员掌握食品安全知识，提高食品生产经营者的责任意识和消费者的风险防范能力。</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县食品安全事件应急处置工作培训采取分级负责的原则，由县、镇（街）</w:t>
      </w:r>
      <w:r>
        <w:rPr>
          <w:rFonts w:hint="eastAsia" w:ascii="仿宋_GB2312" w:hAnsi="仿宋_GB2312" w:eastAsia="仿宋_GB2312" w:cs="仿宋_GB2312"/>
          <w:sz w:val="32"/>
          <w:szCs w:val="32"/>
          <w:lang w:val="en-US" w:eastAsia="zh-CN"/>
        </w:rPr>
        <w:t>应急指挥部办公室</w:t>
      </w:r>
      <w:r>
        <w:rPr>
          <w:rFonts w:hint="eastAsia" w:ascii="仿宋_GB2312" w:hAnsi="仿宋_GB2312" w:eastAsia="仿宋_GB2312" w:cs="仿宋_GB2312"/>
          <w:sz w:val="32"/>
          <w:szCs w:val="32"/>
          <w:lang w:eastAsia="zh-CN"/>
        </w:rPr>
        <w:t>或相关部门负责组织实施。</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5.9</w:t>
      </w:r>
      <w:r>
        <w:rPr>
          <w:rFonts w:hint="eastAsia" w:ascii="楷体_GB2312" w:hAnsi="楷体_GB2312" w:eastAsia="楷体_GB2312" w:cs="楷体_GB2312"/>
          <w:b/>
          <w:bCs/>
          <w:sz w:val="32"/>
          <w:szCs w:val="32"/>
          <w:lang w:eastAsia="zh-CN"/>
        </w:rPr>
        <w:t>奖惩</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b/>
          <w:bCs w:val="0"/>
          <w:sz w:val="32"/>
          <w:szCs w:val="32"/>
          <w:lang w:eastAsia="zh-CN"/>
        </w:rPr>
      </w:pPr>
      <w:r>
        <w:rPr>
          <w:rFonts w:ascii="仿宋_GB2312" w:hAnsi="仿宋_GB2312" w:eastAsia="仿宋_GB2312" w:cs="仿宋_GB2312"/>
          <w:b/>
          <w:bCs w:val="0"/>
          <w:sz w:val="32"/>
          <w:szCs w:val="32"/>
          <w:lang w:eastAsia="zh-CN"/>
        </w:rPr>
        <w:t>5.9.1</w:t>
      </w:r>
      <w:r>
        <w:rPr>
          <w:rFonts w:hint="eastAsia" w:ascii="仿宋_GB2312" w:hAnsi="仿宋_GB2312" w:eastAsia="仿宋_GB2312" w:cs="仿宋_GB2312"/>
          <w:b/>
          <w:bCs w:val="0"/>
          <w:sz w:val="32"/>
          <w:szCs w:val="32"/>
          <w:lang w:eastAsia="zh-CN"/>
        </w:rPr>
        <w:t>奖励</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对食品安全事件应急管理和处置工作中作出突出贡献的先</w:t>
      </w:r>
    </w:p>
    <w:p>
      <w:pPr>
        <w:keepNext w:val="0"/>
        <w:keepLines w:val="0"/>
        <w:pageBreakBefore w:val="0"/>
        <w:widowControl w:val="0"/>
        <w:kinsoku/>
        <w:wordWrap/>
        <w:overflowPunct w:val="0"/>
        <w:topLinePunct w:val="0"/>
        <w:autoSpaceDE/>
        <w:autoSpaceDN/>
        <w:bidi w:val="0"/>
        <w:spacing w:after="0" w:line="580" w:lineRule="exact"/>
        <w:ind w:left="0" w:leftChars="0" w:right="0" w:rightChars="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进集体和个人，应当给予表彰和奖励。</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b/>
          <w:bCs w:val="0"/>
          <w:sz w:val="32"/>
          <w:szCs w:val="32"/>
          <w:lang w:eastAsia="zh-CN"/>
        </w:rPr>
      </w:pPr>
      <w:r>
        <w:rPr>
          <w:rFonts w:ascii="仿宋_GB2312" w:hAnsi="仿宋_GB2312" w:eastAsia="仿宋_GB2312" w:cs="仿宋_GB2312"/>
          <w:b/>
          <w:bCs w:val="0"/>
          <w:sz w:val="32"/>
          <w:szCs w:val="32"/>
          <w:lang w:eastAsia="zh-CN"/>
        </w:rPr>
        <w:t>5.9.2</w:t>
      </w:r>
      <w:r>
        <w:rPr>
          <w:rFonts w:hint="eastAsia" w:ascii="仿宋_GB2312" w:hAnsi="仿宋_GB2312" w:eastAsia="仿宋_GB2312" w:cs="仿宋_GB2312"/>
          <w:b/>
          <w:bCs w:val="0"/>
          <w:sz w:val="32"/>
          <w:szCs w:val="32"/>
          <w:lang w:eastAsia="zh-CN"/>
        </w:rPr>
        <w:t>责任追究</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对迟报、谎报、瞒报和漏报食品安全事件重要情况或者应急管理工作中有其他失职、渎职行为的，依法追究有关责任单位或责任人的责任；构成犯罪的，依法追究刑事责任。</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黑体" w:hAnsi="黑体" w:eastAsia="黑体" w:cs="黑体"/>
          <w:sz w:val="32"/>
          <w:szCs w:val="32"/>
          <w:lang w:eastAsia="zh-CN"/>
        </w:rPr>
      </w:pPr>
      <w:r>
        <w:rPr>
          <w:rFonts w:ascii="黑体" w:hAnsi="黑体" w:eastAsia="黑体" w:cs="黑体"/>
          <w:sz w:val="32"/>
          <w:szCs w:val="32"/>
          <w:lang w:eastAsia="zh-CN"/>
        </w:rPr>
        <w:t>6.</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6.1</w:t>
      </w:r>
      <w:r>
        <w:rPr>
          <w:rFonts w:hint="eastAsia" w:ascii="楷体_GB2312" w:hAnsi="楷体_GB2312" w:eastAsia="楷体_GB2312" w:cs="楷体_GB2312"/>
          <w:b/>
          <w:bCs/>
          <w:sz w:val="32"/>
          <w:szCs w:val="32"/>
          <w:lang w:eastAsia="zh-CN"/>
        </w:rPr>
        <w:t>预案管理、</w:t>
      </w:r>
      <w:r>
        <w:rPr>
          <w:rFonts w:hint="eastAsia" w:ascii="楷体_GB2312" w:hAnsi="楷体_GB2312" w:eastAsia="楷体_GB2312" w:cs="楷体_GB2312"/>
          <w:b/>
          <w:bCs/>
          <w:sz w:val="32"/>
          <w:szCs w:val="32"/>
          <w:lang w:val="en-US" w:eastAsia="zh-CN"/>
        </w:rPr>
        <w:t>解释</w:t>
      </w:r>
      <w:r>
        <w:rPr>
          <w:rFonts w:hint="eastAsia" w:ascii="楷体_GB2312" w:hAnsi="楷体_GB2312" w:eastAsia="楷体_GB2312" w:cs="楷体_GB2312"/>
          <w:b/>
          <w:bCs/>
          <w:sz w:val="32"/>
          <w:szCs w:val="32"/>
          <w:lang w:eastAsia="zh-CN"/>
        </w:rPr>
        <w:t>与更新</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本预案由县</w:t>
      </w:r>
      <w:r>
        <w:rPr>
          <w:rFonts w:hint="eastAsia" w:ascii="仿宋_GB2312" w:hAnsi="仿宋_GB2312" w:eastAsia="仿宋_GB2312" w:cs="仿宋_GB2312"/>
          <w:sz w:val="32"/>
          <w:szCs w:val="32"/>
          <w:lang w:val="en-US" w:eastAsia="zh-CN"/>
        </w:rPr>
        <w:t>食药安办</w:t>
      </w:r>
      <w:r>
        <w:rPr>
          <w:rFonts w:hint="eastAsia" w:ascii="仿宋_GB2312" w:hAnsi="仿宋_GB2312" w:eastAsia="仿宋_GB2312" w:cs="仿宋_GB2312"/>
          <w:sz w:val="32"/>
          <w:szCs w:val="32"/>
          <w:lang w:eastAsia="zh-CN"/>
        </w:rPr>
        <w:t>负责管理</w:t>
      </w:r>
      <w:r>
        <w:rPr>
          <w:rFonts w:hint="eastAsia" w:ascii="仿宋_GB2312" w:hAnsi="仿宋_GB2312" w:eastAsia="仿宋_GB2312" w:cs="仿宋_GB2312"/>
          <w:sz w:val="32"/>
          <w:szCs w:val="32"/>
          <w:lang w:val="en-US" w:eastAsia="zh-CN"/>
        </w:rPr>
        <w:t>和解释，</w:t>
      </w:r>
      <w:r>
        <w:rPr>
          <w:rFonts w:hint="eastAsia" w:ascii="仿宋_GB2312" w:hAnsi="仿宋_GB2312" w:eastAsia="仿宋_GB2312" w:cs="仿宋_GB2312"/>
          <w:sz w:val="32"/>
          <w:szCs w:val="32"/>
          <w:lang w:eastAsia="zh-CN"/>
        </w:rPr>
        <w:t>视情况变化及时修订完善。</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应急指挥部</w:t>
      </w:r>
      <w:r>
        <w:rPr>
          <w:rFonts w:hint="eastAsia" w:ascii="仿宋_GB2312" w:hAnsi="仿宋_GB2312" w:eastAsia="仿宋_GB2312" w:cs="仿宋_GB2312"/>
          <w:sz w:val="32"/>
          <w:szCs w:val="32"/>
          <w:lang w:eastAsia="zh-CN"/>
        </w:rPr>
        <w:t>成员单位、镇人民政府、街道办事处、相关食品企业参照本预案，制定本部门和本单位食品安全事件应急预案。各部门和各单位食品安全事件应急预案中食品安全事件分级应当与本预案一致。</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6.</w:t>
      </w: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lang w:eastAsia="zh-CN"/>
        </w:rPr>
        <w:t>名词术语</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食品：是指各种供人食用或者饮用的成品和原料以及按照传统既是食品又是药品的物品，不包括以治疗为目的的物品。</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食品安全：是指食品无毒、无害，符合应当有的营养要求，对人体健康不造成任何急性、亚急性或者慢性危害。</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食品安全的范围：包括食品数量安全、食品质量安全、食品卫生安全。本预案涉及到的食品安全主要是指食品质量卫生安全。</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食物中毒：是指食用了被有毒有害物质污染的食品或者食用了含有毒有害物质的食品后出现的急性、亚急性疾病。</w:t>
      </w:r>
    </w:p>
    <w:p>
      <w:pPr>
        <w:keepNext w:val="0"/>
        <w:keepLines w:val="0"/>
        <w:pageBreakBefore w:val="0"/>
        <w:widowControl w:val="0"/>
        <w:kinsoku/>
        <w:wordWrap/>
        <w:overflowPunct w:val="0"/>
        <w:topLinePunct w:val="0"/>
        <w:autoSpaceDE/>
        <w:autoSpaceDN/>
        <w:bidi w:val="0"/>
        <w:spacing w:after="0" w:line="580" w:lineRule="exact"/>
        <w:ind w:right="0" w:rightChars="0"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食源性疾病</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是指食品中致病因素或污染的致病因素进入人体引起的感染性、中毒性等疾病。</w:t>
      </w:r>
    </w:p>
    <w:p>
      <w:pPr>
        <w:keepNext w:val="0"/>
        <w:keepLines w:val="0"/>
        <w:pageBreakBefore w:val="0"/>
        <w:widowControl w:val="0"/>
        <w:kinsoku/>
        <w:wordWrap/>
        <w:overflowPunct w:val="0"/>
        <w:topLinePunct w:val="0"/>
        <w:autoSpaceDE/>
        <w:autoSpaceDN/>
        <w:bidi w:val="0"/>
        <w:spacing w:after="0" w:line="580" w:lineRule="exact"/>
        <w:ind w:right="0" w:rightChars="0"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食品安全事故：是指食物中毒、食源性疾病、食品污染等源于食品，对人体健康有危害或者可能有危害的事故。</w:t>
      </w:r>
    </w:p>
    <w:p>
      <w:pPr>
        <w:keepNext w:val="0"/>
        <w:keepLines w:val="0"/>
        <w:pageBreakBefore w:val="0"/>
        <w:widowControl w:val="0"/>
        <w:kinsoku/>
        <w:wordWrap/>
        <w:overflowPunct w:val="0"/>
        <w:topLinePunct w:val="0"/>
        <w:autoSpaceDE/>
        <w:autoSpaceDN/>
        <w:bidi w:val="0"/>
        <w:spacing w:after="0" w:line="580" w:lineRule="exact"/>
        <w:ind w:right="0" w:rightChars="0"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食品安全舆情事件：是指源于食品或涉及食品安全的对人体健康有危害或者可能有危害，尚未造成食品安全事故，已引起或有可能引起社会舆论影响的事件。</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食品安全事故和食品安全舆情事件统称食品安全事件。</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本预案有关数量的表述中，“以上”、以下”均含本数。</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jc w:val="both"/>
        <w:textAlignment w:val="auto"/>
        <w:outlineLvl w:val="9"/>
        <w:rPr>
          <w:rFonts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6.</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lang w:eastAsia="zh-CN"/>
        </w:rPr>
        <w:t>实施时间</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firstLineChars="200"/>
        <w:jc w:val="both"/>
        <w:textAlignment w:val="auto"/>
        <w:outlineLvl w:val="9"/>
        <w:rPr>
          <w:rFonts w:ascii="仿宋_GB2312" w:hAnsi="仿宋_GB2312" w:eastAsia="仿宋_GB2312" w:cs="仿宋_GB2312"/>
          <w:sz w:val="32"/>
          <w:szCs w:val="32"/>
          <w:lang w:eastAsia="zh-CN"/>
        </w:rPr>
      </w:pPr>
      <w:r>
        <w:rPr>
          <w:rFonts w:hint="eastAsia" w:ascii="仿宋_GB2312" w:hAnsi="宋体" w:eastAsia="仿宋_GB2312" w:cs="宋体"/>
          <w:color w:val="000000"/>
          <w:kern w:val="0"/>
          <w:sz w:val="32"/>
          <w:szCs w:val="32"/>
        </w:rPr>
        <w:t>本预案自印发之日起施行；2019年制定的《</w:t>
      </w:r>
      <w:r>
        <w:rPr>
          <w:rFonts w:hint="eastAsia" w:ascii="仿宋_GB2312" w:hAnsi="宋体" w:eastAsia="仿宋_GB2312" w:cs="宋体"/>
          <w:color w:val="000000"/>
          <w:kern w:val="0"/>
          <w:sz w:val="32"/>
          <w:szCs w:val="32"/>
          <w:lang w:eastAsia="zh-CN"/>
        </w:rPr>
        <w:t>眉县</w:t>
      </w:r>
      <w:r>
        <w:rPr>
          <w:rFonts w:hint="eastAsia" w:ascii="仿宋_GB2312" w:hAnsi="宋体" w:eastAsia="仿宋_GB2312" w:cs="宋体"/>
          <w:color w:val="000000"/>
          <w:kern w:val="0"/>
          <w:sz w:val="32"/>
          <w:szCs w:val="32"/>
        </w:rPr>
        <w:t>食品安全事件应急预案》（</w:t>
      </w:r>
      <w:r>
        <w:rPr>
          <w:rFonts w:hint="eastAsia" w:ascii="仿宋_GB2312" w:hAnsi="宋体" w:eastAsia="仿宋_GB2312" w:cs="宋体"/>
          <w:color w:val="000000"/>
          <w:kern w:val="0"/>
          <w:sz w:val="32"/>
          <w:szCs w:val="32"/>
          <w:lang w:eastAsia="zh-CN"/>
        </w:rPr>
        <w:t>眉</w:t>
      </w:r>
      <w:r>
        <w:rPr>
          <w:rFonts w:hint="eastAsia" w:ascii="仿宋_GB2312" w:hAnsi="宋体" w:eastAsia="仿宋_GB2312" w:cs="宋体"/>
          <w:color w:val="000000"/>
          <w:kern w:val="0"/>
          <w:sz w:val="32"/>
          <w:szCs w:val="32"/>
        </w:rPr>
        <w:t>政办函</w:t>
      </w:r>
      <w:r>
        <w:rPr>
          <w:rFonts w:hint="eastAsia" w:ascii="仿宋_GB2312" w:hAnsi="仿宋_GB2312" w:eastAsia="仿宋_GB2312" w:cs="仿宋_GB2312"/>
          <w:color w:val="000000"/>
          <w:kern w:val="0"/>
          <w:sz w:val="32"/>
          <w:szCs w:val="32"/>
        </w:rPr>
        <w:t>〔2019〕</w:t>
      </w:r>
      <w:r>
        <w:rPr>
          <w:rFonts w:hint="eastAsia" w:ascii="仿宋_GB2312" w:hAnsi="仿宋_GB2312" w:eastAsia="仿宋_GB2312" w:cs="仿宋_GB2312"/>
          <w:color w:val="000000"/>
          <w:kern w:val="0"/>
          <w:sz w:val="32"/>
          <w:szCs w:val="32"/>
          <w:lang w:val="en-US" w:eastAsia="zh-CN"/>
        </w:rPr>
        <w:t>63</w:t>
      </w:r>
      <w:r>
        <w:rPr>
          <w:rFonts w:hint="eastAsia" w:ascii="仿宋_GB2312" w:hAnsi="仿宋_GB2312" w:eastAsia="仿宋_GB2312" w:cs="仿宋_GB2312"/>
          <w:color w:val="000000"/>
          <w:kern w:val="0"/>
          <w:sz w:val="32"/>
          <w:szCs w:val="32"/>
        </w:rPr>
        <w:t>号</w:t>
      </w:r>
      <w:r>
        <w:rPr>
          <w:rFonts w:hint="eastAsia" w:ascii="仿宋_GB2312" w:hAnsi="宋体" w:eastAsia="仿宋_GB2312" w:cs="宋体"/>
          <w:color w:val="000000"/>
          <w:kern w:val="0"/>
          <w:sz w:val="32"/>
          <w:szCs w:val="32"/>
        </w:rPr>
        <w:t>）同时废止。</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firstLineChars="200"/>
        <w:jc w:val="both"/>
        <w:textAlignment w:val="auto"/>
        <w:outlineLvl w:val="9"/>
        <w:rPr>
          <w:rFonts w:ascii="仿宋_GB2312" w:hAnsi="宋体" w:eastAsia="仿宋_GB2312" w:cs="宋体"/>
          <w:color w:val="000000"/>
          <w:kern w:val="0"/>
          <w:sz w:val="32"/>
          <w:szCs w:val="32"/>
        </w:rPr>
      </w:pP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fldChar w:fldCharType="begin"/>
      </w:r>
      <w:r>
        <w:rPr>
          <w:rFonts w:ascii="仿宋_GB2312" w:hAnsi="宋体" w:eastAsia="仿宋_GB2312" w:cs="宋体"/>
          <w:color w:val="000000"/>
          <w:kern w:val="0"/>
          <w:sz w:val="32"/>
          <w:szCs w:val="32"/>
        </w:rPr>
        <w:instrText xml:space="preserve"> HYPERLINK \l _Toc10909 </w:instrText>
      </w:r>
      <w:r>
        <w:rPr>
          <w:rFonts w:ascii="仿宋_GB2312" w:hAnsi="宋体" w:eastAsia="仿宋_GB2312" w:cs="宋体"/>
          <w:color w:val="000000"/>
          <w:kern w:val="0"/>
          <w:sz w:val="32"/>
          <w:szCs w:val="32"/>
        </w:rPr>
        <w:fldChar w:fldCharType="separate"/>
      </w:r>
      <w:r>
        <w:rPr>
          <w:rFonts w:hint="eastAsia" w:ascii="仿宋_GB2312" w:hAnsi="宋体" w:eastAsia="仿宋_GB2312" w:cs="宋体"/>
          <w:color w:val="000000"/>
          <w:kern w:val="0"/>
          <w:sz w:val="32"/>
          <w:szCs w:val="32"/>
        </w:rPr>
        <w:t>附件：</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食品安全突发事件分级响应标准</w:t>
      </w:r>
    </w:p>
    <w:p>
      <w:pPr>
        <w:keepNext w:val="0"/>
        <w:keepLines w:val="0"/>
        <w:pageBreakBefore w:val="0"/>
        <w:widowControl w:val="0"/>
        <w:kinsoku/>
        <w:wordWrap/>
        <w:overflowPunct w:val="0"/>
        <w:topLinePunct w:val="0"/>
        <w:autoSpaceDE/>
        <w:autoSpaceDN/>
        <w:bidi w:val="0"/>
        <w:spacing w:after="0" w:line="580" w:lineRule="exact"/>
        <w:ind w:left="0" w:leftChars="0" w:right="0" w:rightChars="0" w:firstLine="1600" w:firstLineChars="500"/>
        <w:jc w:val="both"/>
        <w:textAlignment w:val="auto"/>
        <w:outlineLvl w:val="9"/>
        <w:rPr>
          <w:rFonts w:hint="eastAsia" w:ascii="黑体" w:hAnsi="黑体" w:eastAsia="黑体" w:cs="黑体"/>
          <w:color w:val="00000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食品安全突发事件预警信息分级评估标准</w:t>
      </w:r>
      <w:r>
        <w:rPr>
          <w:rFonts w:ascii="仿宋_GB2312" w:hAnsi="宋体" w:eastAsia="仿宋_GB2312" w:cs="宋体"/>
          <w:color w:val="000000"/>
          <w:kern w:val="0"/>
          <w:sz w:val="32"/>
          <w:szCs w:val="32"/>
        </w:rPr>
        <w:fldChar w:fldCharType="end"/>
      </w:r>
      <w:bookmarkStart w:id="1" w:name="_Toc10909"/>
      <w:bookmarkStart w:id="2" w:name="_Toc28022"/>
    </w:p>
    <w:p>
      <w:pPr>
        <w:keepNext w:val="0"/>
        <w:keepLines w:val="0"/>
        <w:pageBreakBefore w:val="0"/>
        <w:widowControl w:val="0"/>
        <w:kinsoku/>
        <w:wordWrap/>
        <w:overflowPunct w:val="0"/>
        <w:topLinePunct w:val="0"/>
        <w:autoSpaceDE/>
        <w:autoSpaceDN/>
        <w:bidi w:val="0"/>
        <w:spacing w:after="0" w:line="560" w:lineRule="exact"/>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val="0"/>
        <w:topLinePunct w:val="0"/>
        <w:autoSpaceDE/>
        <w:autoSpaceDN/>
        <w:bidi w:val="0"/>
        <w:spacing w:after="0" w:line="560" w:lineRule="exact"/>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val="0"/>
        <w:topLinePunct w:val="0"/>
        <w:autoSpaceDE/>
        <w:autoSpaceDN/>
        <w:bidi w:val="0"/>
        <w:spacing w:after="0" w:line="560" w:lineRule="exact"/>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val="0"/>
        <w:topLinePunct w:val="0"/>
        <w:autoSpaceDE/>
        <w:autoSpaceDN/>
        <w:bidi w:val="0"/>
        <w:spacing w:after="0" w:line="560" w:lineRule="exact"/>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val="0"/>
        <w:topLinePunct w:val="0"/>
        <w:autoSpaceDE/>
        <w:autoSpaceDN/>
        <w:bidi w:val="0"/>
        <w:spacing w:after="0" w:line="560" w:lineRule="exact"/>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val="0"/>
        <w:topLinePunct w:val="0"/>
        <w:autoSpaceDE/>
        <w:autoSpaceDN/>
        <w:bidi w:val="0"/>
        <w:spacing w:after="0" w:line="560" w:lineRule="exact"/>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val="0"/>
        <w:topLinePunct w:val="0"/>
        <w:autoSpaceDE/>
        <w:autoSpaceDN/>
        <w:bidi w:val="0"/>
        <w:spacing w:after="0" w:line="560" w:lineRule="exact"/>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val="0"/>
        <w:topLinePunct w:val="0"/>
        <w:autoSpaceDE/>
        <w:autoSpaceDN/>
        <w:bidi w:val="0"/>
        <w:spacing w:after="0" w:line="560" w:lineRule="exact"/>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val="0"/>
        <w:topLinePunct w:val="0"/>
        <w:autoSpaceDE/>
        <w:autoSpaceDN/>
        <w:bidi w:val="0"/>
        <w:spacing w:after="0" w:line="560" w:lineRule="exact"/>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val="0"/>
        <w:topLinePunct w:val="0"/>
        <w:autoSpaceDE/>
        <w:autoSpaceDN/>
        <w:bidi w:val="0"/>
        <w:spacing w:after="0" w:line="560" w:lineRule="exact"/>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val="0"/>
        <w:topLinePunct w:val="0"/>
        <w:autoSpaceDE/>
        <w:autoSpaceDN/>
        <w:bidi w:val="0"/>
        <w:spacing w:after="0" w:line="560" w:lineRule="exact"/>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val="0"/>
        <w:topLinePunct w:val="0"/>
        <w:autoSpaceDE/>
        <w:autoSpaceDN/>
        <w:bidi w:val="0"/>
        <w:spacing w:after="0" w:line="560" w:lineRule="exact"/>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val="0"/>
        <w:topLinePunct w:val="0"/>
        <w:autoSpaceDE/>
        <w:autoSpaceDN/>
        <w:bidi w:val="0"/>
        <w:spacing w:after="0" w:line="560" w:lineRule="exact"/>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val="0"/>
        <w:topLinePunct w:val="0"/>
        <w:autoSpaceDE/>
        <w:autoSpaceDN/>
        <w:bidi w:val="0"/>
        <w:spacing w:after="0" w:line="560" w:lineRule="exact"/>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val="0"/>
        <w:topLinePunct w:val="0"/>
        <w:autoSpaceDE/>
        <w:autoSpaceDN/>
        <w:bidi w:val="0"/>
        <w:spacing w:after="0" w:line="560" w:lineRule="exact"/>
        <w:textAlignment w:val="auto"/>
        <w:rPr>
          <w:rFonts w:hint="eastAsia" w:ascii="黑体" w:hAnsi="黑体" w:eastAsia="黑体" w:cs="黑体"/>
          <w:color w:val="000000"/>
          <w:sz w:val="32"/>
          <w:szCs w:val="32"/>
        </w:rPr>
      </w:pPr>
    </w:p>
    <w:p>
      <w:pPr>
        <w:keepNext w:val="0"/>
        <w:keepLines w:val="0"/>
        <w:pageBreakBefore w:val="0"/>
        <w:widowControl w:val="0"/>
        <w:kinsoku/>
        <w:wordWrap/>
        <w:overflowPunct w:val="0"/>
        <w:topLinePunct w:val="0"/>
        <w:autoSpaceDE/>
        <w:autoSpaceDN/>
        <w:bidi w:val="0"/>
        <w:spacing w:after="0" w:line="560" w:lineRule="exact"/>
        <w:textAlignment w:val="auto"/>
        <w:rPr>
          <w:rFonts w:ascii="黑体" w:hAnsi="黑体" w:eastAsia="黑体" w:cs="黑体"/>
          <w:color w:val="000000"/>
        </w:rPr>
      </w:pPr>
      <w:r>
        <w:rPr>
          <w:rFonts w:hint="eastAsia" w:ascii="黑体" w:hAnsi="黑体" w:eastAsia="黑体" w:cs="黑体"/>
          <w:color w:val="000000"/>
          <w:sz w:val="32"/>
          <w:szCs w:val="32"/>
        </w:rPr>
        <w:t>附件</w:t>
      </w:r>
      <w:r>
        <mc:AlternateContent>
          <mc:Choice Requires="wps">
            <w:drawing>
              <wp:anchor distT="0" distB="0" distL="114300" distR="114300" simplePos="0" relativeHeight="251659264" behindDoc="0" locked="0" layoutInCell="1" allowOverlap="1">
                <wp:simplePos x="0" y="0"/>
                <wp:positionH relativeFrom="column">
                  <wp:posOffset>2331720</wp:posOffset>
                </wp:positionH>
                <wp:positionV relativeFrom="paragraph">
                  <wp:posOffset>3213735</wp:posOffset>
                </wp:positionV>
                <wp:extent cx="63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4579B8"/>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3.6pt;margin-top:253.05pt;height:0.05pt;width:0.05pt;z-index:251659264;mso-width-relative:page;mso-height-relative:page;" filled="f" stroked="t" coordsize="21600,21600" o:gfxdata="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T2/2fWAAAACwEAAA8AAAAAAAAAAQAgAAAAIgAAAGRycy9kb3ducmV2LnhtbFBLAQIU&#10;ABQAAAAIAIdO4kBPRdk49QEAAOIDAAAOAAAAAAAAAAEAIAAAACUBAABkcnMvZTJvRG9jLnhtbFBL&#10;BQYAAAAABgAGAFkBAACMBQAAAAA=&#10;">
                <v:fill on="f" focussize="0,0"/>
                <v:stroke color="#4579B8" joinstyle="round"/>
                <v:imagedata o:title=""/>
                <o:lock v:ext="edit" aspectratio="f"/>
              </v:line>
            </w:pict>
          </mc:Fallback>
        </mc:AlternateContent>
      </w:r>
      <w:r>
        <w:rPr>
          <w:rFonts w:ascii="黑体" w:hAnsi="黑体" w:cs="黑体"/>
          <w:color w:val="000000"/>
          <w:sz w:val="32"/>
          <w:szCs w:val="32"/>
        </w:rPr>
        <w:t>1</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120" w:line="560" w:lineRule="exact"/>
        <w:ind w:left="0" w:leftChars="0" w:right="0" w:rightChars="0" w:firstLine="0" w:firstLineChars="0"/>
        <w:jc w:val="center"/>
        <w:textAlignment w:val="auto"/>
        <w:outlineLvl w:val="0"/>
        <w:rPr>
          <w:rFonts w:ascii="方正小标宋简体" w:eastAsia="方正小标宋简体"/>
          <w:b w:val="0"/>
          <w:sz w:val="44"/>
          <w:szCs w:val="44"/>
        </w:rPr>
      </w:pPr>
      <w:r>
        <w:rPr>
          <w:rFonts w:hint="eastAsia" w:ascii="方正小标宋简体" w:eastAsia="方正小标宋简体"/>
          <w:b w:val="0"/>
          <w:sz w:val="44"/>
          <w:szCs w:val="44"/>
        </w:rPr>
        <w:t>食品安全突发事件分级响应标准</w:t>
      </w:r>
    </w:p>
    <w:tbl>
      <w:tblPr>
        <w:tblStyle w:val="5"/>
        <w:tblW w:w="90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6498"/>
        <w:gridCol w:w="78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trPr>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spacing w:after="0" w:line="560" w:lineRule="exact"/>
              <w:jc w:val="center"/>
              <w:textAlignment w:val="auto"/>
              <w:rPr>
                <w:rFonts w:ascii="黑体" w:hAnsi="黑体" w:eastAsia="黑体" w:cs="黑体"/>
                <w:b w:val="0"/>
                <w:bCs w:val="0"/>
                <w:color w:val="000000"/>
                <w:kern w:val="0"/>
                <w:sz w:val="24"/>
              </w:rPr>
            </w:pPr>
            <w:r>
              <w:rPr>
                <w:rFonts w:hint="eastAsia" w:ascii="黑体" w:hAnsi="黑体" w:eastAsia="黑体" w:cs="黑体"/>
                <w:b w:val="0"/>
                <w:bCs w:val="0"/>
                <w:color w:val="000000"/>
                <w:kern w:val="0"/>
                <w:sz w:val="24"/>
              </w:rPr>
              <w:t>分级</w:t>
            </w:r>
          </w:p>
        </w:tc>
        <w:tc>
          <w:tcPr>
            <w:tcW w:w="64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spacing w:after="0" w:line="560" w:lineRule="exact"/>
              <w:jc w:val="center"/>
              <w:textAlignment w:val="auto"/>
              <w:rPr>
                <w:rFonts w:ascii="黑体" w:hAnsi="黑体" w:eastAsia="黑体" w:cs="黑体"/>
                <w:b w:val="0"/>
                <w:bCs w:val="0"/>
                <w:color w:val="000000"/>
                <w:kern w:val="0"/>
                <w:sz w:val="24"/>
              </w:rPr>
            </w:pPr>
            <w:r>
              <w:rPr>
                <w:rFonts w:hint="eastAsia" w:ascii="黑体" w:hAnsi="黑体" w:eastAsia="黑体" w:cs="黑体"/>
                <w:b w:val="0"/>
                <w:bCs w:val="0"/>
                <w:color w:val="000000"/>
                <w:kern w:val="0"/>
                <w:sz w:val="24"/>
              </w:rPr>
              <w:t>标准</w:t>
            </w:r>
          </w:p>
        </w:tc>
        <w:tc>
          <w:tcPr>
            <w:tcW w:w="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spacing w:after="0" w:line="560" w:lineRule="exact"/>
              <w:jc w:val="center"/>
              <w:textAlignment w:val="auto"/>
              <w:rPr>
                <w:rFonts w:ascii="黑体" w:hAnsi="黑体" w:eastAsia="黑体" w:cs="黑体"/>
                <w:b w:val="0"/>
                <w:bCs w:val="0"/>
                <w:color w:val="000000"/>
                <w:kern w:val="0"/>
                <w:sz w:val="24"/>
              </w:rPr>
            </w:pPr>
            <w:r>
              <w:rPr>
                <w:rFonts w:hint="eastAsia" w:ascii="黑体" w:hAnsi="黑体" w:eastAsia="黑体" w:cs="黑体"/>
                <w:b w:val="0"/>
                <w:bCs w:val="0"/>
                <w:color w:val="000000"/>
                <w:kern w:val="0"/>
                <w:sz w:val="24"/>
              </w:rPr>
              <w:t>响应级别</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spacing w:after="0" w:line="560" w:lineRule="exact"/>
              <w:jc w:val="center"/>
              <w:textAlignment w:val="auto"/>
              <w:rPr>
                <w:rFonts w:ascii="黑体" w:hAnsi="黑体" w:eastAsia="黑体" w:cs="黑体"/>
                <w:b w:val="0"/>
                <w:bCs w:val="0"/>
                <w:color w:val="000000"/>
                <w:kern w:val="0"/>
                <w:sz w:val="24"/>
              </w:rPr>
            </w:pPr>
            <w:r>
              <w:rPr>
                <w:rFonts w:hint="eastAsia" w:ascii="黑体" w:hAnsi="黑体" w:eastAsia="黑体" w:cs="黑体"/>
                <w:b w:val="0"/>
                <w:bCs w:val="0"/>
                <w:color w:val="000000"/>
                <w:kern w:val="0"/>
                <w:sz w:val="24"/>
              </w:rPr>
              <w:t>启动级别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after="0" w:line="340" w:lineRule="exact"/>
              <w:jc w:val="center"/>
              <w:textAlignment w:val="auto"/>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特别</w:t>
            </w:r>
          </w:p>
          <w:p>
            <w:pPr>
              <w:keepNext w:val="0"/>
              <w:keepLines w:val="0"/>
              <w:pageBreakBefore w:val="0"/>
              <w:widowControl w:val="0"/>
              <w:kinsoku/>
              <w:wordWrap/>
              <w:overflowPunct w:val="0"/>
              <w:topLinePunct w:val="0"/>
              <w:autoSpaceDE/>
              <w:autoSpaceDN/>
              <w:bidi w:val="0"/>
              <w:adjustRightInd/>
              <w:snapToGrid/>
              <w:spacing w:after="0" w:line="34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重大</w:t>
            </w:r>
          </w:p>
        </w:tc>
        <w:tc>
          <w:tcPr>
            <w:tcW w:w="64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ascii="仿宋_GB2312" w:hAnsi="宋体" w:eastAsia="仿宋_GB2312" w:cs="宋体"/>
                <w:color w:val="000000"/>
                <w:kern w:val="0"/>
                <w:sz w:val="24"/>
              </w:rPr>
              <w:t>1</w:t>
            </w:r>
            <w:r>
              <w:rPr>
                <w:rFonts w:hint="eastAsia" w:ascii="仿宋_GB2312" w:hAnsi="宋体" w:eastAsia="仿宋_GB2312" w:cs="宋体"/>
                <w:color w:val="000000"/>
                <w:kern w:val="0"/>
                <w:sz w:val="24"/>
              </w:rPr>
              <w:t>）受污染食品流入</w:t>
            </w:r>
            <w:r>
              <w:rPr>
                <w:rFonts w:ascii="仿宋_GB2312" w:hAnsi="宋体" w:eastAsia="仿宋_GB2312" w:cs="宋体"/>
                <w:color w:val="000000"/>
                <w:kern w:val="0"/>
                <w:sz w:val="24"/>
              </w:rPr>
              <w:t>2</w:t>
            </w:r>
            <w:r>
              <w:rPr>
                <w:rFonts w:hint="eastAsia" w:ascii="仿宋_GB2312" w:hAnsi="宋体" w:eastAsia="仿宋_GB2312" w:cs="宋体"/>
                <w:color w:val="000000"/>
                <w:kern w:val="0"/>
                <w:sz w:val="24"/>
              </w:rPr>
              <w:t>个以上省份，造成特别严重健康损害后果的，或经评估认为事件危害特别严重的；</w:t>
            </w:r>
          </w:p>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ascii="仿宋_GB2312" w:hAnsi="宋体" w:eastAsia="仿宋_GB2312" w:cs="宋体"/>
                <w:color w:val="000000"/>
                <w:kern w:val="0"/>
                <w:sz w:val="24"/>
              </w:rPr>
              <w:t>2</w:t>
            </w:r>
            <w:r>
              <w:rPr>
                <w:rFonts w:hint="eastAsia" w:ascii="仿宋_GB2312" w:hAnsi="宋体" w:eastAsia="仿宋_GB2312" w:cs="宋体"/>
                <w:color w:val="000000"/>
                <w:kern w:val="0"/>
                <w:sz w:val="24"/>
              </w:rPr>
              <w:t>）涉及多个省份，已经或可能造成严重危害或严重不良影响，经评估认为应当在国家层面采取应急措施应对的食品安全舆情事件；</w:t>
            </w:r>
          </w:p>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ascii="仿宋_GB2312" w:hAnsi="宋体" w:eastAsia="仿宋_GB2312" w:cs="宋体"/>
                <w:color w:val="000000"/>
                <w:kern w:val="0"/>
                <w:sz w:val="24"/>
              </w:rPr>
              <w:t>3</w:t>
            </w:r>
            <w:r>
              <w:rPr>
                <w:rFonts w:hint="eastAsia" w:ascii="仿宋_GB2312" w:hAnsi="宋体" w:eastAsia="仿宋_GB2312" w:cs="宋体"/>
                <w:color w:val="000000"/>
                <w:kern w:val="0"/>
                <w:sz w:val="24"/>
              </w:rPr>
              <w:t>）国务院认定需要由国务院或国务院授权有关部门负责处置的食品安全突发事件。</w:t>
            </w:r>
          </w:p>
        </w:tc>
        <w:tc>
          <w:tcPr>
            <w:tcW w:w="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Ⅰ级响应</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after="0" w:line="34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重大</w:t>
            </w:r>
          </w:p>
        </w:tc>
        <w:tc>
          <w:tcPr>
            <w:tcW w:w="64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ascii="仿宋_GB2312" w:hAnsi="宋体" w:eastAsia="仿宋_GB2312" w:cs="宋体"/>
                <w:color w:val="000000"/>
                <w:kern w:val="0"/>
                <w:sz w:val="24"/>
              </w:rPr>
              <w:t>1</w:t>
            </w:r>
            <w:r>
              <w:rPr>
                <w:rFonts w:hint="eastAsia" w:ascii="仿宋_GB2312" w:hAnsi="宋体" w:eastAsia="仿宋_GB2312" w:cs="宋体"/>
                <w:color w:val="000000"/>
                <w:kern w:val="0"/>
                <w:sz w:val="24"/>
              </w:rPr>
              <w:t>）受污染食品流入</w:t>
            </w:r>
            <w:r>
              <w:rPr>
                <w:rFonts w:ascii="仿宋_GB2312" w:hAnsi="宋体" w:eastAsia="仿宋_GB2312" w:cs="宋体"/>
                <w:color w:val="000000"/>
                <w:kern w:val="0"/>
                <w:sz w:val="24"/>
              </w:rPr>
              <w:t>2</w:t>
            </w:r>
            <w:r>
              <w:rPr>
                <w:rFonts w:hint="eastAsia" w:ascii="仿宋_GB2312" w:hAnsi="宋体" w:eastAsia="仿宋_GB2312" w:cs="宋体"/>
                <w:color w:val="000000"/>
                <w:kern w:val="0"/>
                <w:sz w:val="24"/>
              </w:rPr>
              <w:t>个以上地市，造成经评估认为可能造成对社会公众健康产生严重损害的食品安全突发事件；</w:t>
            </w:r>
          </w:p>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ascii="仿宋_GB2312" w:hAnsi="宋体" w:eastAsia="仿宋_GB2312" w:cs="宋体"/>
                <w:color w:val="000000"/>
                <w:kern w:val="0"/>
                <w:sz w:val="24"/>
              </w:rPr>
              <w:t>2</w:t>
            </w:r>
            <w:r>
              <w:rPr>
                <w:rFonts w:hint="eastAsia" w:ascii="仿宋_GB2312" w:hAnsi="宋体" w:eastAsia="仿宋_GB2312" w:cs="宋体"/>
                <w:color w:val="000000"/>
                <w:kern w:val="0"/>
                <w:sz w:val="24"/>
              </w:rPr>
              <w:t>）发现在我国首次出现的新的污染物引起的食品安全突发事件，造成严重健康损害后果，并有扩张趋势的；</w:t>
            </w:r>
          </w:p>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ascii="仿宋_GB2312" w:hAnsi="宋体" w:eastAsia="仿宋_GB2312" w:cs="宋体"/>
                <w:color w:val="000000"/>
                <w:kern w:val="0"/>
                <w:sz w:val="24"/>
              </w:rPr>
              <w:t>3</w:t>
            </w:r>
            <w:r>
              <w:rPr>
                <w:rFonts w:hint="eastAsia" w:ascii="仿宋_GB2312" w:hAnsi="宋体" w:eastAsia="仿宋_GB2312" w:cs="宋体"/>
                <w:color w:val="000000"/>
                <w:kern w:val="0"/>
                <w:sz w:val="24"/>
              </w:rPr>
              <w:t>）１起食物中毒事件中毒人数</w:t>
            </w:r>
            <w:r>
              <w:rPr>
                <w:rFonts w:ascii="仿宋_GB2312" w:hAnsi="宋体" w:eastAsia="仿宋_GB2312" w:cs="宋体"/>
                <w:color w:val="000000"/>
                <w:kern w:val="0"/>
                <w:sz w:val="24"/>
              </w:rPr>
              <w:t>100</w:t>
            </w:r>
            <w:r>
              <w:rPr>
                <w:rFonts w:hint="eastAsia" w:ascii="仿宋_GB2312" w:hAnsi="宋体" w:eastAsia="仿宋_GB2312" w:cs="宋体"/>
                <w:color w:val="000000"/>
                <w:kern w:val="0"/>
                <w:sz w:val="24"/>
              </w:rPr>
              <w:t>人以上，并出现死亡病例的；或中毒人数</w:t>
            </w:r>
            <w:r>
              <w:rPr>
                <w:rFonts w:ascii="仿宋_GB2312" w:hAnsi="宋体" w:eastAsia="仿宋_GB2312" w:cs="宋体"/>
                <w:color w:val="000000"/>
                <w:kern w:val="0"/>
                <w:sz w:val="24"/>
              </w:rPr>
              <w:t>200</w:t>
            </w:r>
            <w:r>
              <w:rPr>
                <w:rFonts w:hint="eastAsia" w:ascii="仿宋_GB2312" w:hAnsi="宋体" w:eastAsia="仿宋_GB2312" w:cs="宋体"/>
                <w:color w:val="000000"/>
                <w:kern w:val="0"/>
                <w:sz w:val="24"/>
              </w:rPr>
              <w:t>人以上；或出现</w:t>
            </w:r>
            <w:r>
              <w:rPr>
                <w:rFonts w:ascii="仿宋_GB2312" w:hAnsi="宋体" w:eastAsia="仿宋_GB2312" w:cs="宋体"/>
                <w:color w:val="000000"/>
                <w:kern w:val="0"/>
                <w:sz w:val="24"/>
              </w:rPr>
              <w:t>10</w:t>
            </w:r>
            <w:r>
              <w:rPr>
                <w:rFonts w:hint="eastAsia" w:ascii="仿宋_GB2312" w:hAnsi="宋体" w:eastAsia="仿宋_GB2312" w:cs="宋体"/>
                <w:color w:val="000000"/>
                <w:kern w:val="0"/>
                <w:sz w:val="24"/>
              </w:rPr>
              <w:t>人以上死亡的；</w:t>
            </w:r>
          </w:p>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ascii="仿宋_GB2312" w:hAnsi="宋体" w:eastAsia="仿宋_GB2312" w:cs="宋体"/>
                <w:color w:val="000000"/>
                <w:kern w:val="0"/>
                <w:sz w:val="24"/>
              </w:rPr>
              <w:t>4</w:t>
            </w:r>
            <w:r>
              <w:rPr>
                <w:rFonts w:hint="eastAsia" w:ascii="仿宋_GB2312" w:hAnsi="宋体" w:eastAsia="仿宋_GB2312" w:cs="宋体"/>
                <w:color w:val="000000"/>
                <w:kern w:val="0"/>
                <w:sz w:val="24"/>
              </w:rPr>
              <w:t>）在省级行政区域范围内已经或可能造成重大危害或重大不良影响，经评估认为应当在省级层面采取应急措施应对的食品安全舆情事件；</w:t>
            </w:r>
          </w:p>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ascii="仿宋_GB2312" w:hAnsi="宋体" w:eastAsia="仿宋_GB2312" w:cs="宋体"/>
                <w:color w:val="000000"/>
                <w:kern w:val="0"/>
                <w:sz w:val="24"/>
              </w:rPr>
              <w:t>5</w:t>
            </w:r>
            <w:r>
              <w:rPr>
                <w:rFonts w:hint="eastAsia" w:ascii="仿宋_GB2312" w:hAnsi="宋体" w:eastAsia="仿宋_GB2312" w:cs="宋体"/>
                <w:color w:val="000000"/>
                <w:kern w:val="0"/>
                <w:sz w:val="24"/>
              </w:rPr>
              <w:t>）省政府认定的其他重大食品安全事件。</w:t>
            </w:r>
          </w:p>
        </w:tc>
        <w:tc>
          <w:tcPr>
            <w:tcW w:w="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Ⅱ级响应</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省级</w:t>
            </w:r>
          </w:p>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或国家级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after="0" w:line="34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较大</w:t>
            </w:r>
          </w:p>
        </w:tc>
        <w:tc>
          <w:tcPr>
            <w:tcW w:w="64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ascii="仿宋_GB2312" w:hAnsi="宋体" w:eastAsia="仿宋_GB2312" w:cs="宋体"/>
                <w:color w:val="000000"/>
                <w:kern w:val="0"/>
                <w:sz w:val="24"/>
              </w:rPr>
              <w:t>1</w:t>
            </w:r>
            <w:r>
              <w:rPr>
                <w:rFonts w:hint="eastAsia" w:ascii="仿宋_GB2312" w:hAnsi="宋体" w:eastAsia="仿宋_GB2312" w:cs="宋体"/>
                <w:color w:val="000000"/>
                <w:kern w:val="0"/>
                <w:sz w:val="24"/>
              </w:rPr>
              <w:t>）受污染食品流入</w:t>
            </w:r>
            <w:r>
              <w:rPr>
                <w:rFonts w:ascii="仿宋_GB2312" w:hAnsi="宋体" w:eastAsia="仿宋_GB2312" w:cs="宋体"/>
                <w:color w:val="000000"/>
                <w:kern w:val="0"/>
                <w:sz w:val="24"/>
              </w:rPr>
              <w:t>2</w:t>
            </w:r>
            <w:r>
              <w:rPr>
                <w:rFonts w:hint="eastAsia" w:ascii="仿宋_GB2312" w:hAnsi="宋体" w:eastAsia="仿宋_GB2312" w:cs="宋体"/>
                <w:color w:val="000000"/>
                <w:kern w:val="0"/>
                <w:sz w:val="24"/>
              </w:rPr>
              <w:t>个以上县（区），已造成严重损害后果的食品安全突发事件；</w:t>
            </w:r>
          </w:p>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ascii="仿宋_GB2312" w:hAnsi="宋体" w:eastAsia="仿宋_GB2312" w:cs="宋体"/>
                <w:color w:val="000000"/>
                <w:kern w:val="0"/>
                <w:sz w:val="24"/>
              </w:rPr>
              <w:t>2</w:t>
            </w:r>
            <w:r>
              <w:rPr>
                <w:rFonts w:hint="eastAsia" w:ascii="仿宋_GB2312" w:hAnsi="宋体" w:eastAsia="仿宋_GB2312" w:cs="宋体"/>
                <w:color w:val="000000"/>
                <w:kern w:val="0"/>
                <w:sz w:val="24"/>
              </w:rPr>
              <w:t>）１起食物中毒事件中毒人数</w:t>
            </w:r>
            <w:r>
              <w:rPr>
                <w:rFonts w:ascii="仿宋_GB2312" w:hAnsi="宋体" w:eastAsia="仿宋_GB2312" w:cs="宋体"/>
                <w:color w:val="000000"/>
                <w:kern w:val="0"/>
                <w:sz w:val="24"/>
              </w:rPr>
              <w:t>100</w:t>
            </w:r>
            <w:r>
              <w:rPr>
                <w:rFonts w:hint="eastAsia" w:ascii="仿宋_GB2312" w:hAnsi="宋体" w:eastAsia="仿宋_GB2312" w:cs="宋体"/>
                <w:color w:val="000000"/>
                <w:kern w:val="0"/>
                <w:sz w:val="24"/>
              </w:rPr>
              <w:t>人以上</w:t>
            </w:r>
            <w:r>
              <w:rPr>
                <w:rFonts w:ascii="仿宋_GB2312" w:hAnsi="宋体" w:eastAsia="仿宋_GB2312" w:cs="宋体"/>
                <w:color w:val="000000"/>
                <w:kern w:val="0"/>
                <w:sz w:val="24"/>
              </w:rPr>
              <w:t>200</w:t>
            </w:r>
            <w:r>
              <w:rPr>
                <w:rFonts w:hint="eastAsia" w:ascii="仿宋_GB2312" w:hAnsi="宋体" w:eastAsia="仿宋_GB2312" w:cs="宋体"/>
                <w:color w:val="000000"/>
                <w:kern w:val="0"/>
                <w:sz w:val="24"/>
              </w:rPr>
              <w:t>人以下，未出现死亡病例的；或出现</w:t>
            </w:r>
            <w:r>
              <w:rPr>
                <w:rFonts w:ascii="仿宋_GB2312" w:hAnsi="宋体" w:eastAsia="仿宋_GB2312" w:cs="宋体"/>
                <w:color w:val="000000"/>
                <w:kern w:val="0"/>
                <w:sz w:val="24"/>
              </w:rPr>
              <w:t>10</w:t>
            </w:r>
            <w:r>
              <w:rPr>
                <w:rFonts w:hint="eastAsia" w:ascii="仿宋_GB2312" w:hAnsi="宋体" w:eastAsia="仿宋_GB2312" w:cs="宋体"/>
                <w:color w:val="000000"/>
                <w:kern w:val="0"/>
                <w:sz w:val="24"/>
              </w:rPr>
              <w:t>人以下死亡病例的；</w:t>
            </w:r>
          </w:p>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ascii="仿宋_GB2312" w:hAnsi="宋体" w:eastAsia="仿宋_GB2312" w:cs="宋体"/>
                <w:color w:val="000000"/>
                <w:kern w:val="0"/>
                <w:sz w:val="24"/>
              </w:rPr>
              <w:t>3</w:t>
            </w:r>
            <w:r>
              <w:rPr>
                <w:rFonts w:hint="eastAsia" w:ascii="仿宋_GB2312" w:hAnsi="宋体" w:eastAsia="仿宋_GB2312" w:cs="宋体"/>
                <w:color w:val="000000"/>
                <w:kern w:val="0"/>
                <w:sz w:val="24"/>
              </w:rPr>
              <w:t>）在地市级行政区域范围内已经或可能造成较大危害或较大不良影响，经评估认为应当在市级层面采取应急措施应对的食品安全舆情事件；</w:t>
            </w:r>
          </w:p>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ascii="仿宋_GB2312" w:hAnsi="宋体" w:eastAsia="仿宋_GB2312" w:cs="宋体"/>
                <w:color w:val="000000"/>
                <w:kern w:val="0"/>
                <w:sz w:val="24"/>
              </w:rPr>
              <w:t>4</w:t>
            </w:r>
            <w:r>
              <w:rPr>
                <w:rFonts w:hint="eastAsia" w:ascii="仿宋_GB2312" w:hAnsi="宋体" w:eastAsia="仿宋_GB2312" w:cs="宋体"/>
                <w:color w:val="000000"/>
                <w:kern w:val="0"/>
                <w:sz w:val="24"/>
              </w:rPr>
              <w:t>）市人民政府认定的其他较大食品安全事件。</w:t>
            </w:r>
          </w:p>
        </w:tc>
        <w:tc>
          <w:tcPr>
            <w:tcW w:w="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Ⅲ级响应</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市级</w:t>
            </w:r>
          </w:p>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或</w:t>
            </w:r>
          </w:p>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after="0" w:line="34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一般</w:t>
            </w:r>
          </w:p>
        </w:tc>
        <w:tc>
          <w:tcPr>
            <w:tcW w:w="64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ascii="仿宋_GB2312" w:hAnsi="宋体" w:eastAsia="仿宋_GB2312" w:cs="宋体"/>
                <w:color w:val="000000"/>
                <w:kern w:val="0"/>
                <w:sz w:val="24"/>
              </w:rPr>
              <w:t>1</w:t>
            </w:r>
            <w:r>
              <w:rPr>
                <w:rFonts w:hint="eastAsia" w:ascii="仿宋_GB2312" w:hAnsi="宋体" w:eastAsia="仿宋_GB2312" w:cs="宋体"/>
                <w:color w:val="000000"/>
                <w:kern w:val="0"/>
                <w:sz w:val="24"/>
              </w:rPr>
              <w:t>）存在损害健康的污染食品，已造成严重健康损害后果的；</w:t>
            </w:r>
          </w:p>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ascii="仿宋_GB2312" w:hAnsi="宋体" w:eastAsia="仿宋_GB2312" w:cs="宋体"/>
                <w:color w:val="000000"/>
                <w:kern w:val="0"/>
                <w:sz w:val="24"/>
              </w:rPr>
              <w:t>2</w:t>
            </w:r>
            <w:r>
              <w:rPr>
                <w:rFonts w:hint="eastAsia" w:ascii="仿宋_GB2312" w:hAnsi="宋体" w:eastAsia="仿宋_GB2312" w:cs="宋体"/>
                <w:color w:val="000000"/>
                <w:kern w:val="0"/>
                <w:sz w:val="24"/>
              </w:rPr>
              <w:t>）１起食物中毒事故中毒人数在</w:t>
            </w:r>
            <w:r>
              <w:rPr>
                <w:rFonts w:ascii="仿宋_GB2312" w:hAnsi="宋体" w:eastAsia="仿宋_GB2312" w:cs="宋体"/>
                <w:color w:val="000000"/>
                <w:kern w:val="0"/>
                <w:sz w:val="24"/>
              </w:rPr>
              <w:t>30</w:t>
            </w:r>
            <w:r>
              <w:rPr>
                <w:rFonts w:hint="eastAsia" w:ascii="仿宋_GB2312" w:hAnsi="宋体" w:eastAsia="仿宋_GB2312" w:cs="宋体"/>
                <w:color w:val="000000"/>
                <w:kern w:val="0"/>
                <w:sz w:val="24"/>
              </w:rPr>
              <w:t>人以上</w:t>
            </w:r>
            <w:r>
              <w:rPr>
                <w:rFonts w:ascii="仿宋_GB2312" w:hAnsi="宋体" w:eastAsia="仿宋_GB2312" w:cs="宋体"/>
                <w:color w:val="000000"/>
                <w:kern w:val="0"/>
                <w:sz w:val="24"/>
              </w:rPr>
              <w:t>100</w:t>
            </w:r>
            <w:r>
              <w:rPr>
                <w:rFonts w:hint="eastAsia" w:ascii="仿宋_GB2312" w:hAnsi="宋体" w:eastAsia="仿宋_GB2312" w:cs="宋体"/>
                <w:color w:val="000000"/>
                <w:kern w:val="0"/>
                <w:sz w:val="24"/>
              </w:rPr>
              <w:t>人以下，未出现死亡病例的；</w:t>
            </w:r>
          </w:p>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ascii="仿宋_GB2312" w:hAnsi="宋体" w:eastAsia="仿宋_GB2312" w:cs="宋体"/>
                <w:color w:val="000000"/>
                <w:kern w:val="0"/>
                <w:sz w:val="24"/>
              </w:rPr>
              <w:t>3</w:t>
            </w:r>
            <w:r>
              <w:rPr>
                <w:rFonts w:hint="eastAsia" w:ascii="仿宋_GB2312" w:hAnsi="宋体" w:eastAsia="仿宋_GB2312" w:cs="宋体"/>
                <w:color w:val="000000"/>
                <w:kern w:val="0"/>
                <w:sz w:val="24"/>
              </w:rPr>
              <w:t>）在县</w:t>
            </w:r>
            <w:r>
              <w:rPr>
                <w:rFonts w:hint="eastAsia" w:ascii="仿宋_GB2312" w:hAnsi="宋体" w:eastAsia="仿宋_GB2312" w:cs="宋体"/>
                <w:color w:val="000000"/>
                <w:kern w:val="0"/>
                <w:sz w:val="24"/>
                <w:lang w:val="en-US" w:eastAsia="zh-CN"/>
              </w:rPr>
              <w:t>区</w:t>
            </w:r>
            <w:r>
              <w:rPr>
                <w:rFonts w:hint="eastAsia" w:ascii="仿宋_GB2312" w:hAnsi="宋体" w:eastAsia="仿宋_GB2312" w:cs="宋体"/>
                <w:color w:val="000000"/>
                <w:kern w:val="0"/>
                <w:sz w:val="24"/>
              </w:rPr>
              <w:t>级行政区域范围内已经或可能造成一般危害或一般不良影响，经评估认为应当在县级层面采取应急措施应对的食品安全舆情事件；</w:t>
            </w:r>
          </w:p>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ascii="仿宋_GB2312" w:hAnsi="宋体" w:eastAsia="仿宋_GB2312" w:cs="宋体"/>
                <w:color w:val="000000"/>
                <w:kern w:val="0"/>
                <w:sz w:val="24"/>
              </w:rPr>
              <w:t>4</w:t>
            </w:r>
            <w:r>
              <w:rPr>
                <w:rFonts w:hint="eastAsia" w:ascii="仿宋_GB2312" w:hAnsi="宋体" w:eastAsia="仿宋_GB2312" w:cs="宋体"/>
                <w:color w:val="000000"/>
                <w:kern w:val="0"/>
                <w:sz w:val="24"/>
              </w:rPr>
              <w:t>）县</w:t>
            </w:r>
            <w:r>
              <w:rPr>
                <w:rFonts w:hint="eastAsia" w:ascii="仿宋_GB2312" w:hAnsi="宋体" w:eastAsia="仿宋_GB2312" w:cs="宋体"/>
                <w:color w:val="000000"/>
                <w:kern w:val="0"/>
                <w:sz w:val="24"/>
                <w:lang w:val="en-US" w:eastAsia="zh-CN"/>
              </w:rPr>
              <w:t>区</w:t>
            </w:r>
            <w:r>
              <w:rPr>
                <w:rFonts w:hint="eastAsia" w:ascii="仿宋_GB2312" w:hAnsi="宋体" w:eastAsia="仿宋_GB2312" w:cs="宋体"/>
                <w:color w:val="000000"/>
                <w:kern w:val="0"/>
                <w:sz w:val="24"/>
              </w:rPr>
              <w:t>级以上人民政府认定的其他一般食品安全事件。</w:t>
            </w:r>
          </w:p>
        </w:tc>
        <w:tc>
          <w:tcPr>
            <w:tcW w:w="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Ⅳ级响应</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县级或</w:t>
            </w:r>
          </w:p>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020" w:type="dxa"/>
            <w:gridSpan w:val="4"/>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val="0"/>
              <w:topLinePunct w:val="0"/>
              <w:autoSpaceDE/>
              <w:autoSpaceDN/>
              <w:bidi w:val="0"/>
              <w:adjustRightInd/>
              <w:snapToGrid/>
              <w:spacing w:after="0" w:line="340" w:lineRule="exac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说明</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分级响应标准有关数量的表述中，“以上”含本数，“以下”不含本数。</w:t>
            </w:r>
          </w:p>
        </w:tc>
      </w:tr>
    </w:tbl>
    <w:p>
      <w:pPr>
        <w:pStyle w:val="2"/>
        <w:keepNext w:val="0"/>
        <w:keepLines w:val="0"/>
        <w:pageBreakBefore w:val="0"/>
        <w:widowControl w:val="0"/>
        <w:numPr>
          <w:ilvl w:val="0"/>
          <w:numId w:val="0"/>
        </w:numPr>
        <w:kinsoku/>
        <w:wordWrap/>
        <w:overflowPunct w:val="0"/>
        <w:topLinePunct w:val="0"/>
        <w:autoSpaceDE/>
        <w:autoSpaceDN/>
        <w:bidi w:val="0"/>
        <w:spacing w:after="0" w:line="560" w:lineRule="exact"/>
        <w:textAlignment w:val="auto"/>
        <w:rPr>
          <w:rFonts w:ascii="黑体" w:cs="黑体"/>
          <w:b w:val="0"/>
          <w:sz w:val="32"/>
          <w:szCs w:val="32"/>
        </w:rPr>
      </w:pPr>
      <w:bookmarkStart w:id="3" w:name="_Toc26314"/>
      <w:r>
        <w:rPr>
          <w:rFonts w:hint="eastAsia" w:ascii="黑体" w:hAnsi="黑体" w:cs="黑体"/>
          <w:b w:val="0"/>
          <w:sz w:val="32"/>
          <w:szCs w:val="32"/>
        </w:rPr>
        <w:t>附件</w:t>
      </w:r>
      <w:r>
        <w:rPr>
          <w:rFonts w:ascii="黑体" w:hAnsi="黑体" w:cs="黑体"/>
          <w:b w:val="0"/>
          <w:sz w:val="32"/>
          <w:szCs w:val="32"/>
        </w:rPr>
        <w:t>2</w:t>
      </w:r>
    </w:p>
    <w:bookmarkEnd w:id="3"/>
    <w:p>
      <w:pPr>
        <w:pStyle w:val="2"/>
        <w:keepNext w:val="0"/>
        <w:keepLines w:val="0"/>
        <w:pageBreakBefore w:val="0"/>
        <w:widowControl w:val="0"/>
        <w:numPr>
          <w:ilvl w:val="0"/>
          <w:numId w:val="0"/>
        </w:numPr>
        <w:kinsoku/>
        <w:wordWrap/>
        <w:overflowPunct w:val="0"/>
        <w:topLinePunct w:val="0"/>
        <w:autoSpaceDE/>
        <w:autoSpaceDN/>
        <w:bidi w:val="0"/>
        <w:spacing w:after="0" w:line="560" w:lineRule="exact"/>
        <w:jc w:val="center"/>
        <w:textAlignment w:val="auto"/>
        <w:rPr>
          <w:rFonts w:hint="eastAsia"/>
        </w:rPr>
      </w:pPr>
      <w:r>
        <w:rPr>
          <w:rFonts w:hint="eastAsia" w:ascii="方正小标宋简体" w:hAnsi="黑体" w:eastAsia="方正小标宋简体" w:cs="黑体"/>
          <w:b w:val="0"/>
          <w:color w:val="000000"/>
          <w:kern w:val="2"/>
          <w:sz w:val="44"/>
          <w:szCs w:val="44"/>
        </w:rPr>
        <w:t>食品安全突发事件预警信息分级评估标准</w:t>
      </w:r>
      <w:bookmarkEnd w:id="1"/>
    </w:p>
    <w:tbl>
      <w:tblPr>
        <w:tblStyle w:val="5"/>
        <w:tblW w:w="8640" w:type="dxa"/>
        <w:jc w:val="center"/>
        <w:tblLayout w:type="fixed"/>
        <w:tblCellMar>
          <w:top w:w="0" w:type="dxa"/>
          <w:left w:w="108" w:type="dxa"/>
          <w:bottom w:w="0" w:type="dxa"/>
          <w:right w:w="108" w:type="dxa"/>
        </w:tblCellMar>
      </w:tblPr>
      <w:tblGrid>
        <w:gridCol w:w="2084"/>
        <w:gridCol w:w="1639"/>
        <w:gridCol w:w="1638"/>
        <w:gridCol w:w="1638"/>
        <w:gridCol w:w="1641"/>
      </w:tblGrid>
      <w:tr>
        <w:tblPrEx>
          <w:tblCellMar>
            <w:top w:w="0" w:type="dxa"/>
            <w:left w:w="108" w:type="dxa"/>
            <w:bottom w:w="0" w:type="dxa"/>
            <w:right w:w="108" w:type="dxa"/>
          </w:tblCellMar>
        </w:tblPrEx>
        <w:trPr>
          <w:trHeight w:val="1162" w:hRule="atLeast"/>
          <w:jc w:val="center"/>
        </w:trPr>
        <w:tc>
          <w:tcPr>
            <w:tcW w:w="2084" w:type="dxa"/>
            <w:tcBorders>
              <w:top w:val="single" w:color="auto" w:sz="6" w:space="0"/>
              <w:left w:val="single" w:color="auto" w:sz="6" w:space="0"/>
              <w:bottom w:val="single" w:color="auto" w:sz="6" w:space="0"/>
              <w:right w:val="single" w:color="auto" w:sz="6" w:space="0"/>
              <w:tl2br w:val="single" w:color="auto" w:sz="6" w:space="0"/>
            </w:tcBorders>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ind w:firstLine="1205" w:firstLineChars="500"/>
              <w:textAlignment w:val="auto"/>
              <w:rPr>
                <w:rFonts w:ascii="黑体" w:hAnsi="黑体" w:eastAsia="黑体" w:cs="黑体"/>
                <w:b/>
                <w:bCs/>
                <w:color w:val="000000"/>
                <w:sz w:val="24"/>
                <w:szCs w:val="22"/>
              </w:rPr>
            </w:pPr>
            <w:r>
              <w:rPr>
                <w:rFonts w:hint="eastAsia" w:ascii="黑体" w:hAnsi="黑体" w:eastAsia="黑体" w:cs="黑体"/>
                <w:b/>
                <w:bCs/>
                <w:color w:val="000000"/>
                <w:sz w:val="24"/>
                <w:szCs w:val="22"/>
              </w:rPr>
              <w:t>发生</w:t>
            </w:r>
          </w:p>
          <w:p>
            <w:pPr>
              <w:keepNext w:val="0"/>
              <w:keepLines w:val="0"/>
              <w:pageBreakBefore w:val="0"/>
              <w:widowControl w:val="0"/>
              <w:kinsoku/>
              <w:wordWrap/>
              <w:overflowPunct w:val="0"/>
              <w:topLinePunct w:val="0"/>
              <w:autoSpaceDE/>
              <w:autoSpaceDN/>
              <w:bidi w:val="0"/>
              <w:adjustRightInd/>
              <w:snapToGrid w:val="0"/>
              <w:spacing w:after="0" w:line="400" w:lineRule="exact"/>
              <w:ind w:right="-222" w:rightChars="-101"/>
              <w:textAlignment w:val="auto"/>
              <w:rPr>
                <w:rFonts w:ascii="黑体" w:hAnsi="黑体" w:eastAsia="黑体" w:cs="黑体"/>
                <w:b/>
                <w:bCs/>
                <w:color w:val="000000"/>
                <w:sz w:val="24"/>
                <w:szCs w:val="22"/>
              </w:rPr>
            </w:pPr>
            <w:r>
              <w:rPr>
                <w:rFonts w:hint="eastAsia" w:ascii="黑体" w:hAnsi="黑体" w:eastAsia="黑体" w:cs="黑体"/>
                <w:b/>
                <w:bCs/>
                <w:color w:val="000000"/>
                <w:sz w:val="24"/>
                <w:szCs w:val="22"/>
              </w:rPr>
              <w:t>严重</w:t>
            </w:r>
            <w:r>
              <w:rPr>
                <w:rFonts w:ascii="黑体" w:hAnsi="黑体" w:eastAsia="黑体" w:cs="黑体"/>
                <w:b/>
                <w:bCs/>
                <w:color w:val="000000"/>
                <w:sz w:val="24"/>
                <w:szCs w:val="22"/>
              </w:rPr>
              <w:t xml:space="preserve">    </w:t>
            </w:r>
            <w:r>
              <w:rPr>
                <w:rFonts w:hint="eastAsia" w:ascii="黑体" w:hAnsi="黑体" w:eastAsia="黑体" w:cs="黑体"/>
                <w:b/>
                <w:bCs/>
                <w:color w:val="000000"/>
                <w:sz w:val="24"/>
                <w:szCs w:val="22"/>
              </w:rPr>
              <w:t xml:space="preserve">  概率</w:t>
            </w:r>
          </w:p>
          <w:p>
            <w:pPr>
              <w:keepNext w:val="0"/>
              <w:keepLines w:val="0"/>
              <w:pageBreakBefore w:val="0"/>
              <w:widowControl w:val="0"/>
              <w:kinsoku/>
              <w:wordWrap/>
              <w:overflowPunct w:val="0"/>
              <w:topLinePunct w:val="0"/>
              <w:autoSpaceDE/>
              <w:autoSpaceDN/>
              <w:bidi w:val="0"/>
              <w:adjustRightInd/>
              <w:snapToGrid w:val="0"/>
              <w:spacing w:after="0" w:line="400" w:lineRule="exact"/>
              <w:textAlignment w:val="auto"/>
              <w:rPr>
                <w:rFonts w:ascii="黑体" w:hAnsi="黑体" w:eastAsia="黑体" w:cs="黑体"/>
                <w:b/>
                <w:bCs/>
                <w:color w:val="000000"/>
                <w:sz w:val="24"/>
                <w:szCs w:val="22"/>
              </w:rPr>
            </w:pPr>
            <w:r>
              <w:rPr>
                <w:rFonts w:hint="eastAsia" w:ascii="黑体" w:hAnsi="黑体" w:eastAsia="黑体" w:cs="黑体"/>
                <w:b/>
                <w:bCs/>
                <w:color w:val="000000"/>
                <w:sz w:val="24"/>
                <w:szCs w:val="22"/>
              </w:rPr>
              <w:t>程度</w:t>
            </w:r>
          </w:p>
        </w:tc>
        <w:tc>
          <w:tcPr>
            <w:tcW w:w="16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ascii="黑体" w:hAnsi="黑体" w:eastAsia="黑体" w:cs="黑体"/>
                <w:b/>
                <w:bCs/>
                <w:color w:val="000000"/>
                <w:sz w:val="24"/>
                <w:szCs w:val="22"/>
              </w:rPr>
            </w:pPr>
            <w:r>
              <w:rPr>
                <w:rFonts w:hint="eastAsia" w:ascii="黑体" w:hAnsi="黑体" w:eastAsia="黑体" w:cs="黑体"/>
                <w:b/>
                <w:bCs/>
                <w:color w:val="000000"/>
                <w:sz w:val="24"/>
                <w:szCs w:val="22"/>
              </w:rPr>
              <w:t>不太可能</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ascii="黑体" w:hAnsi="黑体" w:eastAsia="黑体" w:cs="黑体"/>
                <w:b/>
                <w:bCs/>
                <w:color w:val="000000"/>
                <w:sz w:val="24"/>
                <w:szCs w:val="22"/>
              </w:rPr>
            </w:pPr>
            <w:r>
              <w:rPr>
                <w:rFonts w:hint="eastAsia" w:ascii="黑体" w:hAnsi="黑体" w:eastAsia="黑体" w:cs="黑体"/>
                <w:b/>
                <w:bCs/>
                <w:color w:val="000000"/>
                <w:sz w:val="24"/>
                <w:szCs w:val="22"/>
              </w:rPr>
              <w:t>有可能</w:t>
            </w:r>
          </w:p>
        </w:tc>
        <w:tc>
          <w:tcPr>
            <w:tcW w:w="163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ascii="黑体" w:hAnsi="黑体" w:eastAsia="黑体" w:cs="黑体"/>
                <w:b/>
                <w:bCs/>
                <w:color w:val="000000"/>
                <w:sz w:val="24"/>
                <w:szCs w:val="22"/>
              </w:rPr>
            </w:pPr>
            <w:r>
              <w:rPr>
                <w:rFonts w:hint="eastAsia" w:ascii="黑体" w:hAnsi="黑体" w:eastAsia="黑体" w:cs="黑体"/>
                <w:b/>
                <w:bCs/>
                <w:color w:val="000000"/>
                <w:sz w:val="24"/>
                <w:szCs w:val="22"/>
              </w:rPr>
              <w:t>非常可能</w:t>
            </w:r>
          </w:p>
        </w:tc>
        <w:tc>
          <w:tcPr>
            <w:tcW w:w="16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ascii="黑体" w:hAnsi="黑体" w:eastAsia="黑体" w:cs="黑体"/>
                <w:b/>
                <w:bCs/>
                <w:color w:val="000000"/>
                <w:sz w:val="24"/>
                <w:szCs w:val="22"/>
              </w:rPr>
            </w:pPr>
            <w:r>
              <w:rPr>
                <w:rFonts w:hint="eastAsia" w:ascii="黑体" w:hAnsi="黑体" w:eastAsia="黑体" w:cs="黑体"/>
                <w:b/>
                <w:bCs/>
                <w:color w:val="000000"/>
                <w:sz w:val="24"/>
                <w:szCs w:val="22"/>
              </w:rPr>
              <w:t>几乎肯定</w:t>
            </w:r>
          </w:p>
        </w:tc>
      </w:tr>
      <w:tr>
        <w:tblPrEx>
          <w:tblCellMar>
            <w:top w:w="0" w:type="dxa"/>
            <w:left w:w="108" w:type="dxa"/>
            <w:bottom w:w="0" w:type="dxa"/>
            <w:right w:w="108" w:type="dxa"/>
          </w:tblCellMar>
        </w:tblPrEx>
        <w:trPr>
          <w:trHeight w:val="566" w:hRule="atLeast"/>
          <w:jc w:val="center"/>
        </w:trPr>
        <w:tc>
          <w:tcPr>
            <w:tcW w:w="208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eastAsia="仿宋_GB2312"/>
                <w:color w:val="000000"/>
                <w:sz w:val="24"/>
                <w:szCs w:val="22"/>
              </w:rPr>
            </w:pPr>
            <w:r>
              <w:rPr>
                <w:rFonts w:hint="eastAsia" w:eastAsia="仿宋_GB2312"/>
                <w:color w:val="000000"/>
                <w:sz w:val="24"/>
                <w:szCs w:val="22"/>
              </w:rPr>
              <w:t>特别严重</w:t>
            </w:r>
          </w:p>
        </w:tc>
        <w:tc>
          <w:tcPr>
            <w:tcW w:w="1639"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eastAsia="仿宋_GB2312"/>
                <w:color w:val="000000"/>
                <w:sz w:val="24"/>
                <w:szCs w:val="22"/>
              </w:rPr>
            </w:pPr>
            <w:r>
              <w:rPr>
                <w:rFonts w:hint="eastAsia" w:ascii="宋体" w:hAnsi="宋体" w:cs="宋体"/>
                <w:color w:val="000000"/>
                <w:sz w:val="24"/>
                <w:szCs w:val="22"/>
              </w:rPr>
              <w:t>Ⅱ</w:t>
            </w:r>
            <w:r>
              <w:rPr>
                <w:rFonts w:hint="eastAsia" w:eastAsia="仿宋_GB2312"/>
                <w:color w:val="000000"/>
                <w:sz w:val="24"/>
                <w:szCs w:val="22"/>
              </w:rPr>
              <w:t>级</w:t>
            </w:r>
          </w:p>
        </w:tc>
        <w:tc>
          <w:tcPr>
            <w:tcW w:w="1638"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eastAsia="仿宋_GB2312"/>
                <w:color w:val="000000"/>
                <w:sz w:val="24"/>
                <w:szCs w:val="22"/>
              </w:rPr>
            </w:pPr>
            <w:r>
              <w:rPr>
                <w:rFonts w:hint="eastAsia" w:ascii="宋体" w:hAnsi="宋体" w:cs="宋体"/>
                <w:color w:val="000000"/>
                <w:sz w:val="24"/>
                <w:szCs w:val="22"/>
              </w:rPr>
              <w:t>Ⅱ</w:t>
            </w:r>
            <w:r>
              <w:rPr>
                <w:rFonts w:hint="eastAsia" w:eastAsia="仿宋_GB2312"/>
                <w:color w:val="000000"/>
                <w:sz w:val="24"/>
                <w:szCs w:val="22"/>
              </w:rPr>
              <w:t>级</w:t>
            </w:r>
          </w:p>
        </w:tc>
        <w:tc>
          <w:tcPr>
            <w:tcW w:w="1638"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eastAsia="仿宋_GB2312"/>
                <w:color w:val="000000"/>
                <w:sz w:val="24"/>
                <w:szCs w:val="22"/>
              </w:rPr>
            </w:pPr>
            <w:r>
              <w:rPr>
                <w:rFonts w:hint="eastAsia" w:ascii="宋体" w:hAnsi="宋体" w:cs="宋体"/>
                <w:color w:val="000000"/>
                <w:sz w:val="24"/>
                <w:szCs w:val="22"/>
              </w:rPr>
              <w:t>Ⅰ</w:t>
            </w:r>
            <w:r>
              <w:rPr>
                <w:rFonts w:hint="eastAsia" w:eastAsia="仿宋_GB2312"/>
                <w:color w:val="000000"/>
                <w:sz w:val="24"/>
                <w:szCs w:val="22"/>
              </w:rPr>
              <w:t>级</w:t>
            </w:r>
          </w:p>
        </w:tc>
        <w:tc>
          <w:tcPr>
            <w:tcW w:w="1641"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eastAsia="仿宋_GB2312"/>
                <w:color w:val="000000"/>
                <w:sz w:val="24"/>
                <w:szCs w:val="22"/>
              </w:rPr>
            </w:pPr>
            <w:r>
              <w:rPr>
                <w:rFonts w:hint="eastAsia" w:ascii="宋体" w:hAnsi="宋体" w:cs="宋体"/>
                <w:color w:val="000000"/>
                <w:sz w:val="24"/>
                <w:szCs w:val="22"/>
              </w:rPr>
              <w:t>Ⅰ</w:t>
            </w:r>
            <w:r>
              <w:rPr>
                <w:rFonts w:hint="eastAsia" w:eastAsia="仿宋_GB2312"/>
                <w:color w:val="000000"/>
                <w:sz w:val="24"/>
                <w:szCs w:val="22"/>
              </w:rPr>
              <w:t>级</w:t>
            </w:r>
          </w:p>
        </w:tc>
      </w:tr>
      <w:tr>
        <w:tblPrEx>
          <w:tblCellMar>
            <w:top w:w="0" w:type="dxa"/>
            <w:left w:w="108" w:type="dxa"/>
            <w:bottom w:w="0" w:type="dxa"/>
            <w:right w:w="108" w:type="dxa"/>
          </w:tblCellMar>
        </w:tblPrEx>
        <w:trPr>
          <w:trHeight w:val="499" w:hRule="atLeast"/>
          <w:jc w:val="center"/>
        </w:trPr>
        <w:tc>
          <w:tcPr>
            <w:tcW w:w="208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eastAsia="仿宋_GB2312"/>
                <w:color w:val="000000"/>
                <w:sz w:val="24"/>
                <w:szCs w:val="22"/>
              </w:rPr>
            </w:pPr>
            <w:r>
              <w:rPr>
                <w:rFonts w:hint="eastAsia" w:eastAsia="仿宋_GB2312"/>
                <w:color w:val="000000"/>
                <w:sz w:val="24"/>
                <w:szCs w:val="22"/>
              </w:rPr>
              <w:t>严重</w:t>
            </w:r>
          </w:p>
        </w:tc>
        <w:tc>
          <w:tcPr>
            <w:tcW w:w="1639"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eastAsia="仿宋_GB2312"/>
                <w:color w:val="000000"/>
                <w:sz w:val="24"/>
                <w:szCs w:val="22"/>
              </w:rPr>
            </w:pPr>
            <w:r>
              <w:rPr>
                <w:rFonts w:hint="eastAsia" w:ascii="宋体" w:hAnsi="宋体" w:cs="宋体"/>
                <w:color w:val="000000"/>
                <w:sz w:val="24"/>
                <w:szCs w:val="22"/>
              </w:rPr>
              <w:t>Ⅲ</w:t>
            </w:r>
            <w:r>
              <w:rPr>
                <w:rFonts w:hint="eastAsia" w:eastAsia="仿宋_GB2312"/>
                <w:color w:val="000000"/>
                <w:sz w:val="24"/>
                <w:szCs w:val="22"/>
              </w:rPr>
              <w:t>级</w:t>
            </w:r>
          </w:p>
        </w:tc>
        <w:tc>
          <w:tcPr>
            <w:tcW w:w="1638"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eastAsia="仿宋_GB2312"/>
                <w:color w:val="000000"/>
                <w:sz w:val="24"/>
                <w:szCs w:val="22"/>
              </w:rPr>
            </w:pPr>
            <w:r>
              <w:rPr>
                <w:rFonts w:hint="eastAsia" w:ascii="宋体" w:hAnsi="宋体" w:cs="宋体"/>
                <w:color w:val="000000"/>
                <w:sz w:val="24"/>
                <w:szCs w:val="22"/>
              </w:rPr>
              <w:t>Ⅱ</w:t>
            </w:r>
            <w:r>
              <w:rPr>
                <w:rFonts w:hint="eastAsia" w:eastAsia="仿宋_GB2312"/>
                <w:color w:val="000000"/>
                <w:sz w:val="24"/>
                <w:szCs w:val="22"/>
              </w:rPr>
              <w:t>级</w:t>
            </w:r>
          </w:p>
        </w:tc>
        <w:tc>
          <w:tcPr>
            <w:tcW w:w="1638"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eastAsia="仿宋_GB2312"/>
                <w:color w:val="000000"/>
                <w:sz w:val="24"/>
                <w:szCs w:val="22"/>
              </w:rPr>
            </w:pPr>
            <w:r>
              <w:rPr>
                <w:rFonts w:hint="eastAsia" w:ascii="宋体" w:hAnsi="宋体" w:cs="宋体"/>
                <w:color w:val="000000"/>
                <w:sz w:val="24"/>
                <w:szCs w:val="22"/>
              </w:rPr>
              <w:t>Ⅱ</w:t>
            </w:r>
            <w:r>
              <w:rPr>
                <w:rFonts w:hint="eastAsia" w:eastAsia="仿宋_GB2312"/>
                <w:color w:val="000000"/>
                <w:sz w:val="24"/>
                <w:szCs w:val="22"/>
              </w:rPr>
              <w:t>级</w:t>
            </w:r>
          </w:p>
        </w:tc>
        <w:tc>
          <w:tcPr>
            <w:tcW w:w="1641"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eastAsia="仿宋_GB2312"/>
                <w:color w:val="000000"/>
                <w:sz w:val="24"/>
                <w:szCs w:val="22"/>
              </w:rPr>
            </w:pPr>
            <w:r>
              <w:rPr>
                <w:rFonts w:hint="eastAsia" w:ascii="宋体" w:hAnsi="宋体" w:cs="宋体"/>
                <w:color w:val="000000"/>
                <w:sz w:val="24"/>
                <w:szCs w:val="22"/>
              </w:rPr>
              <w:t>Ⅰ</w:t>
            </w:r>
            <w:r>
              <w:rPr>
                <w:rFonts w:hint="eastAsia" w:eastAsia="仿宋_GB2312"/>
                <w:color w:val="000000"/>
                <w:sz w:val="24"/>
                <w:szCs w:val="22"/>
              </w:rPr>
              <w:t>级</w:t>
            </w:r>
          </w:p>
        </w:tc>
      </w:tr>
      <w:tr>
        <w:tblPrEx>
          <w:tblCellMar>
            <w:top w:w="0" w:type="dxa"/>
            <w:left w:w="108" w:type="dxa"/>
            <w:bottom w:w="0" w:type="dxa"/>
            <w:right w:w="108" w:type="dxa"/>
          </w:tblCellMar>
        </w:tblPrEx>
        <w:trPr>
          <w:trHeight w:val="509" w:hRule="atLeast"/>
          <w:jc w:val="center"/>
        </w:trPr>
        <w:tc>
          <w:tcPr>
            <w:tcW w:w="208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eastAsia="仿宋_GB2312"/>
                <w:color w:val="000000"/>
                <w:sz w:val="24"/>
                <w:szCs w:val="22"/>
              </w:rPr>
            </w:pPr>
            <w:r>
              <w:rPr>
                <w:rFonts w:hint="eastAsia" w:eastAsia="仿宋_GB2312"/>
                <w:color w:val="000000"/>
                <w:sz w:val="24"/>
                <w:szCs w:val="22"/>
              </w:rPr>
              <w:t>较重</w:t>
            </w:r>
          </w:p>
        </w:tc>
        <w:tc>
          <w:tcPr>
            <w:tcW w:w="1639"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eastAsia="仿宋_GB2312"/>
                <w:color w:val="000000"/>
                <w:sz w:val="24"/>
                <w:szCs w:val="22"/>
              </w:rPr>
            </w:pPr>
            <w:r>
              <w:rPr>
                <w:rFonts w:hint="eastAsia" w:ascii="宋体" w:hAnsi="宋体" w:cs="宋体"/>
                <w:color w:val="000000"/>
                <w:sz w:val="24"/>
                <w:szCs w:val="22"/>
              </w:rPr>
              <w:t>Ⅳ</w:t>
            </w:r>
            <w:r>
              <w:rPr>
                <w:rFonts w:hint="eastAsia" w:eastAsia="仿宋_GB2312"/>
                <w:color w:val="000000"/>
                <w:sz w:val="24"/>
                <w:szCs w:val="22"/>
              </w:rPr>
              <w:t>级</w:t>
            </w:r>
          </w:p>
        </w:tc>
        <w:tc>
          <w:tcPr>
            <w:tcW w:w="1638"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eastAsia="仿宋_GB2312"/>
                <w:color w:val="000000"/>
                <w:sz w:val="24"/>
                <w:szCs w:val="22"/>
              </w:rPr>
            </w:pPr>
            <w:r>
              <w:rPr>
                <w:rFonts w:hint="eastAsia" w:ascii="宋体" w:hAnsi="宋体" w:cs="宋体"/>
                <w:color w:val="000000"/>
                <w:sz w:val="24"/>
                <w:szCs w:val="22"/>
              </w:rPr>
              <w:t>Ⅲ</w:t>
            </w:r>
            <w:r>
              <w:rPr>
                <w:rFonts w:hint="eastAsia" w:eastAsia="仿宋_GB2312"/>
                <w:color w:val="000000"/>
                <w:sz w:val="24"/>
                <w:szCs w:val="22"/>
              </w:rPr>
              <w:t>级</w:t>
            </w:r>
          </w:p>
        </w:tc>
        <w:tc>
          <w:tcPr>
            <w:tcW w:w="1638"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eastAsia="仿宋_GB2312"/>
                <w:color w:val="000000"/>
                <w:sz w:val="24"/>
                <w:szCs w:val="22"/>
              </w:rPr>
            </w:pPr>
            <w:r>
              <w:rPr>
                <w:rFonts w:hint="eastAsia" w:ascii="宋体" w:hAnsi="宋体" w:cs="宋体"/>
                <w:color w:val="000000"/>
                <w:sz w:val="24"/>
                <w:szCs w:val="22"/>
              </w:rPr>
              <w:t>Ⅲ</w:t>
            </w:r>
            <w:r>
              <w:rPr>
                <w:rFonts w:hint="eastAsia" w:eastAsia="仿宋_GB2312"/>
                <w:color w:val="000000"/>
                <w:sz w:val="24"/>
                <w:szCs w:val="22"/>
              </w:rPr>
              <w:t>级</w:t>
            </w:r>
          </w:p>
        </w:tc>
        <w:tc>
          <w:tcPr>
            <w:tcW w:w="1641"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eastAsia="仿宋_GB2312"/>
                <w:color w:val="000000"/>
                <w:sz w:val="24"/>
                <w:szCs w:val="22"/>
              </w:rPr>
            </w:pPr>
            <w:r>
              <w:rPr>
                <w:rFonts w:hint="eastAsia" w:ascii="宋体" w:hAnsi="宋体" w:cs="宋体"/>
                <w:color w:val="000000"/>
                <w:sz w:val="24"/>
                <w:szCs w:val="22"/>
              </w:rPr>
              <w:t>Ⅱ</w:t>
            </w:r>
            <w:r>
              <w:rPr>
                <w:rFonts w:hint="eastAsia" w:eastAsia="仿宋_GB2312"/>
                <w:color w:val="000000"/>
                <w:sz w:val="24"/>
                <w:szCs w:val="22"/>
              </w:rPr>
              <w:t>级</w:t>
            </w:r>
          </w:p>
        </w:tc>
      </w:tr>
      <w:tr>
        <w:tblPrEx>
          <w:tblCellMar>
            <w:top w:w="0" w:type="dxa"/>
            <w:left w:w="108" w:type="dxa"/>
            <w:bottom w:w="0" w:type="dxa"/>
            <w:right w:w="108" w:type="dxa"/>
          </w:tblCellMar>
        </w:tblPrEx>
        <w:trPr>
          <w:trHeight w:val="519" w:hRule="atLeast"/>
          <w:jc w:val="center"/>
        </w:trPr>
        <w:tc>
          <w:tcPr>
            <w:tcW w:w="208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eastAsia="仿宋_GB2312"/>
                <w:color w:val="000000"/>
                <w:sz w:val="24"/>
                <w:szCs w:val="22"/>
              </w:rPr>
            </w:pPr>
            <w:r>
              <w:rPr>
                <w:rFonts w:hint="eastAsia" w:eastAsia="仿宋_GB2312"/>
                <w:color w:val="000000"/>
                <w:sz w:val="24"/>
                <w:szCs w:val="22"/>
              </w:rPr>
              <w:t>一般</w:t>
            </w:r>
          </w:p>
        </w:tc>
        <w:tc>
          <w:tcPr>
            <w:tcW w:w="1639"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eastAsia="仿宋_GB2312"/>
                <w:color w:val="000000"/>
                <w:sz w:val="24"/>
                <w:szCs w:val="22"/>
              </w:rPr>
            </w:pPr>
            <w:r>
              <w:rPr>
                <w:rFonts w:hint="eastAsia" w:ascii="宋体" w:hAnsi="宋体" w:cs="宋体"/>
                <w:color w:val="000000"/>
                <w:sz w:val="24"/>
                <w:szCs w:val="22"/>
              </w:rPr>
              <w:t>Ⅳ</w:t>
            </w:r>
            <w:r>
              <w:rPr>
                <w:rFonts w:hint="eastAsia" w:eastAsia="仿宋_GB2312"/>
                <w:color w:val="000000"/>
                <w:sz w:val="24"/>
                <w:szCs w:val="22"/>
              </w:rPr>
              <w:t>级</w:t>
            </w:r>
          </w:p>
        </w:tc>
        <w:tc>
          <w:tcPr>
            <w:tcW w:w="1638"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eastAsia="仿宋_GB2312"/>
                <w:color w:val="000000"/>
                <w:sz w:val="24"/>
                <w:szCs w:val="22"/>
              </w:rPr>
            </w:pPr>
            <w:r>
              <w:rPr>
                <w:rFonts w:hint="eastAsia" w:ascii="宋体" w:hAnsi="宋体" w:cs="宋体"/>
                <w:color w:val="000000"/>
                <w:sz w:val="24"/>
                <w:szCs w:val="22"/>
              </w:rPr>
              <w:t>Ⅳ</w:t>
            </w:r>
            <w:r>
              <w:rPr>
                <w:rFonts w:hint="eastAsia" w:eastAsia="仿宋_GB2312"/>
                <w:color w:val="000000"/>
                <w:sz w:val="24"/>
                <w:szCs w:val="22"/>
              </w:rPr>
              <w:t>级</w:t>
            </w:r>
          </w:p>
        </w:tc>
        <w:tc>
          <w:tcPr>
            <w:tcW w:w="1638"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eastAsia="仿宋_GB2312"/>
                <w:color w:val="000000"/>
                <w:sz w:val="24"/>
                <w:szCs w:val="22"/>
              </w:rPr>
            </w:pPr>
            <w:r>
              <w:rPr>
                <w:rFonts w:hint="eastAsia" w:ascii="宋体" w:hAnsi="宋体" w:cs="宋体"/>
                <w:color w:val="000000"/>
                <w:sz w:val="24"/>
                <w:szCs w:val="22"/>
              </w:rPr>
              <w:t>Ⅲ</w:t>
            </w:r>
            <w:r>
              <w:rPr>
                <w:rFonts w:hint="eastAsia" w:eastAsia="仿宋_GB2312"/>
                <w:color w:val="000000"/>
                <w:sz w:val="24"/>
                <w:szCs w:val="22"/>
              </w:rPr>
              <w:t>级</w:t>
            </w:r>
          </w:p>
        </w:tc>
        <w:tc>
          <w:tcPr>
            <w:tcW w:w="1641"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val="0"/>
              <w:topLinePunct w:val="0"/>
              <w:autoSpaceDE/>
              <w:autoSpaceDN/>
              <w:bidi w:val="0"/>
              <w:adjustRightInd/>
              <w:snapToGrid w:val="0"/>
              <w:spacing w:after="0" w:line="400" w:lineRule="exact"/>
              <w:jc w:val="center"/>
              <w:textAlignment w:val="auto"/>
              <w:rPr>
                <w:rFonts w:eastAsia="仿宋_GB2312"/>
                <w:color w:val="000000"/>
                <w:sz w:val="24"/>
                <w:szCs w:val="22"/>
              </w:rPr>
            </w:pPr>
            <w:r>
              <w:rPr>
                <w:rFonts w:hint="eastAsia" w:ascii="宋体" w:hAnsi="宋体" w:cs="宋体"/>
                <w:color w:val="000000"/>
                <w:sz w:val="24"/>
                <w:szCs w:val="22"/>
              </w:rPr>
              <w:t>Ⅲ</w:t>
            </w:r>
            <w:r>
              <w:rPr>
                <w:rFonts w:hint="eastAsia" w:eastAsia="仿宋_GB2312"/>
                <w:color w:val="000000"/>
                <w:sz w:val="24"/>
                <w:szCs w:val="22"/>
              </w:rPr>
              <w:t>级</w:t>
            </w:r>
          </w:p>
        </w:tc>
      </w:tr>
    </w:tbl>
    <w:p>
      <w:pPr>
        <w:keepNext w:val="0"/>
        <w:keepLines w:val="0"/>
        <w:pageBreakBefore w:val="0"/>
        <w:widowControl w:val="0"/>
        <w:kinsoku/>
        <w:wordWrap/>
        <w:overflowPunct w:val="0"/>
        <w:topLinePunct w:val="0"/>
        <w:autoSpaceDE/>
        <w:autoSpaceDN/>
        <w:bidi w:val="0"/>
        <w:adjustRightInd/>
        <w:snapToGrid/>
        <w:spacing w:after="0" w:line="46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说明：通过综合研判食品安全风险的“严重程度”和“发生概率”两个指标，对食品安全突发事件预警信息进行评价和分级。</w:t>
      </w:r>
    </w:p>
    <w:p>
      <w:pPr>
        <w:keepNext w:val="0"/>
        <w:keepLines w:val="0"/>
        <w:pageBreakBefore w:val="0"/>
        <w:widowControl w:val="0"/>
        <w:kinsoku/>
        <w:wordWrap/>
        <w:overflowPunct w:val="0"/>
        <w:topLinePunct w:val="0"/>
        <w:autoSpaceDE/>
        <w:autoSpaceDN/>
        <w:bidi w:val="0"/>
        <w:adjustRightInd/>
        <w:snapToGrid/>
        <w:spacing w:after="0" w:line="46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严重程度中的“一般”是指无显性伤害，但长期使用可危害健康或造成县级行政区域范围内的不良影响；“较重”是指导致轻度伤害引发身体不适或造成地市级行政区域范围内的不良影响；“严重”是指可致重度或大面积伤害引发严重疾病，或造成省级行政区域范围内的不良影响；“特别严重”是指直接导致死亡，或导致大面积严重中毒和疾病，或造成多个省份行政区域范围内的不良影响。评估严重程度时，一般同时考虑紧急程度因素。</w:t>
      </w:r>
    </w:p>
    <w:p>
      <w:pPr>
        <w:keepNext w:val="0"/>
        <w:keepLines w:val="0"/>
        <w:pageBreakBefore w:val="0"/>
        <w:widowControl w:val="0"/>
        <w:kinsoku/>
        <w:wordWrap/>
        <w:overflowPunct w:val="0"/>
        <w:topLinePunct w:val="0"/>
        <w:autoSpaceDE/>
        <w:autoSpaceDN/>
        <w:bidi w:val="0"/>
        <w:adjustRightInd/>
        <w:snapToGrid/>
        <w:spacing w:after="0" w:line="460" w:lineRule="exact"/>
        <w:ind w:firstLine="560" w:firstLineChars="200"/>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发生概率中的“不太可能”是指在某些时候可能会发生；“有可能”是指在某些时候应该会发生；“非常可能”是指在大多数情况下很可能会发生；“几乎肯定”是指预期在大多数情况下都会发生。</w:t>
      </w:r>
      <w:bookmarkEnd w:id="2"/>
    </w:p>
    <w:p>
      <w:pPr>
        <w:pStyle w:val="8"/>
        <w:keepNext w:val="0"/>
        <w:keepLines w:val="0"/>
        <w:pageBreakBefore w:val="0"/>
        <w:widowControl w:val="0"/>
        <w:kinsoku/>
        <w:wordWrap/>
        <w:overflowPunct w:val="0"/>
        <w:topLinePunct w:val="0"/>
        <w:autoSpaceDE/>
        <w:autoSpaceDN/>
        <w:bidi w:val="0"/>
        <w:adjustRightInd/>
        <w:snapToGrid/>
        <w:spacing w:line="560" w:lineRule="exact"/>
        <w:textAlignment w:val="auto"/>
        <w:rPr>
          <w:rFonts w:ascii="仿宋_GB2312" w:hAnsi="仿宋" w:eastAsia="仿宋_GB2312"/>
          <w:sz w:val="28"/>
          <w:szCs w:val="28"/>
          <w:u w:val="none"/>
          <w:lang w:eastAsia="zh-CN"/>
        </w:rPr>
      </w:pPr>
      <w:r>
        <w:rPr>
          <w:rFonts w:ascii="仿宋_GB2312" w:hAnsi="仿宋" w:eastAsia="仿宋_GB2312"/>
          <w:sz w:val="28"/>
          <w:szCs w:val="28"/>
          <w:u w:val="none"/>
          <w:lang w:eastAsia="zh-CN"/>
        </w:rPr>
        <w:t xml:space="preserve">       </w:t>
      </w:r>
    </w:p>
    <w:p>
      <w:pPr>
        <w:pStyle w:val="8"/>
        <w:keepNext w:val="0"/>
        <w:keepLines w:val="0"/>
        <w:pageBreakBefore w:val="0"/>
        <w:widowControl w:val="0"/>
        <w:kinsoku/>
        <w:wordWrap/>
        <w:overflowPunct w:val="0"/>
        <w:topLinePunct w:val="0"/>
        <w:autoSpaceDE/>
        <w:autoSpaceDN/>
        <w:bidi w:val="0"/>
        <w:adjustRightInd/>
        <w:snapToGrid/>
        <w:spacing w:line="560" w:lineRule="exact"/>
        <w:textAlignment w:val="auto"/>
        <w:rPr>
          <w:rFonts w:ascii="仿宋_GB2312" w:hAnsi="仿宋" w:eastAsia="仿宋_GB2312"/>
          <w:sz w:val="28"/>
          <w:szCs w:val="28"/>
          <w:u w:val="none"/>
          <w:lang w:eastAsia="zh-CN"/>
        </w:rPr>
      </w:pPr>
    </w:p>
    <w:p>
      <w:pPr>
        <w:pStyle w:val="8"/>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 w:eastAsia="仿宋_GB2312"/>
          <w:sz w:val="28"/>
          <w:szCs w:val="28"/>
          <w:u w:val="none"/>
          <w:lang w:eastAsia="zh-CN"/>
        </w:rPr>
      </w:pPr>
      <w:bookmarkStart w:id="4" w:name="_GoBack"/>
      <w:bookmarkEnd w:id="4"/>
    </w:p>
    <w:sectPr>
      <w:footerReference r:id="rId5" w:type="default"/>
      <w:footerReference r:id="rId6" w:type="even"/>
      <w:pgSz w:w="11906" w:h="16838"/>
      <w:pgMar w:top="1417" w:right="1417" w:bottom="1417" w:left="1701"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- 9 -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- 9 -</w:t>
                    </w:r>
                    <w:r>
                      <w:rPr>
                        <w:rStyle w:val="7"/>
                        <w:rFonts w:ascii="宋体" w:hAnsi="宋体"/>
                        <w:sz w:val="28"/>
                        <w:szCs w:val="28"/>
                      </w:rPr>
                      <w:fldChar w:fldCharType="end"/>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lang w:eastAsia="zh-CN"/>
                            </w:rPr>
                          </w:pPr>
                        </w:p>
                        <w:p>
                          <w:pPr>
                            <w:rPr>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rPr>
                        <w:lang w:eastAsia="zh-CN"/>
                      </w:rPr>
                    </w:pPr>
                  </w:p>
                  <w:p>
                    <w:pPr>
                      <w:rPr>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C0E79"/>
    <w:multiLevelType w:val="singleLevel"/>
    <w:tmpl w:val="978C0E79"/>
    <w:lvl w:ilvl="0" w:tentative="0">
      <w:start w:val="1"/>
      <w:numFmt w:val="decimal"/>
      <w:suff w:val="nothing"/>
      <w:lvlText w:val="（%1）"/>
      <w:lvlJc w:val="left"/>
      <w:rPr>
        <w:rFonts w:hint="default"/>
        <w:b/>
        <w:bCs/>
      </w:rPr>
    </w:lvl>
  </w:abstractNum>
  <w:abstractNum w:abstractNumId="1">
    <w:nsid w:val="0000000A"/>
    <w:multiLevelType w:val="multilevel"/>
    <w:tmpl w:val="0000000A"/>
    <w:lvl w:ilvl="0" w:tentative="0">
      <w:start w:val="1"/>
      <w:numFmt w:val="decimal"/>
      <w:pStyle w:val="2"/>
      <w:suff w:val="nothing"/>
      <w:lvlText w:val="%1."/>
      <w:lvlJc w:val="left"/>
      <w:pPr>
        <w:tabs>
          <w:tab w:val="left" w:pos="420"/>
        </w:tabs>
        <w:ind w:left="425" w:hanging="425"/>
      </w:pPr>
      <w:rPr>
        <w:rFonts w:hint="default" w:cs="Times New Roman"/>
      </w:rPr>
    </w:lvl>
    <w:lvl w:ilvl="1" w:tentative="0">
      <w:start w:val="1"/>
      <w:numFmt w:val="decimal"/>
      <w:suff w:val="nothing"/>
      <w:lvlText w:val="%1.%2."/>
      <w:lvlJc w:val="left"/>
      <w:pPr>
        <w:tabs>
          <w:tab w:val="left" w:pos="420"/>
        </w:tabs>
        <w:ind w:left="567" w:hanging="567"/>
      </w:pPr>
      <w:rPr>
        <w:rFonts w:hint="default" w:cs="Times New Roman"/>
      </w:rPr>
    </w:lvl>
    <w:lvl w:ilvl="2" w:tentative="0">
      <w:start w:val="1"/>
      <w:numFmt w:val="decimal"/>
      <w:lvlText w:val="%1.%2.%3."/>
      <w:lvlJc w:val="left"/>
      <w:pPr>
        <w:ind w:left="709" w:hanging="709"/>
      </w:pPr>
      <w:rPr>
        <w:rFonts w:hint="default" w:cs="Times New Roman"/>
      </w:rPr>
    </w:lvl>
    <w:lvl w:ilvl="3" w:tentative="0">
      <w:start w:val="1"/>
      <w:numFmt w:val="decimal"/>
      <w:lvlText w:val="%1.%2.%3.%4."/>
      <w:lvlJc w:val="left"/>
      <w:pPr>
        <w:ind w:left="85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2">
    <w:nsid w:val="57D77AF0"/>
    <w:multiLevelType w:val="singleLevel"/>
    <w:tmpl w:val="57D77AF0"/>
    <w:lvl w:ilvl="0" w:tentative="0">
      <w:start w:val="1"/>
      <w:numFmt w:val="decimal"/>
      <w:suff w:val="nothing"/>
      <w:lvlText w:val="（%1）"/>
      <w:lvlJc w:val="left"/>
      <w:rPr>
        <w:rFonts w:cs="Times New Roman"/>
      </w:rPr>
    </w:lvl>
  </w:abstractNum>
  <w:abstractNum w:abstractNumId="3">
    <w:nsid w:val="57D89B59"/>
    <w:multiLevelType w:val="singleLevel"/>
    <w:tmpl w:val="57D89B59"/>
    <w:lvl w:ilvl="0" w:tentative="0">
      <w:start w:val="1"/>
      <w:numFmt w:val="decimal"/>
      <w:suff w:val="nothing"/>
      <w:lvlText w:val="（%1）"/>
      <w:lvlJc w:val="left"/>
      <w:rPr>
        <w:rFonts w:cs="Times New Roman"/>
      </w:rPr>
    </w:lvl>
  </w:abstractNum>
  <w:abstractNum w:abstractNumId="4">
    <w:nsid w:val="57D8A6F3"/>
    <w:multiLevelType w:val="singleLevel"/>
    <w:tmpl w:val="57D8A6F3"/>
    <w:lvl w:ilvl="0" w:tentative="0">
      <w:start w:val="3"/>
      <w:numFmt w:val="decimal"/>
      <w:suff w:val="nothing"/>
      <w:lvlText w:val="（%1）"/>
      <w:lvlJc w:val="left"/>
      <w:rPr>
        <w:rFonts w:cs="Times New Roman"/>
      </w:rPr>
    </w:lvl>
  </w:abstractNum>
  <w:abstractNum w:abstractNumId="5">
    <w:nsid w:val="57D8A800"/>
    <w:multiLevelType w:val="singleLevel"/>
    <w:tmpl w:val="57D8A800"/>
    <w:lvl w:ilvl="0" w:tentative="0">
      <w:start w:val="1"/>
      <w:numFmt w:val="decimal"/>
      <w:suff w:val="nothing"/>
      <w:lvlText w:val="（%1）"/>
      <w:lvlJc w:val="left"/>
      <w:rPr>
        <w:rFonts w:cs="Times New Roman"/>
      </w:rPr>
    </w:lvl>
  </w:abstractNum>
  <w:abstractNum w:abstractNumId="6">
    <w:nsid w:val="57D8A86D"/>
    <w:multiLevelType w:val="singleLevel"/>
    <w:tmpl w:val="57D8A86D"/>
    <w:lvl w:ilvl="0" w:tentative="0">
      <w:start w:val="1"/>
      <w:numFmt w:val="decimal"/>
      <w:suff w:val="nothing"/>
      <w:lvlText w:val="（%1）"/>
      <w:lvlJc w:val="left"/>
      <w:rPr>
        <w:rFonts w:cs="Times New Roman"/>
      </w:rPr>
    </w:lvl>
  </w:abstractNum>
  <w:abstractNum w:abstractNumId="7">
    <w:nsid w:val="7F214CBE"/>
    <w:multiLevelType w:val="singleLevel"/>
    <w:tmpl w:val="7F214CBE"/>
    <w:lvl w:ilvl="0" w:tentative="0">
      <w:start w:val="3"/>
      <w:numFmt w:val="decimal"/>
      <w:suff w:val="space"/>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40618"/>
    <w:rsid w:val="00D9012D"/>
    <w:rsid w:val="01213882"/>
    <w:rsid w:val="021653B1"/>
    <w:rsid w:val="02E8320F"/>
    <w:rsid w:val="02F760F2"/>
    <w:rsid w:val="03D1158F"/>
    <w:rsid w:val="03DB0660"/>
    <w:rsid w:val="03F418E9"/>
    <w:rsid w:val="04CE4B2B"/>
    <w:rsid w:val="053A13B6"/>
    <w:rsid w:val="05B11678"/>
    <w:rsid w:val="06007623"/>
    <w:rsid w:val="063858F6"/>
    <w:rsid w:val="0644429B"/>
    <w:rsid w:val="06E23AB3"/>
    <w:rsid w:val="07EC0192"/>
    <w:rsid w:val="085066EC"/>
    <w:rsid w:val="087D3A94"/>
    <w:rsid w:val="0921401C"/>
    <w:rsid w:val="09844198"/>
    <w:rsid w:val="0A4D56E8"/>
    <w:rsid w:val="0B2910D3"/>
    <w:rsid w:val="0B723658"/>
    <w:rsid w:val="0D5F7C0C"/>
    <w:rsid w:val="0D8D4779"/>
    <w:rsid w:val="0DCF4493"/>
    <w:rsid w:val="0E0528E4"/>
    <w:rsid w:val="0E50720C"/>
    <w:rsid w:val="0E6A46D2"/>
    <w:rsid w:val="0EAB0EF3"/>
    <w:rsid w:val="0EB270B8"/>
    <w:rsid w:val="0F5D0A2F"/>
    <w:rsid w:val="0FCD030C"/>
    <w:rsid w:val="0FFD54BA"/>
    <w:rsid w:val="101747CE"/>
    <w:rsid w:val="1057106E"/>
    <w:rsid w:val="125C1198"/>
    <w:rsid w:val="12D546F4"/>
    <w:rsid w:val="15282FD9"/>
    <w:rsid w:val="15793835"/>
    <w:rsid w:val="15F14387"/>
    <w:rsid w:val="169361BA"/>
    <w:rsid w:val="16A161AD"/>
    <w:rsid w:val="17FF6273"/>
    <w:rsid w:val="18D0377D"/>
    <w:rsid w:val="18FE477D"/>
    <w:rsid w:val="193E0CBA"/>
    <w:rsid w:val="1ADC289C"/>
    <w:rsid w:val="1B520DA4"/>
    <w:rsid w:val="1BC752FA"/>
    <w:rsid w:val="1BE5408F"/>
    <w:rsid w:val="1CA218C3"/>
    <w:rsid w:val="1CBC0BD7"/>
    <w:rsid w:val="1CFB1C06"/>
    <w:rsid w:val="1D6923E1"/>
    <w:rsid w:val="1EF8470F"/>
    <w:rsid w:val="1EFB52BB"/>
    <w:rsid w:val="1F38206B"/>
    <w:rsid w:val="1F8D3AD6"/>
    <w:rsid w:val="1FD47FE6"/>
    <w:rsid w:val="1FE67D19"/>
    <w:rsid w:val="205B672D"/>
    <w:rsid w:val="20C53DD2"/>
    <w:rsid w:val="214419EF"/>
    <w:rsid w:val="217355DC"/>
    <w:rsid w:val="21EF70EC"/>
    <w:rsid w:val="226A4C31"/>
    <w:rsid w:val="22CC1448"/>
    <w:rsid w:val="23243032"/>
    <w:rsid w:val="23CB16FF"/>
    <w:rsid w:val="23D74548"/>
    <w:rsid w:val="2403533D"/>
    <w:rsid w:val="2577679A"/>
    <w:rsid w:val="25CE35D5"/>
    <w:rsid w:val="26121868"/>
    <w:rsid w:val="27547EF1"/>
    <w:rsid w:val="28C2286C"/>
    <w:rsid w:val="29030ACB"/>
    <w:rsid w:val="291E2E7B"/>
    <w:rsid w:val="29727860"/>
    <w:rsid w:val="2B71186F"/>
    <w:rsid w:val="2D2B1461"/>
    <w:rsid w:val="2D83304B"/>
    <w:rsid w:val="2DEC6810"/>
    <w:rsid w:val="2E1B3283"/>
    <w:rsid w:val="30030ADA"/>
    <w:rsid w:val="307A0735"/>
    <w:rsid w:val="316A07AA"/>
    <w:rsid w:val="31842EB9"/>
    <w:rsid w:val="31F6028F"/>
    <w:rsid w:val="32440618"/>
    <w:rsid w:val="32B76771"/>
    <w:rsid w:val="337218E7"/>
    <w:rsid w:val="33BA709B"/>
    <w:rsid w:val="3460469D"/>
    <w:rsid w:val="347A51A8"/>
    <w:rsid w:val="34915DC2"/>
    <w:rsid w:val="35A85582"/>
    <w:rsid w:val="35E86141"/>
    <w:rsid w:val="360A392E"/>
    <w:rsid w:val="3876544F"/>
    <w:rsid w:val="3B3F4A55"/>
    <w:rsid w:val="3B584C08"/>
    <w:rsid w:val="3C587148"/>
    <w:rsid w:val="3D22162C"/>
    <w:rsid w:val="3E2C6DE7"/>
    <w:rsid w:val="3E612E1D"/>
    <w:rsid w:val="3F1F6A24"/>
    <w:rsid w:val="3F385ADF"/>
    <w:rsid w:val="3F56236D"/>
    <w:rsid w:val="3FE43E1D"/>
    <w:rsid w:val="416D399E"/>
    <w:rsid w:val="41B11ADD"/>
    <w:rsid w:val="427F1BDB"/>
    <w:rsid w:val="43C7383A"/>
    <w:rsid w:val="447506D8"/>
    <w:rsid w:val="452D591E"/>
    <w:rsid w:val="457B0D80"/>
    <w:rsid w:val="4581069C"/>
    <w:rsid w:val="461B1C1B"/>
    <w:rsid w:val="462878EF"/>
    <w:rsid w:val="46C86140"/>
    <w:rsid w:val="474125E5"/>
    <w:rsid w:val="47510DEC"/>
    <w:rsid w:val="478F0B12"/>
    <w:rsid w:val="485E76F8"/>
    <w:rsid w:val="48677B6A"/>
    <w:rsid w:val="4891762D"/>
    <w:rsid w:val="48F50E49"/>
    <w:rsid w:val="49153758"/>
    <w:rsid w:val="495711BC"/>
    <w:rsid w:val="496C6379"/>
    <w:rsid w:val="498062FE"/>
    <w:rsid w:val="49A618B5"/>
    <w:rsid w:val="4A146A48"/>
    <w:rsid w:val="4A9F4A44"/>
    <w:rsid w:val="4BC15EF8"/>
    <w:rsid w:val="4FA113E3"/>
    <w:rsid w:val="4FE87566"/>
    <w:rsid w:val="50642F47"/>
    <w:rsid w:val="50DD0EBD"/>
    <w:rsid w:val="51830E34"/>
    <w:rsid w:val="51B178D7"/>
    <w:rsid w:val="52754DA9"/>
    <w:rsid w:val="53127E83"/>
    <w:rsid w:val="53852159"/>
    <w:rsid w:val="53B00340"/>
    <w:rsid w:val="54530D3D"/>
    <w:rsid w:val="55592936"/>
    <w:rsid w:val="55680289"/>
    <w:rsid w:val="55910141"/>
    <w:rsid w:val="56783445"/>
    <w:rsid w:val="5A416278"/>
    <w:rsid w:val="5AD8492F"/>
    <w:rsid w:val="5B1419A0"/>
    <w:rsid w:val="5CD06C0D"/>
    <w:rsid w:val="5D1C2D50"/>
    <w:rsid w:val="5E28378F"/>
    <w:rsid w:val="5EB17167"/>
    <w:rsid w:val="5F4B3189"/>
    <w:rsid w:val="5F746D79"/>
    <w:rsid w:val="5F860D1E"/>
    <w:rsid w:val="5F8B1768"/>
    <w:rsid w:val="5FF612D7"/>
    <w:rsid w:val="60C610D4"/>
    <w:rsid w:val="611F6F3D"/>
    <w:rsid w:val="625545B7"/>
    <w:rsid w:val="62AE40EB"/>
    <w:rsid w:val="62D90A3C"/>
    <w:rsid w:val="66524D8D"/>
    <w:rsid w:val="66644047"/>
    <w:rsid w:val="67B26509"/>
    <w:rsid w:val="67E759A9"/>
    <w:rsid w:val="697D112C"/>
    <w:rsid w:val="699F5453"/>
    <w:rsid w:val="6A111A49"/>
    <w:rsid w:val="6A130CD7"/>
    <w:rsid w:val="6A5F13D1"/>
    <w:rsid w:val="6B2036AC"/>
    <w:rsid w:val="6D390A55"/>
    <w:rsid w:val="6DF94A8D"/>
    <w:rsid w:val="6F196D90"/>
    <w:rsid w:val="6F1D10D4"/>
    <w:rsid w:val="6F7E6E13"/>
    <w:rsid w:val="6F9A7AC6"/>
    <w:rsid w:val="6FCC678F"/>
    <w:rsid w:val="70180DF5"/>
    <w:rsid w:val="70C06871"/>
    <w:rsid w:val="71475895"/>
    <w:rsid w:val="718F50E7"/>
    <w:rsid w:val="71CC633B"/>
    <w:rsid w:val="722C1D66"/>
    <w:rsid w:val="73236401"/>
    <w:rsid w:val="746029E9"/>
    <w:rsid w:val="75794E27"/>
    <w:rsid w:val="768070C1"/>
    <w:rsid w:val="76992564"/>
    <w:rsid w:val="780F5FC3"/>
    <w:rsid w:val="7855070D"/>
    <w:rsid w:val="79CA08A3"/>
    <w:rsid w:val="7A6E4A0C"/>
    <w:rsid w:val="7AE069B4"/>
    <w:rsid w:val="7C6036E0"/>
    <w:rsid w:val="7CC320E9"/>
    <w:rsid w:val="7CE87DA1"/>
    <w:rsid w:val="7D1113F7"/>
    <w:rsid w:val="7D424D1B"/>
    <w:rsid w:val="7DE953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kern w:val="0"/>
      <w:sz w:val="22"/>
      <w:szCs w:val="22"/>
      <w:lang w:val="en-US" w:eastAsia="en-US" w:bidi="ar-SA"/>
    </w:rPr>
  </w:style>
  <w:style w:type="paragraph" w:styleId="2">
    <w:name w:val="heading 1"/>
    <w:basedOn w:val="1"/>
    <w:next w:val="1"/>
    <w:qFormat/>
    <w:uiPriority w:val="0"/>
    <w:pPr>
      <w:keepNext/>
      <w:keepLines/>
      <w:numPr>
        <w:ilvl w:val="0"/>
        <w:numId w:val="1"/>
      </w:numPr>
      <w:spacing w:line="360" w:lineRule="auto"/>
      <w:outlineLvl w:val="0"/>
    </w:pPr>
    <w:rPr>
      <w:rFonts w:eastAsia="黑体"/>
      <w:b/>
      <w:kern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99"/>
    <w:rPr>
      <w:rFonts w:cs="Times New Roman"/>
    </w:rPr>
  </w:style>
  <w:style w:type="paragraph" w:customStyle="1" w:styleId="8">
    <w:name w:val="No Spacing1"/>
    <w:qFormat/>
    <w:uiPriority w:val="99"/>
    <w:rPr>
      <w:rFonts w:ascii="Calibri" w:hAnsi="Calibri" w:eastAsia="宋体" w:cs="Times New Roman"/>
      <w:kern w:val="0"/>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西北总部</Company>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2021-09-18T00:39:00Z</dcterms:created>
  <dc:creator>Administrator</dc:creator>
  <cp:lastModifiedBy>Administrator</cp:lastModifiedBy>
  <cp:lastPrinted>2021-11-23T06:35:00Z</cp:lastPrinted>
  <dcterms:modified xsi:type="dcterms:W3CDTF">2022-01-25T01:54:08Z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74981E19F3F847379319A464A86A0477</vt:lpwstr>
  </property>
</Properties>
</file>