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napToGrid/>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眉县2022年探索推进“标准地”改革</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lang w:eastAsia="zh-CN"/>
          <w14:textFill>
            <w14:solidFill>
              <w14:schemeClr w14:val="tx1"/>
            </w14:solidFill>
          </w14:textFill>
        </w:rPr>
        <w:t>为</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贯彻落实</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省政府办公厅</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关于探索推进“标准地”改革的意见》（陕政办发〔</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2021</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37号</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市政府办公室《关于探索推进“标准地”改革的实施意见》（宝政办发</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2022</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23号）和市自然资源和规划局《关于印发&lt;宝鸡市2022年探索推进“标准地”改革工作方案&gt;的函》（宝市自</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然资函〔</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2022</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58号）等</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文件精神，结合我县实际，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特制定本方案。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b w:val="0"/>
          <w:bCs w:val="0"/>
          <w:color w:val="000000" w:themeColor="text1"/>
          <w:sz w:val="32"/>
          <w:szCs w:val="40"/>
          <w14:textFill>
            <w14:solidFill>
              <w14:schemeClr w14:val="tx1"/>
            </w14:solidFill>
          </w14:textFill>
        </w:rPr>
      </w:pPr>
      <w:r>
        <w:rPr>
          <w:rFonts w:hint="eastAsia" w:ascii="黑体" w:hAnsi="黑体" w:eastAsia="黑体" w:cs="黑体"/>
          <w:b w:val="0"/>
          <w:bCs w:val="0"/>
          <w:color w:val="000000" w:themeColor="text1"/>
          <w:sz w:val="32"/>
          <w:szCs w:val="40"/>
          <w14:textFill>
            <w14:solidFill>
              <w14:schemeClr w14:val="tx1"/>
            </w14:solidFill>
          </w14:textFill>
        </w:rPr>
        <w:t xml:space="preserve">总体要求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微软雅黑" w:hAnsi="微软雅黑" w:eastAsia="微软雅黑" w:cs="微软雅黑"/>
          <w:b w:val="0"/>
          <w:bCs w:val="0"/>
          <w:color w:val="000000" w:themeColor="text1"/>
          <w:sz w:val="32"/>
          <w:szCs w:val="4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（一）指导思想</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以习近平新时代中国特色社会主义思想和习近平生态文明思想为指导，深入贯彻习近平总书记来陕视察重要讲话重要指示精神，牢固树立新发展理念，深化资源要素市场化配置改革，进一步优化营商环境，提高土地供应效率和节约集约利用水平，为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县产业转型升级和高质量发展提供有力保障。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（二）基本原则。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1.坚持市场化配置。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坚持市场在资源配置中的决定性作用，明晰土地出让的系列标准，实施“净地”出让，营造市场竞争</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氛围，激发市场活力，构建新型招商模式和良好的营商环境。</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2.坚持提高效率。</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由政府统一组织对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空间生态环境、区域节能、水土保持区域、矿产资源压覆、地质灾害危险性、文物考古、地震安全性等事项实行区域评估评价，简化审批程序，提高审批效率，最大限度减轻企业负担。</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left"/>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3.坚持节约集约用地。</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以“亩均论英雄”综合改革为目标，以土地利用效率为核心，明确固定资产投资强度、亩均税收、用地定额标准、建筑容积率、能耗标准等“硬约束”控制性指标，完善激励倒逼机制，提升土地节约集约利用水平。</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left"/>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4.坚持全过程监管。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实行“标准地”企业承诺、信用评价全过程监管机制，强化事中事后监管，建立奖惩制度，营造“守信者受益、失信者受限”的社会氛围。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（三）主要目标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经开区管委会在符合国土空间规划前提下，推进“标准地”改革试点，开展相关区域评估评价工作，确保经开区全年新批工业用地按照不低于40%的“标准地”供应。2023年起，经开区管委会、其他工业园区等产业集聚区全面推行工业项目“标准地”供应。探索将“标准地”出让工业项目纳入宝鸡市工程建设项目审批平台审批管理范围，确保项目全流程在线审批。</w:t>
      </w:r>
    </w:p>
    <w:p>
      <w:pPr>
        <w:pStyle w:val="7"/>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left"/>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基本含义和指标体系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（一）基本含义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标准地”是指在国土空间规划确定的城镇开发边界范围内具备供地条件的区域，对新建工业项目先行完成区域评价、先行设定控制指标，实现项目开工建设必需的通水、通电、通路、土地平整等基本条件可出让的国有建设用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（二）指标体系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“标准地”指标体系由内涵性指标和外延性指标构成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1.内涵性指标</w:t>
      </w:r>
      <w:r>
        <w:rPr>
          <w:rFonts w:hint="eastAsia" w:ascii="仿宋_GB2312" w:hAnsi="仿宋_GB2312" w:cs="仿宋_GB2312"/>
          <w:b/>
          <w:bCs/>
          <w:color w:val="000000" w:themeColor="text1"/>
          <w:sz w:val="32"/>
          <w:szCs w:val="40"/>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是指由政府及其派出机构对成片开发区域组织进行的、法律政策明确规定或要求的区域综合性评价</w:t>
      </w:r>
      <w:r>
        <w:rPr>
          <w:rFonts w:hint="eastAsia" w:ascii="仿宋_GB2312" w:hAnsi="仿宋_GB2312" w:cs="仿宋_GB2312"/>
          <w:color w:val="000000" w:themeColor="text1"/>
          <w:sz w:val="32"/>
          <w:szCs w:val="40"/>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评估成果或结论。按照“7+N”模式制定区域统一评价指标，“7”即区域空间生态环境评价、区域节能评价、水土保持区域评估、矿产资源压覆评估、地质灾害危险性评估、文物考古评价、地震安全性评价等七项区域性统一评价，由政府相关部门制定具体区域评价、评估指标要求；“N</w:t>
      </w:r>
      <w:r>
        <w:rPr>
          <w:rFonts w:hint="default" w:ascii="仿宋_GB2312" w:hAnsi="仿宋_GB2312" w:eastAsia="仿宋_GB2312" w:cs="仿宋_GB2312"/>
          <w:color w:val="000000" w:themeColor="text1"/>
          <w:sz w:val="32"/>
          <w:szCs w:val="40"/>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即结合地区实际确定的</w:t>
      </w:r>
      <w:r>
        <w:rPr>
          <w:rFonts w:hint="eastAsia" w:ascii="仿宋_GB2312" w:hAnsi="仿宋_GB2312" w:cs="仿宋_GB2312"/>
          <w:color w:val="000000" w:themeColor="text1"/>
          <w:sz w:val="32"/>
          <w:szCs w:val="40"/>
          <w:lang w:val="en-US" w:eastAsia="zh-CN"/>
          <w14:textFill>
            <w14:solidFill>
              <w14:schemeClr w14:val="tx1"/>
            </w14:solidFill>
          </w14:textFill>
        </w:rPr>
        <w:t>防洪</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影响评价等其他区域评价项目和标准。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2.外延性指标</w:t>
      </w:r>
      <w:r>
        <w:rPr>
          <w:rFonts w:hint="eastAsia" w:ascii="仿宋_GB2312" w:hAnsi="仿宋_GB2312" w:cs="仿宋_GB2312"/>
          <w:b/>
          <w:bCs/>
          <w:color w:val="000000" w:themeColor="text1"/>
          <w:sz w:val="32"/>
          <w:szCs w:val="40"/>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是指用地申请人（企业）应当达到或者满足国家和地方政府要求的建设项目投资、能耗、环保、节约集约用地等</w:t>
      </w:r>
      <w:r>
        <w:rPr>
          <w:rFonts w:hint="eastAsia" w:ascii="仿宋_GB2312" w:hAnsi="仿宋_GB2312" w:cs="仿宋_GB2312"/>
          <w:color w:val="000000" w:themeColor="text1"/>
          <w:sz w:val="32"/>
          <w:szCs w:val="40"/>
          <w:lang w:val="en-US" w:eastAsia="zh-CN"/>
          <w14:textFill>
            <w14:solidFill>
              <w14:schemeClr w14:val="tx1"/>
            </w14:solidFill>
          </w14:textFill>
        </w:rPr>
        <w:t>方面的</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政策规定、标准和条件。按照</w:t>
      </w:r>
      <w:r>
        <w:rPr>
          <w:rFonts w:hint="eastAsia" w:ascii="仿宋_GB2312" w:hAnsi="仿宋_GB2312" w:cs="仿宋_GB2312"/>
          <w:color w:val="000000" w:themeColor="text1"/>
          <w:sz w:val="32"/>
          <w:szCs w:val="40"/>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5+X</w:t>
      </w:r>
      <w:r>
        <w:rPr>
          <w:rFonts w:hint="eastAsia" w:ascii="仿宋_GB2312" w:hAnsi="仿宋_GB2312" w:cs="仿宋_GB2312"/>
          <w:color w:val="000000" w:themeColor="text1"/>
          <w:sz w:val="32"/>
          <w:szCs w:val="40"/>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要求确定拟建设项目的控制性指标</w:t>
      </w:r>
      <w:r>
        <w:rPr>
          <w:rFonts w:hint="eastAsia" w:ascii="仿宋_GB2312" w:hAnsi="仿宋_GB2312" w:cs="仿宋_GB2312"/>
          <w:color w:val="000000" w:themeColor="text1"/>
          <w:sz w:val="32"/>
          <w:szCs w:val="40"/>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“5”即固定资产强度、亩均税收、用地定额标准、建筑容积率、能耗标准等</w:t>
      </w:r>
      <w:r>
        <w:rPr>
          <w:rFonts w:hint="eastAsia" w:ascii="仿宋_GB2312" w:hAnsi="仿宋_GB2312" w:cs="仿宋_GB2312"/>
          <w:color w:val="000000" w:themeColor="text1"/>
          <w:sz w:val="32"/>
          <w:szCs w:val="40"/>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项控制性指标，由政府有关部门依据陕西省新增工业项目</w:t>
      </w:r>
      <w:r>
        <w:rPr>
          <w:rFonts w:hint="eastAsia" w:ascii="仿宋_GB2312" w:hAnsi="仿宋_GB2312" w:cs="仿宋_GB2312"/>
          <w:color w:val="000000" w:themeColor="text1"/>
          <w:sz w:val="32"/>
          <w:szCs w:val="40"/>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标准地</w:t>
      </w:r>
      <w:r>
        <w:rPr>
          <w:rFonts w:hint="eastAsia" w:ascii="仿宋_GB2312" w:hAnsi="仿宋_GB2312" w:cs="仿宋_GB2312"/>
          <w:color w:val="000000" w:themeColor="text1"/>
          <w:sz w:val="32"/>
          <w:szCs w:val="40"/>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指导性指标、行业标准及</w:t>
      </w:r>
      <w:r>
        <w:rPr>
          <w:rFonts w:hint="eastAsia" w:ascii="仿宋_GB2312" w:hAnsi="仿宋_GB2312" w:cs="仿宋_GB2312"/>
          <w:color w:val="000000" w:themeColor="text1"/>
          <w:sz w:val="32"/>
          <w:szCs w:val="40"/>
          <w:lang w:val="en-US" w:eastAsia="zh-CN"/>
          <w14:textFill>
            <w14:solidFill>
              <w14:schemeClr w14:val="tx1"/>
            </w14:solidFill>
          </w14:textFill>
        </w:rPr>
        <w:t>眉</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县实际情况完善具体标准。</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left"/>
        <w:textAlignment w:val="auto"/>
        <w:rPr>
          <w:rFonts w:hint="default"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三、主要任务及分工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（一）开展“标准地”</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区域评价。</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在符合国土空间规划的前提下</w:t>
      </w:r>
      <w:r>
        <w:rPr>
          <w:rFonts w:hint="eastAsia" w:ascii="仿宋_GB2312" w:hAnsi="仿宋_GB2312" w:cs="仿宋_GB2312"/>
          <w:color w:val="000000" w:themeColor="text1"/>
          <w:sz w:val="32"/>
          <w:szCs w:val="40"/>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经开区</w:t>
      </w:r>
      <w:r>
        <w:rPr>
          <w:rFonts w:hint="eastAsia" w:ascii="仿宋_GB2312" w:hAnsi="仿宋_GB2312" w:cs="仿宋_GB2312"/>
          <w:color w:val="000000" w:themeColor="text1"/>
          <w:sz w:val="32"/>
          <w:szCs w:val="40"/>
          <w:lang w:val="en-US" w:eastAsia="zh-CN"/>
          <w14:textFill>
            <w14:solidFill>
              <w14:schemeClr w14:val="tx1"/>
            </w14:solidFill>
          </w14:textFill>
        </w:rPr>
        <w:t>经</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省政府批准的国有建设用地范围内，按照内涵性“7+N</w:t>
      </w:r>
      <w:r>
        <w:rPr>
          <w:rFonts w:hint="default" w:ascii="仿宋_GB2312" w:hAnsi="仿宋_GB2312" w:eastAsia="仿宋_GB2312" w:cs="仿宋_GB2312"/>
          <w:color w:val="000000" w:themeColor="text1"/>
          <w:sz w:val="32"/>
          <w:szCs w:val="40"/>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指标要求，制定区域评估事项标准，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由</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政府</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统一组织实施区域空间生态环境评价、区域节能评价、水土保持区域评估、矿产资源压覆评估、地质灾害危险性评估、文物考古评价、地震安全性评价等区域评价工作，形成整体性的区域评价成果，由区域内投资项目无偿共享使用。除“负面清单”外，相关事项原则上不再开展单独评估，或依法依规予以简化。同时，根据区域评价有关情况，不断完善项目准入要求，并向社会公布负面清单。积极探索试点经验，逐步扩大区域有关评价覆盖面，为“标准地”落地提供坚实基础。</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（经开区管委会</w:t>
      </w:r>
      <w:r>
        <w:rPr>
          <w:rFonts w:hint="eastAsia" w:ascii="仿宋_GB2312" w:hAnsi="仿宋_GB2312" w:cs="仿宋_GB2312"/>
          <w:b/>
          <w:bCs/>
          <w:color w:val="000000" w:themeColor="text1"/>
          <w:sz w:val="32"/>
          <w:szCs w:val="40"/>
          <w:lang w:val="en-US" w:eastAsia="zh-CN"/>
          <w14:textFill>
            <w14:solidFill>
              <w14:schemeClr w14:val="tx1"/>
            </w14:solidFill>
          </w14:textFill>
        </w:rPr>
        <w:t>、常兴镇政府、首善街办、县商务和工业信息化局、</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发改局、生态环境局、住建局、自然资源局、文旅局、行政审批局、水利局</w:t>
      </w:r>
      <w:r>
        <w:rPr>
          <w:rFonts w:hint="eastAsia" w:ascii="仿宋_GB2312" w:hAnsi="仿宋_GB2312" w:cs="仿宋_GB2312"/>
          <w:b/>
          <w:bCs/>
          <w:color w:val="000000" w:themeColor="text1"/>
          <w:sz w:val="32"/>
          <w:szCs w:val="40"/>
          <w:lang w:val="en-US" w:eastAsia="zh-CN"/>
          <w14:textFill>
            <w14:solidFill>
              <w14:schemeClr w14:val="tx1"/>
            </w14:solidFill>
          </w14:textFill>
        </w:rPr>
        <w:t>等单位负责</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（二）制定控制指标体系。</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在遵循和落实中央和省市发布的土地使用标准以及区域评价的基础上，按照外延性“5+X”指标要求，结合实际，制订区域评价的区块内容积率、固定资产投资强度、能耗标准、用地定额标准和亩均税收等拟建设项目的控制性指标，实行动态调整，对外统一公布。</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（县自然资源局牵头，县发改局、生态环境局、水利局、行政审批局、税务局等部门负责）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（三）严格执行按标出让。</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根据“标准地”出让程序要求，结合项目准入清单，在综合评价</w:t>
      </w:r>
      <w:r>
        <w:rPr>
          <w:rFonts w:hint="eastAsia" w:ascii="仿宋_GB2312" w:hAnsi="仿宋_GB2312" w:cs="仿宋_GB2312"/>
          <w:color w:val="000000" w:themeColor="text1"/>
          <w:sz w:val="32"/>
          <w:szCs w:val="40"/>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基础上</w:t>
      </w:r>
      <w:r>
        <w:rPr>
          <w:rFonts w:hint="eastAsia" w:ascii="仿宋_GB2312" w:hAnsi="仿宋_GB2312" w:cs="仿宋_GB2312"/>
          <w:color w:val="000000" w:themeColor="text1"/>
          <w:sz w:val="32"/>
          <w:szCs w:val="40"/>
          <w:lang w:val="en-US" w:eastAsia="zh-CN"/>
          <w14:textFill>
            <w14:solidFill>
              <w14:schemeClr w14:val="tx1"/>
            </w14:solidFill>
          </w14:textFill>
        </w:rPr>
        <w:t>，编制含有</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亩均增加值、亩均固定资产投资、亩均税收、单位能耗增加值、单位碳排放增加值等具体指标</w:t>
      </w:r>
      <w:r>
        <w:rPr>
          <w:rFonts w:hint="eastAsia" w:ascii="仿宋_GB2312" w:hAnsi="仿宋_GB2312" w:cs="仿宋_GB2312"/>
          <w:color w:val="000000" w:themeColor="text1"/>
          <w:sz w:val="32"/>
          <w:szCs w:val="40"/>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国有建设用地使用权出让方案，按规定程序报县政府批准后，通过中国土地市场网依法依规发布“标准地”招拍挂出让公告，组织土地招拍挂。</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（县自然资源局负责，县发改局、财政局、住建局、行政审批局配合</w:t>
      </w:r>
      <w:r>
        <w:rPr>
          <w:rFonts w:hint="eastAsia" w:ascii="仿宋_GB2312" w:hAnsi="仿宋_GB2312" w:cs="仿宋_GB2312"/>
          <w:b/>
          <w:bCs/>
          <w:color w:val="000000" w:themeColor="text1"/>
          <w:sz w:val="32"/>
          <w:szCs w:val="40"/>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（四）明确“标准地”出让履约要求。</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推动“标准地+承诺制”改革，要求项目从土地交付到开工不超过30个工作日。企业取得“标准地”后，</w:t>
      </w:r>
      <w:r>
        <w:rPr>
          <w:rFonts w:hint="eastAsia" w:ascii="仿宋_GB2312" w:hAnsi="仿宋_GB2312" w:cs="仿宋_GB2312"/>
          <w:color w:val="000000" w:themeColor="text1"/>
          <w:sz w:val="32"/>
          <w:szCs w:val="40"/>
          <w:lang w:val="en-US" w:eastAsia="zh-CN"/>
          <w14:textFill>
            <w14:solidFill>
              <w14:schemeClr w14:val="tx1"/>
            </w14:solidFill>
          </w14:textFill>
        </w:rPr>
        <w:t>按规定程序及要求，依法依规与县自然资源局签订《国有建设用地使用权出让合同》，</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与</w:t>
      </w:r>
      <w:r>
        <w:rPr>
          <w:rFonts w:hint="eastAsia" w:ascii="仿宋_GB2312" w:hAnsi="仿宋_GB2312" w:cs="仿宋_GB2312"/>
          <w:color w:val="000000" w:themeColor="text1"/>
          <w:sz w:val="32"/>
          <w:szCs w:val="40"/>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经开区管委会</w:t>
      </w:r>
      <w:r>
        <w:rPr>
          <w:rFonts w:hint="eastAsia" w:ascii="仿宋_GB2312" w:hAnsi="仿宋_GB2312" w:cs="仿宋_GB2312"/>
          <w:color w:val="000000" w:themeColor="text1"/>
          <w:sz w:val="32"/>
          <w:szCs w:val="40"/>
          <w:lang w:val="en-US" w:eastAsia="zh-CN"/>
          <w14:textFill>
            <w14:solidFill>
              <w14:schemeClr w14:val="tx1"/>
            </w14:solidFill>
          </w14:textFill>
        </w:rPr>
        <w:t>签订《“标准地”投资建设合同》，明确“5+X”控制性指标、竣工验收、达产复核、违约责任等事项，协议具体内容参照《陕西省企业投资项目核准和备案管理办法》（陕发改投资〔2017〕1331号）及《陕西省政府核准的投资项目目录（2017年本）》《陕西省住房和城乡建设厅关于印发＜陕西省房屋建筑和市政基础设施工程竣工验收备案实施细则＞的通知》（陕建发〔2017</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w:t>
      </w:r>
      <w:r>
        <w:rPr>
          <w:rFonts w:hint="eastAsia" w:ascii="仿宋_GB2312" w:hAnsi="仿宋_GB2312" w:cs="仿宋_GB2312"/>
          <w:color w:val="000000" w:themeColor="text1"/>
          <w:sz w:val="32"/>
          <w:szCs w:val="40"/>
          <w:lang w:val="en-US" w:eastAsia="zh-CN"/>
          <w14:textFill>
            <w14:solidFill>
              <w14:schemeClr w14:val="tx1"/>
            </w14:solidFill>
          </w14:textFill>
        </w:rPr>
        <w:t>377号）等相关规定执行。</w:t>
      </w:r>
      <w:r>
        <w:rPr>
          <w:rFonts w:hint="eastAsia" w:ascii="仿宋_GB2312" w:hAnsi="仿宋_GB2312" w:cs="仿宋_GB2312"/>
          <w:b/>
          <w:bCs/>
          <w:color w:val="000000" w:themeColor="text1"/>
          <w:sz w:val="32"/>
          <w:szCs w:val="40"/>
          <w:lang w:val="en-US" w:eastAsia="zh-CN"/>
          <w14:textFill>
            <w14:solidFill>
              <w14:schemeClr w14:val="tx1"/>
            </w14:solidFill>
          </w14:textFill>
        </w:rPr>
        <w:t>（经开区管委会、常兴镇政府、首善街办、县商务和工业信息化局、自然资源局负责，县发改局、财政局、住建局等相关部门配合）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（五）推行承诺制审批服务。</w:t>
      </w:r>
      <w:r>
        <w:rPr>
          <w:rFonts w:hint="eastAsia" w:ascii="仿宋_GB2312" w:hAnsi="仿宋_GB2312" w:cs="仿宋_GB2312"/>
          <w:color w:val="000000" w:themeColor="text1"/>
          <w:sz w:val="32"/>
          <w:szCs w:val="40"/>
          <w:lang w:val="en-US" w:eastAsia="zh-CN"/>
          <w14:textFill>
            <w14:solidFill>
              <w14:schemeClr w14:val="tx1"/>
            </w14:solidFill>
          </w14:textFill>
        </w:rPr>
        <w:t>按照审批“零等待”、监管“零容忍”的原则，由县行政审批局牵头组织开展告知承诺审批，对企业在办理前期手续过程中非主要申请材料实行“容缺制”“承诺制”，探索将建设工程规划许可证和施工许可证合并办理，加快前期手续办理速度。同时，建立“标准地”项目前期辅导服务机制，结合企业意愿，为企业提供投资项目审批无偿代办、协办服务。企业可选择委托全流程或部分审批事项代办协办。按照国家有关规定，对通过事中事后监管能够纠正不符合审批条件的行为且不会产生严重后果的审批事项，实行告知承诺制。公布实行告知承诺制的审批事项清单及具体要求，申请人对照清单和要求做出书面承诺并完成公示的，审批部门可以直接做出审批决定，加速项目开工落地。</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（县行政审批局负责，县自然资源局、住建局、生态环境局</w:t>
      </w:r>
      <w:r>
        <w:rPr>
          <w:rFonts w:hint="eastAsia" w:ascii="仿宋_GB2312" w:hAnsi="仿宋_GB2312" w:cs="仿宋_GB2312"/>
          <w:b/>
          <w:bCs/>
          <w:color w:val="000000" w:themeColor="text1"/>
          <w:sz w:val="32"/>
          <w:szCs w:val="40"/>
          <w:lang w:val="en-US" w:eastAsia="zh-CN"/>
          <w14:textFill>
            <w14:solidFill>
              <w14:schemeClr w14:val="tx1"/>
            </w14:solidFill>
          </w14:textFill>
        </w:rPr>
        <w:t>等部门</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配合</w:t>
      </w:r>
      <w:r>
        <w:rPr>
          <w:rFonts w:hint="eastAsia" w:ascii="仿宋_GB2312" w:hAnsi="仿宋_GB2312" w:cs="仿宋_GB2312"/>
          <w:b/>
          <w:bCs/>
          <w:color w:val="000000" w:themeColor="text1"/>
          <w:sz w:val="32"/>
          <w:szCs w:val="40"/>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（六）按标规范项目建设。</w:t>
      </w:r>
      <w:r>
        <w:rPr>
          <w:rFonts w:hint="eastAsia" w:ascii="仿宋_GB2312" w:hAnsi="仿宋_GB2312" w:cs="仿宋_GB2312"/>
          <w:color w:val="000000" w:themeColor="text1"/>
          <w:sz w:val="32"/>
          <w:szCs w:val="40"/>
          <w:lang w:val="en-US" w:eastAsia="zh-CN"/>
          <w14:textFill>
            <w14:solidFill>
              <w14:schemeClr w14:val="tx1"/>
            </w14:solidFill>
          </w14:textFill>
        </w:rPr>
        <w:t>依据《企业投资工业项目“标准地”投资建设合同》约定，加强项目协同监管，督促企业落实工程主体和质量、安全、进度。督促用地企业承担并落实工程主体责任和质量、安全、进度管理，确保工程按照相关规定和既定计划实施，有特殊情况的依据现行规定办理。发现违反承诺行为，责令企业限期整改，确保项目按照相关规定和既定计划建设实施。</w:t>
      </w:r>
      <w:r>
        <w:rPr>
          <w:rFonts w:hint="eastAsia" w:ascii="仿宋_GB2312" w:hAnsi="仿宋_GB2312" w:cs="仿宋_GB2312"/>
          <w:b/>
          <w:bCs/>
          <w:color w:val="000000" w:themeColor="text1"/>
          <w:sz w:val="32"/>
          <w:szCs w:val="40"/>
          <w:lang w:val="en-US" w:eastAsia="zh-CN"/>
          <w14:textFill>
            <w14:solidFill>
              <w14:schemeClr w14:val="tx1"/>
            </w14:solidFill>
          </w14:textFill>
        </w:rPr>
        <w:t>（县住建局牵头，经开区管委会、常兴镇政府、首善街办、县商务和工业信息化局负责，县自然资源局、行政审批局等部门配合）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（七）联合落实对标验收。</w:t>
      </w:r>
      <w:r>
        <w:rPr>
          <w:rFonts w:hint="eastAsia" w:ascii="仿宋_GB2312" w:hAnsi="仿宋_GB2312" w:cs="仿宋_GB2312"/>
          <w:color w:val="000000" w:themeColor="text1"/>
          <w:sz w:val="32"/>
          <w:szCs w:val="40"/>
          <w:lang w:val="en-US" w:eastAsia="zh-CN"/>
          <w14:textFill>
            <w14:solidFill>
              <w14:schemeClr w14:val="tx1"/>
            </w14:solidFill>
          </w14:textFill>
        </w:rPr>
        <w:t>项目竣工后，由企业在约定期内，向政府指定的部门提出联合验收申请。政府指定的部门会同相关部门，根据工程建设标准和“标准地”投资建设协议内容进行联合竣工验收，并出具竣工验收意见书。未通过竣工核验的，由相关主管部门责令其限期整改，整改期最长不超过半年。验收通过或经整改后复核通过的，各部门依法依规办理相关审核审批手续，整改后仍不能达到投资建设协议约定的，核验不予通过，其违约责任按签订的“标准地”投资建设协议有关条款执行。</w:t>
      </w:r>
      <w:r>
        <w:rPr>
          <w:rFonts w:hint="eastAsia" w:ascii="仿宋_GB2312" w:hAnsi="仿宋_GB2312" w:cs="仿宋_GB2312"/>
          <w:b/>
          <w:bCs/>
          <w:color w:val="000000" w:themeColor="text1"/>
          <w:sz w:val="32"/>
          <w:szCs w:val="40"/>
          <w:lang w:val="en-US" w:eastAsia="zh-CN"/>
          <w14:textFill>
            <w14:solidFill>
              <w14:schemeClr w14:val="tx1"/>
            </w14:solidFill>
          </w14:textFill>
        </w:rPr>
        <w:t>（经开区管委会、常兴镇政府、首善街办、县商务和工业信息化局、自然资源局、发改局、生态环境局、住建局、行政审批局等单位负责）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b/>
          <w:bCs/>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（八）加强监管评价机制。</w:t>
      </w:r>
      <w:r>
        <w:rPr>
          <w:rFonts w:hint="eastAsia" w:ascii="仿宋_GB2312" w:hAnsi="仿宋_GB2312" w:cs="仿宋_GB2312"/>
          <w:color w:val="000000" w:themeColor="text1"/>
          <w:sz w:val="32"/>
          <w:szCs w:val="40"/>
          <w:lang w:val="en-US" w:eastAsia="zh-CN"/>
          <w14:textFill>
            <w14:solidFill>
              <w14:schemeClr w14:val="tx1"/>
            </w14:solidFill>
          </w14:textFill>
        </w:rPr>
        <w:t>按照“谁主管、谁提出、谁负责”的原则，建立“标准地”企业承诺、信用评价+数据应用的“一诺双用”全过程监督管理机制，设定标准化、可量化、可统计、可追溯评价指标，实施覆盖“标准地”项目建设、竣工验收、达产复核等环节监测核查的全过程联动协同监管。在项目建设过程中，重点监管企业是否严格按承诺事项和建设标准规范施工建设。在项目竣工投产后，按照“双随机、一公开”的要求监管，及时排查并消除各种隐患。项目通过达产复核、正常运营后，由相关职能部门按照“标准地”承诺履约指标评价体系进行管理，实现项目全生命周期管理。</w:t>
      </w:r>
      <w:r>
        <w:rPr>
          <w:rFonts w:hint="eastAsia" w:ascii="仿宋_GB2312" w:hAnsi="仿宋_GB2312" w:cs="仿宋_GB2312"/>
          <w:b/>
          <w:bCs/>
          <w:color w:val="000000" w:themeColor="text1"/>
          <w:sz w:val="32"/>
          <w:szCs w:val="40"/>
          <w:lang w:val="en-US" w:eastAsia="zh-CN"/>
          <w14:textFill>
            <w14:solidFill>
              <w14:schemeClr w14:val="tx1"/>
            </w14:solidFill>
          </w14:textFill>
        </w:rPr>
        <w:t>（经开区管委会、常兴镇政府、首善街办、县商务和工业信息化局、发改局、自然资源局、住建局、水利局、生态环境局、行政审批局等单位负责）</w:t>
      </w: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b w:val="0"/>
          <w:bCs w:val="0"/>
          <w:color w:val="000000" w:themeColor="text1"/>
          <w:sz w:val="32"/>
          <w:szCs w:val="40"/>
          <w:lang w:val="en-US" w:eastAsia="zh-CN"/>
          <w14:textFill>
            <w14:solidFill>
              <w14:schemeClr w14:val="tx1"/>
            </w14:solidFill>
          </w14:textFill>
        </w:rPr>
      </w:pPr>
      <w:r>
        <w:rPr>
          <w:rFonts w:hint="eastAsia" w:ascii="黑体" w:hAnsi="黑体" w:eastAsia="黑体" w:cs="黑体"/>
          <w:b w:val="0"/>
          <w:bCs w:val="0"/>
          <w:color w:val="000000" w:themeColor="text1"/>
          <w:sz w:val="32"/>
          <w:szCs w:val="40"/>
          <w:lang w:val="en-US" w:eastAsia="zh-CN"/>
          <w14:textFill>
            <w14:solidFill>
              <w14:schemeClr w14:val="tx1"/>
            </w14:solidFill>
          </w14:textFill>
        </w:rPr>
        <w:t xml:space="preserve">四、工作阶段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（一）前期准备阶段（2022年7月）。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成立推进“标准地”改革工作领导小组，制定工作方案，明确责任分工和工作任务，建立完善指导性指标和出让工作流程，细化保障措施，建立联席会议制度，将“标准地”供应纳入议事范围。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（二）探索推进阶段（2022年8月至9月）。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在经开区组织开展区域评估评价工作，研究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制定固定资产投资强度、亩均税收、能耗标准等控制性指导指标。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（三）全面实施阶段（2022年10月至12月）。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开区管委会在完成区域评估评价事项的基础上，确定首宗“标准地”出让地块，并与用地企业签订“标准地”投资建设合同，落实供后监管，调整政策措施，优化操作流程，形成有效的“标准地”供应制度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1.经开区管委会、各工业园区。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作为推动“标准地”改革工作的责任主体，负责开展“标准地”企业投资项目信用综合监管，建立“标准地”企业投资项目信用评价体系和严重失信名单制度；负责完成拟出让宗地必要</w:t>
      </w:r>
      <w:r>
        <w:rPr>
          <w:rFonts w:hint="eastAsia" w:ascii="仿宋_GB2312" w:hAnsi="仿宋_GB2312" w:eastAsia="仿宋_GB2312" w:cs="仿宋_GB2312"/>
          <w:color w:val="000000" w:themeColor="text1"/>
          <w:sz w:val="32"/>
          <w:szCs w:val="32"/>
          <w14:textFill>
            <w14:solidFill>
              <w14:schemeClr w14:val="tx1"/>
            </w14:solidFill>
          </w14:textFill>
        </w:rPr>
        <w:t>的通水、通电、通路和土地平整</w:t>
      </w:r>
      <w:r>
        <w:rPr>
          <w:rFonts w:hint="eastAsia" w:ascii="仿宋_GB2312" w:hAnsi="仿宋_GB2312" w:eastAsia="仿宋_GB2312" w:cs="仿宋_GB2312"/>
          <w:color w:val="000000" w:themeColor="text1"/>
          <w:sz w:val="32"/>
          <w:szCs w:val="32"/>
          <w:lang w:eastAsia="zh-CN"/>
          <w14:textFill>
            <w14:solidFill>
              <w14:schemeClr w14:val="tx1"/>
            </w14:solidFill>
          </w14:textFill>
        </w:rPr>
        <w:t>、地勘、文勘</w:t>
      </w:r>
      <w:r>
        <w:rPr>
          <w:rFonts w:hint="eastAsia" w:ascii="仿宋_GB2312" w:hAnsi="仿宋_GB2312" w:eastAsia="仿宋_GB2312" w:cs="仿宋_GB2312"/>
          <w:color w:val="000000" w:themeColor="text1"/>
          <w:sz w:val="32"/>
          <w:szCs w:val="32"/>
          <w14:textFill>
            <w14:solidFill>
              <w14:schemeClr w14:val="tx1"/>
            </w14:solidFill>
          </w14:textFill>
        </w:rPr>
        <w:t>等前期开发工作；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同用地企业签订</w:t>
      </w:r>
      <w:r>
        <w:rPr>
          <w:rFonts w:hint="eastAsia" w:ascii="仿宋_GB2312" w:hAnsi="仿宋_GB2312" w:eastAsia="仿宋_GB2312" w:cs="仿宋_GB2312"/>
          <w:color w:val="000000" w:themeColor="text1"/>
          <w:sz w:val="32"/>
          <w:szCs w:val="32"/>
          <w14:textFill>
            <w14:solidFill>
              <w14:schemeClr w14:val="tx1"/>
            </w14:solidFill>
          </w14:textFill>
        </w:rPr>
        <w:t>“标准地”投资建设合同</w:t>
      </w:r>
      <w:r>
        <w:rPr>
          <w:rFonts w:hint="eastAsia" w:ascii="仿宋_GB2312" w:hAnsi="仿宋_GB2312" w:eastAsia="仿宋_GB2312" w:cs="仿宋_GB2312"/>
          <w:color w:val="000000" w:themeColor="text1"/>
          <w:sz w:val="32"/>
          <w:szCs w:val="32"/>
          <w:lang w:eastAsia="zh-CN"/>
          <w14:textFill>
            <w14:solidFill>
              <w14:schemeClr w14:val="tx1"/>
            </w14:solidFill>
          </w14:textFill>
        </w:rPr>
        <w:t>和承诺书；</w:t>
      </w:r>
      <w:r>
        <w:rPr>
          <w:rFonts w:hint="eastAsia" w:ascii="仿宋_GB2312" w:hAnsi="仿宋_GB2312" w:eastAsia="仿宋_GB2312" w:cs="仿宋_GB2312"/>
          <w:color w:val="000000" w:themeColor="text1"/>
          <w:sz w:val="32"/>
          <w:szCs w:val="32"/>
          <w14:textFill>
            <w14:solidFill>
              <w14:schemeClr w14:val="tx1"/>
            </w14:solidFill>
          </w14:textFill>
        </w:rPr>
        <w:t>负责组织项目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开工、</w:t>
      </w:r>
      <w:r>
        <w:rPr>
          <w:rFonts w:hint="eastAsia" w:ascii="仿宋_GB2312" w:hAnsi="仿宋_GB2312" w:eastAsia="仿宋_GB2312" w:cs="仿宋_GB2312"/>
          <w:color w:val="000000" w:themeColor="text1"/>
          <w:sz w:val="32"/>
          <w:szCs w:val="32"/>
          <w14:textFill>
            <w14:solidFill>
              <w14:schemeClr w14:val="tx1"/>
            </w14:solidFill>
          </w14:textFill>
        </w:rPr>
        <w:t>竣工</w:t>
      </w:r>
      <w:r>
        <w:rPr>
          <w:rFonts w:hint="eastAsia" w:ascii="仿宋_GB2312" w:hAnsi="仿宋_GB2312" w:eastAsia="仿宋_GB2312" w:cs="仿宋_GB2312"/>
          <w:color w:val="000000" w:themeColor="text1"/>
          <w:sz w:val="32"/>
          <w:szCs w:val="32"/>
          <w:lang w:eastAsia="zh-CN"/>
          <w14:textFill>
            <w14:solidFill>
              <w14:schemeClr w14:val="tx1"/>
            </w14:solidFill>
          </w14:textFill>
        </w:rPr>
        <w:t>达产等阶段</w:t>
      </w:r>
      <w:r>
        <w:rPr>
          <w:rFonts w:hint="eastAsia" w:ascii="仿宋_GB2312" w:hAnsi="仿宋_GB2312" w:eastAsia="仿宋_GB2312" w:cs="仿宋_GB2312"/>
          <w:color w:val="000000" w:themeColor="text1"/>
          <w:sz w:val="32"/>
          <w:szCs w:val="32"/>
          <w14:textFill>
            <w14:solidFill>
              <w14:schemeClr w14:val="tx1"/>
            </w14:solidFill>
          </w14:textFill>
        </w:rPr>
        <w:t>履约评估和复核；负责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园区</w:t>
      </w:r>
      <w:r>
        <w:rPr>
          <w:rFonts w:hint="eastAsia" w:ascii="仿宋_GB2312" w:hAnsi="仿宋_GB2312" w:eastAsia="仿宋_GB2312" w:cs="仿宋_GB2312"/>
          <w:color w:val="000000" w:themeColor="text1"/>
          <w:sz w:val="32"/>
          <w:szCs w:val="32"/>
          <w14:textFill>
            <w14:solidFill>
              <w14:schemeClr w14:val="tx1"/>
            </w14:solidFill>
          </w14:textFill>
        </w:rPr>
        <w:t>标准地政策贯彻落实的督促工作。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2.县自然资源局。</w:t>
      </w:r>
      <w:r>
        <w:rPr>
          <w:rFonts w:hint="eastAsia" w:ascii="仿宋_GB2312" w:hAnsi="仿宋_GB2312" w:eastAsia="仿宋_GB2312" w:cs="仿宋_GB2312"/>
          <w:color w:val="000000" w:themeColor="text1"/>
          <w:sz w:val="32"/>
          <w:szCs w:val="32"/>
          <w:lang w:eastAsia="zh-CN"/>
          <w14:textFill>
            <w14:solidFill>
              <w14:schemeClr w14:val="tx1"/>
            </w14:solidFill>
          </w14:textFill>
        </w:rPr>
        <w:t>负责组织召开标准地工作领导小组联席会议；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负责</w:t>
      </w:r>
      <w:r>
        <w:rPr>
          <w:rFonts w:hint="eastAsia" w:ascii="仿宋_GB2312" w:hAnsi="仿宋_GB2312" w:eastAsia="仿宋_GB2312" w:cs="仿宋_GB2312"/>
          <w:color w:val="000000" w:themeColor="text1"/>
          <w:sz w:val="32"/>
          <w:szCs w:val="32"/>
          <w14:textFill>
            <w14:solidFill>
              <w14:schemeClr w14:val="tx1"/>
            </w14:solidFill>
          </w14:textFill>
        </w:rPr>
        <w:t>区域矿产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资源</w:t>
      </w:r>
      <w:r>
        <w:rPr>
          <w:rFonts w:hint="eastAsia" w:ascii="仿宋_GB2312" w:hAnsi="仿宋_GB2312" w:eastAsia="仿宋_GB2312" w:cs="仿宋_GB2312"/>
          <w:color w:val="000000" w:themeColor="text1"/>
          <w:sz w:val="32"/>
          <w:szCs w:val="32"/>
          <w14:textFill>
            <w14:solidFill>
              <w14:schemeClr w14:val="tx1"/>
            </w14:solidFill>
          </w14:textFill>
        </w:rPr>
        <w:t>压覆</w:t>
      </w:r>
      <w:r>
        <w:rPr>
          <w:rFonts w:hint="eastAsia" w:ascii="仿宋_GB2312" w:hAnsi="仿宋_GB2312" w:eastAsia="仿宋_GB2312" w:cs="仿宋_GB2312"/>
          <w:color w:val="000000" w:themeColor="text1"/>
          <w:sz w:val="32"/>
          <w:szCs w:val="32"/>
          <w:lang w:eastAsia="zh-CN"/>
          <w14:textFill>
            <w14:solidFill>
              <w14:schemeClr w14:val="tx1"/>
            </w14:solidFill>
          </w14:textFill>
        </w:rPr>
        <w:t>评估、</w:t>
      </w:r>
      <w:r>
        <w:rPr>
          <w:rFonts w:hint="eastAsia" w:ascii="仿宋_GB2312" w:hAnsi="仿宋_GB2312" w:eastAsia="仿宋_GB2312" w:cs="仿宋_GB2312"/>
          <w:color w:val="000000" w:themeColor="text1"/>
          <w:sz w:val="32"/>
          <w:szCs w:val="32"/>
          <w14:textFill>
            <w14:solidFill>
              <w14:schemeClr w14:val="tx1"/>
            </w14:solidFill>
          </w14:textFill>
        </w:rPr>
        <w:t>地质灾害危险性评估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工作；结合产业目录指引出具规划条件，制定建设项目容积率控制指标，</w:t>
      </w:r>
      <w:r>
        <w:rPr>
          <w:rFonts w:hint="eastAsia" w:ascii="仿宋_GB2312" w:hAnsi="仿宋_GB2312" w:eastAsia="仿宋_GB2312" w:cs="仿宋_GB2312"/>
          <w:color w:val="000000" w:themeColor="text1"/>
          <w:sz w:val="32"/>
          <w:szCs w:val="32"/>
          <w14:textFill>
            <w14:solidFill>
              <w14:schemeClr w14:val="tx1"/>
            </w14:solidFill>
          </w14:textFill>
        </w:rPr>
        <w:t>组织“标准地”出让工作，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在发布的出让公告中明确各项控制指标内容；负责同用地企业签订《国有建设用地使用权出让合同》，办理不动产登记证书，做好项目规划许可等相关工作</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3.县发改局。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负责做好企业投资项目服务工作，核定能耗双控指标，推进区域节能评价工作；结合工业园区实际情况，提出区域能耗标准控制性指标要求，督导落实管控措施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，并与企业签订“标准地”用地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承诺书</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4.县财政局。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按照国家法律和有关政策规定，以及县政府推进“标准地”改革的要求，统筹资金管理，保障“标准地”各项工作经费，同时做好项目服务采购监管。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5.县商务和工业信息化局。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负责分门类、按照行业产业特点和准入要求，确定建设项目固定资产投资强度等控制指标，拟定《“标准地”项目投资建设合同》。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6.县行政审批局。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w:t>
      </w:r>
      <w:r>
        <w:rPr>
          <w:rFonts w:hint="eastAsia" w:ascii="仿宋_GB2312" w:hAnsi="仿宋_GB2312" w:eastAsia="仿宋_GB2312" w:cs="仿宋_GB2312"/>
          <w:color w:val="000000" w:themeColor="text1"/>
          <w:sz w:val="32"/>
          <w:szCs w:val="32"/>
          <w14:textFill>
            <w14:solidFill>
              <w14:schemeClr w14:val="tx1"/>
            </w14:solidFill>
          </w14:textFill>
        </w:rPr>
        <w:t>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建筑</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施工许可</w:t>
      </w:r>
      <w:r>
        <w:rPr>
          <w:rFonts w:hint="eastAsia" w:ascii="仿宋_GB2312" w:hAnsi="仿宋_GB2312" w:eastAsia="仿宋_GB2312" w:cs="仿宋_GB2312"/>
          <w:color w:val="000000" w:themeColor="text1"/>
          <w:sz w:val="32"/>
          <w:szCs w:val="32"/>
          <w14:textFill>
            <w14:solidFill>
              <w14:schemeClr w14:val="tx1"/>
            </w14:solidFill>
          </w14:textFill>
        </w:rPr>
        <w:t>审批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水土保持方案审批、洪水影响评价审批和</w:t>
      </w:r>
      <w:r>
        <w:rPr>
          <w:rFonts w:hint="eastAsia" w:ascii="仿宋_GB2312" w:hAnsi="仿宋_GB2312" w:eastAsia="仿宋_GB2312" w:cs="仿宋_GB2312"/>
          <w:color w:val="000000" w:themeColor="text1"/>
          <w:sz w:val="32"/>
          <w:szCs w:val="32"/>
          <w14:textFill>
            <w14:solidFill>
              <w14:schemeClr w14:val="tx1"/>
            </w14:solidFill>
          </w14:textFill>
        </w:rPr>
        <w:t>取水许可审批，对本级明确的区域评价事项，组织相关部门办理政府统一服务事项。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7.县生态环境局。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负责提出区域生态环境准入要求，</w:t>
      </w:r>
      <w:r>
        <w:rPr>
          <w:rFonts w:hint="eastAsia" w:ascii="仿宋_GB2312" w:hAnsi="仿宋_GB2312" w:eastAsia="仿宋_GB2312" w:cs="仿宋_GB2312"/>
          <w:color w:val="000000" w:themeColor="text1"/>
          <w:sz w:val="32"/>
          <w:szCs w:val="32"/>
          <w14:textFill>
            <w14:solidFill>
              <w14:schemeClr w14:val="tx1"/>
            </w14:solidFill>
          </w14:textFill>
        </w:rPr>
        <w:t>完成区域环境影响评价工作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负责</w:t>
      </w:r>
      <w:r>
        <w:rPr>
          <w:rFonts w:hint="eastAsia" w:ascii="仿宋_GB2312" w:hAnsi="仿宋_GB2312" w:eastAsia="仿宋_GB2312" w:cs="仿宋_GB2312"/>
          <w:color w:val="000000" w:themeColor="text1"/>
          <w:sz w:val="32"/>
          <w:szCs w:val="32"/>
          <w14:textFill>
            <w14:solidFill>
              <w14:schemeClr w14:val="tx1"/>
            </w14:solidFill>
          </w14:textFill>
        </w:rPr>
        <w:t>明确“生态保护红线、环境质量底线、资源利用上线和生态环境准入清单”管控要求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拟纳入“标准地”地块土壤污染状况调查。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8.县住建局。</w:t>
      </w:r>
      <w:r>
        <w:rPr>
          <w:rFonts w:hint="eastAsia" w:ascii="仿宋_GB2312" w:hAnsi="仿宋_GB2312" w:eastAsia="仿宋_GB2312" w:cs="仿宋_GB2312"/>
          <w:color w:val="000000" w:themeColor="text1"/>
          <w:sz w:val="32"/>
          <w:szCs w:val="32"/>
          <w14:textFill>
            <w14:solidFill>
              <w14:schemeClr w14:val="tx1"/>
            </w14:solidFill>
          </w14:textFill>
        </w:rPr>
        <w:t>配合完成区域地震安全性评价，指导协助区域内的重要房屋建筑和城市基础设施开展建筑节能、绿色施工、抗震设防等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并在施工许可、质量安全监督、竣工验收备案等过程中加强监督管理</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9.县水利局。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负责开展区域防洪影响评估，水土保持区域评估、区域水资源论证评估工作；按照“三同时”制度</w:t>
      </w:r>
      <w:r>
        <w:rPr>
          <w:rFonts w:hint="eastAsia" w:ascii="仿宋_GB2312" w:hAnsi="仿宋_GB2312" w:cs="仿宋_GB2312"/>
          <w:color w:val="000000" w:themeColor="text1"/>
          <w:sz w:val="32"/>
          <w:szCs w:val="32"/>
          <w:lang w:val="en-US" w:eastAsia="zh-CN"/>
          <w14:textFill>
            <w14:solidFill>
              <w14:schemeClr w14:val="tx1"/>
            </w14:solidFill>
          </w14:textFill>
        </w:rPr>
        <w:t>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，监督指导落实好项目的水土保持方案。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10.县文旅局。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负责开展区域文物考古评价工作，并结合文物评价报告提出文物保护具体要求。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11.县招商局。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负责做好招商、选商等相关工作。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12.县税务局。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负责会同</w:t>
      </w:r>
      <w:r>
        <w:rPr>
          <w:rFonts w:hint="eastAsia" w:ascii="仿宋_GB2312" w:hAnsi="仿宋_GB2312" w:cs="仿宋_GB2312"/>
          <w:color w:val="000000" w:themeColor="text1"/>
          <w:sz w:val="32"/>
          <w:szCs w:val="32"/>
          <w:lang w:val="en-US" w:eastAsia="zh-CN"/>
          <w14:textFill>
            <w14:solidFill>
              <w14:schemeClr w14:val="tx1"/>
            </w14:solidFill>
          </w14:textFill>
        </w:rPr>
        <w:t>发改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、商务和工业信息化等部门确定区域项目亩均税收等标准，并做好相关税费收缴工作。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六、组织措施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eastAsia="zh-CN"/>
          <w14:textFill>
            <w14:solidFill>
              <w14:schemeClr w14:val="tx1"/>
            </w14:solidFill>
          </w14:textFill>
        </w:rPr>
        <w:t>（一）</w:t>
      </w: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强化</w:t>
      </w:r>
      <w:r>
        <w:rPr>
          <w:rFonts w:hint="eastAsia" w:ascii="楷体_GB2312" w:hAnsi="楷体_GB2312" w:eastAsia="楷体_GB2312" w:cs="楷体_GB2312"/>
          <w:b/>
          <w:bCs/>
          <w:color w:val="000000" w:themeColor="text1"/>
          <w:sz w:val="32"/>
          <w:szCs w:val="40"/>
          <w14:textFill>
            <w14:solidFill>
              <w14:schemeClr w14:val="tx1"/>
            </w14:solidFill>
          </w14:textFill>
        </w:rPr>
        <w:t>组织领导</w:t>
      </w:r>
      <w:r>
        <w:rPr>
          <w:rFonts w:hint="eastAsia" w:ascii="楷体_GB2312" w:hAnsi="楷体_GB2312" w:eastAsia="楷体_GB2312" w:cs="楷体_GB2312"/>
          <w:b/>
          <w:bCs/>
          <w:color w:val="000000" w:themeColor="text1"/>
          <w:sz w:val="32"/>
          <w:szCs w:val="40"/>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40"/>
          <w:lang w:val="en-US" w:eastAsia="zh-CN"/>
          <w14:textFill>
            <w14:solidFill>
              <w14:schemeClr w14:val="tx1"/>
            </w14:solidFill>
          </w14:textFill>
        </w:rPr>
        <w:t>成立县推进“标准地”改革工作领导小组，负责组织、领导我县“标准地”改革工作，</w:t>
      </w:r>
      <w:r>
        <w:rPr>
          <w:rFonts w:hint="eastAsia" w:ascii="仿宋_GB2312" w:hAnsi="仿宋_GB2312" w:eastAsia="仿宋_GB2312" w:cs="仿宋_GB2312"/>
          <w:color w:val="000000" w:themeColor="text1"/>
          <w:sz w:val="32"/>
          <w:szCs w:val="32"/>
          <w14:textFill>
            <w14:solidFill>
              <w14:schemeClr w14:val="tx1"/>
            </w14:solidFill>
          </w14:textFill>
        </w:rPr>
        <w:t>领导小组办公室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设在县自然资源局。</w:t>
      </w:r>
      <w:r>
        <w:rPr>
          <w:rFonts w:hint="eastAsia" w:ascii="仿宋_GB2312" w:hAnsi="仿宋_GB2312" w:eastAsia="仿宋_GB2312" w:cs="仿宋_GB2312"/>
          <w:b w:val="0"/>
          <w:bCs w:val="0"/>
          <w:color w:val="000000" w:themeColor="text1"/>
          <w:sz w:val="32"/>
          <w:szCs w:val="40"/>
          <w:lang w:val="en-US" w:eastAsia="zh-CN"/>
          <w14:textFill>
            <w14:solidFill>
              <w14:schemeClr w14:val="tx1"/>
            </w14:solidFill>
          </w14:textFill>
        </w:rPr>
        <w:t>领导小组各成员单位按照职责分工，指导工业园区落实“标准地”相关工作任务。建立“标准地”改革工作领导小组联席会议制度，由“标准地”改革工作领导小组办公室牵头组织，审议成员单位提请的事项，协调解决工作推动过程中重大问题，确保“标准地”改革工作顺利推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（二）强化改革协同。</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标准地”制度要有效对接“多规合一、多审合一、多验合一、多证合一”以及容缺审批、承诺告知等极简审批和行政审批制度改革措施，充分发挥改革叠加效应，最大限度降低企业用地成本。对以“标准地”方式供地的，在办理后续工程规划、施工、消防等行政审批或许可事项时，要加快办理，切实提高行政审批效率，优化和提升营商环境，以新型模式招引遴选高质量项目落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三</w:t>
      </w:r>
      <w:r>
        <w:rPr>
          <w:rFonts w:hint="eastAsia" w:ascii="楷体_GB2312" w:hAnsi="楷体_GB2312" w:eastAsia="楷体_GB2312" w:cs="楷体_GB2312"/>
          <w:b/>
          <w:bCs/>
          <w:color w:val="000000" w:themeColor="text1"/>
          <w:sz w:val="32"/>
          <w:szCs w:val="40"/>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40"/>
          <w14:textFill>
            <w14:solidFill>
              <w14:schemeClr w14:val="tx1"/>
            </w14:solidFill>
          </w14:textFill>
        </w:rPr>
        <w:t>强化</w:t>
      </w: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评估监管</w:t>
      </w:r>
      <w:r>
        <w:rPr>
          <w:rFonts w:hint="eastAsia" w:ascii="楷体_GB2312" w:hAnsi="楷体_GB2312" w:eastAsia="楷体_GB2312" w:cs="楷体_GB2312"/>
          <w:b/>
          <w:bCs/>
          <w:color w:val="000000" w:themeColor="text1"/>
          <w:sz w:val="32"/>
          <w:szCs w:val="40"/>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40"/>
          <w:lang w:val="en-US" w:eastAsia="zh-CN"/>
          <w14:textFill>
            <w14:solidFill>
              <w14:schemeClr w14:val="tx1"/>
            </w14:solidFill>
          </w14:textFill>
        </w:rPr>
        <w:t>建立“标准地”企业投资项目信用评价体系和严重失信名单制度，建立“标准地”项目全过程信用档案，对企业投资工业项目“标准地”的承诺行为信息和履约情况进行记录、评价和应用，将企业落实承诺行为信息记入信用档案，并提请相关部门依照国家和省市有关规定纳入公共征信系统，依法供查询或予以奖惩。信用评价结果作为企业享受差别化优惠政策的重要参考。针对严重失信的用地企业，采取联合惩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（四）强化督导检查。</w:t>
      </w:r>
      <w:r>
        <w:rPr>
          <w:rFonts w:hint="eastAsia" w:ascii="仿宋_GB2312" w:hAnsi="仿宋_GB2312" w:eastAsia="仿宋_GB2312" w:cs="仿宋_GB2312"/>
          <w:b w:val="0"/>
          <w:bCs w:val="0"/>
          <w:color w:val="000000" w:themeColor="text1"/>
          <w:sz w:val="32"/>
          <w:szCs w:val="40"/>
          <w:lang w:val="en-US" w:eastAsia="zh-CN"/>
          <w14:textFill>
            <w14:solidFill>
              <w14:schemeClr w14:val="tx1"/>
            </w14:solidFill>
          </w14:textFill>
        </w:rPr>
        <w:t>建立督查、考核工作制度，对各相关职能部门工作落实情况实行跟踪督查，建立评估制度，定期分析企业投资项目承诺制改革进展情况。严格监管制度，对各相关职能部门的改革执行情况进行专项督查，切实提升效能、优化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40"/>
          <w:lang w:val="en-US" w:eastAsia="zh-CN"/>
          <w14:textFill>
            <w14:solidFill>
              <w14:schemeClr w14:val="tx1"/>
            </w14:solidFill>
          </w14:textFill>
        </w:rPr>
      </w:pP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pacing w:val="0"/>
          <w:sz w:val="32"/>
          <w:szCs w:val="4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40"/>
          <w:lang w:val="en-US" w:eastAsia="zh-CN"/>
          <w14:textFill>
            <w14:solidFill>
              <w14:schemeClr w14:val="tx1"/>
            </w14:solidFill>
          </w14:textFill>
        </w:rPr>
        <w:t>附件：</w:t>
      </w:r>
      <w:r>
        <w:rPr>
          <w:rFonts w:hint="eastAsia" w:ascii="仿宋_GB2312" w:hAnsi="仿宋_GB2312" w:eastAsia="仿宋_GB2312" w:cs="仿宋_GB2312"/>
          <w:color w:val="000000" w:themeColor="text1"/>
          <w:spacing w:val="0"/>
          <w:sz w:val="32"/>
          <w:szCs w:val="40"/>
          <w:lang w:val="en-US" w:eastAsia="zh-CN"/>
          <w14:textFill>
            <w14:solidFill>
              <w14:schemeClr w14:val="tx1"/>
            </w14:solidFill>
          </w14:textFill>
        </w:rPr>
        <w:t>1.眉县推进“标准地”改革工作领导小组成员名单；</w:t>
      </w:r>
    </w:p>
    <w:p>
      <w:pPr>
        <w:keepNext w:val="0"/>
        <w:keepLines w:val="0"/>
        <w:pageBreakBefore w:val="0"/>
        <w:widowControl w:val="0"/>
        <w:kinsoku/>
        <w:wordWrap/>
        <w:overflowPunct/>
        <w:topLinePunct w:val="0"/>
        <w:autoSpaceDE/>
        <w:autoSpaceDN/>
        <w:bidi w:val="0"/>
        <w:adjustRightInd/>
        <w:snapToGrid/>
        <w:spacing w:line="560" w:lineRule="exact"/>
        <w:ind w:left="158" w:leftChars="75"/>
        <w:textAlignment w:val="auto"/>
        <w:rPr>
          <w:rFonts w:hint="default"/>
          <w:color w:val="000000" w:themeColor="text1"/>
          <w:spacing w:val="-20"/>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4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1"/>
          <w:sz w:val="32"/>
          <w:szCs w:val="40"/>
          <w:lang w:val="en-US" w:eastAsia="zh-CN"/>
          <w14:textFill>
            <w14:solidFill>
              <w14:schemeClr w14:val="tx1"/>
            </w14:solidFill>
          </w14:textFill>
        </w:rPr>
        <w:t>2.眉县经开区“标准地”出让工作流程暨实施计划表。</w:t>
      </w:r>
    </w:p>
    <w:p>
      <w:pPr>
        <w:pStyle w:val="3"/>
        <w:keepNext w:val="0"/>
        <w:keepLines w:val="0"/>
        <w:pageBreakBefore w:val="0"/>
        <w:widowControl w:val="0"/>
        <w:kinsoku/>
        <w:overflowPunct/>
        <w:topLinePunct w:val="0"/>
        <w:bidi w:val="0"/>
        <w:snapToGrid/>
        <w:textAlignment w:val="auto"/>
        <w:rPr>
          <w:rFonts w:hint="default"/>
          <w:color w:val="000000" w:themeColor="text1"/>
          <w:lang w:val="en-US" w:eastAsia="zh-CN"/>
          <w14:textFill>
            <w14:solidFill>
              <w14:schemeClr w14:val="tx1"/>
            </w14:solidFill>
          </w14:textFill>
        </w:rPr>
      </w:pPr>
    </w:p>
    <w:p>
      <w:pPr>
        <w:pStyle w:val="3"/>
        <w:keepNext w:val="0"/>
        <w:keepLines w:val="0"/>
        <w:pageBreakBefore w:val="0"/>
        <w:widowControl w:val="0"/>
        <w:kinsoku/>
        <w:overflowPunct/>
        <w:topLinePunct w:val="0"/>
        <w:bidi w:val="0"/>
        <w:snapToGrid/>
        <w:textAlignment w:val="auto"/>
        <w:rPr>
          <w:rFonts w:hint="eastAsia"/>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sz w:val="32"/>
          <w:szCs w:val="40"/>
          <w:lang w:val="en-US" w:eastAsia="zh-CN"/>
          <w14:textFill>
            <w14:solidFill>
              <w14:schemeClr w14:val="tx1"/>
            </w14:solidFill>
          </w14:textFill>
        </w:rPr>
      </w:pPr>
    </w:p>
    <w:p>
      <w:pPr>
        <w:pStyle w:val="3"/>
        <w:keepNext w:val="0"/>
        <w:keepLines w:val="0"/>
        <w:pageBreakBefore w:val="0"/>
        <w:widowControl w:val="0"/>
        <w:kinsoku/>
        <w:overflowPunct/>
        <w:topLinePunct w:val="0"/>
        <w:bidi w:val="0"/>
        <w:snapToGrid/>
        <w:textAlignment w:val="auto"/>
        <w:rPr>
          <w:rFonts w:hint="default" w:ascii="仿宋_GB2312" w:hAnsi="仿宋_GB2312" w:eastAsia="仿宋_GB2312" w:cs="仿宋_GB2312"/>
          <w:color w:val="000000" w:themeColor="text1"/>
          <w:sz w:val="32"/>
          <w:szCs w:val="40"/>
          <w:lang w:val="en-US" w:eastAsia="zh-CN"/>
          <w14:textFill>
            <w14:solidFill>
              <w14:schemeClr w14:val="tx1"/>
            </w14:solidFill>
          </w14:textFill>
        </w:rPr>
      </w:pPr>
    </w:p>
    <w:p>
      <w:pPr>
        <w:keepNext w:val="0"/>
        <w:keepLines w:val="0"/>
        <w:pageBreakBefore w:val="0"/>
        <w:widowControl w:val="0"/>
        <w:kinsoku/>
        <w:overflowPunct/>
        <w:topLinePunct w:val="0"/>
        <w:bidi w:val="0"/>
        <w:snapToGrid/>
        <w:textAlignment w:val="auto"/>
        <w:rPr>
          <w:rFonts w:hint="default" w:ascii="仿宋_GB2312" w:hAnsi="仿宋_GB2312" w:eastAsia="仿宋_GB2312" w:cs="仿宋_GB2312"/>
          <w:color w:val="000000" w:themeColor="text1"/>
          <w:sz w:val="32"/>
          <w:szCs w:val="40"/>
          <w:lang w:val="en-US" w:eastAsia="zh-CN"/>
          <w14:textFill>
            <w14:solidFill>
              <w14:schemeClr w14:val="tx1"/>
            </w14:solidFill>
          </w14:textFill>
        </w:rPr>
      </w:pPr>
    </w:p>
    <w:p>
      <w:pPr>
        <w:pStyle w:val="2"/>
        <w:keepNext w:val="0"/>
        <w:keepLines w:val="0"/>
        <w:pageBreakBefore w:val="0"/>
        <w:widowControl w:val="0"/>
        <w:kinsoku/>
        <w:overflowPunct/>
        <w:topLinePunct w:val="0"/>
        <w:bidi w:val="0"/>
        <w:snapToGrid/>
        <w:textAlignment w:val="auto"/>
        <w:rPr>
          <w:rFonts w:hint="default" w:ascii="仿宋_GB2312" w:hAnsi="仿宋_GB2312" w:eastAsia="仿宋_GB2312" w:cs="仿宋_GB2312"/>
          <w:color w:val="000000" w:themeColor="text1"/>
          <w:sz w:val="32"/>
          <w:szCs w:val="40"/>
          <w:lang w:val="en-US" w:eastAsia="zh-CN"/>
          <w14:textFill>
            <w14:solidFill>
              <w14:schemeClr w14:val="tx1"/>
            </w14:solidFill>
          </w14:textFill>
        </w:rPr>
      </w:pPr>
    </w:p>
    <w:p>
      <w:pPr>
        <w:pStyle w:val="3"/>
        <w:keepNext w:val="0"/>
        <w:keepLines w:val="0"/>
        <w:pageBreakBefore w:val="0"/>
        <w:widowControl w:val="0"/>
        <w:kinsoku/>
        <w:overflowPunct/>
        <w:topLinePunct w:val="0"/>
        <w:bidi w:val="0"/>
        <w:snapToGrid/>
        <w:textAlignment w:val="auto"/>
        <w:rPr>
          <w:rFonts w:hint="default" w:ascii="仿宋_GB2312" w:hAnsi="仿宋_GB2312" w:eastAsia="仿宋_GB2312" w:cs="仿宋_GB2312"/>
          <w:color w:val="000000" w:themeColor="text1"/>
          <w:sz w:val="32"/>
          <w:szCs w:val="40"/>
          <w:lang w:val="en-US" w:eastAsia="zh-CN"/>
          <w14:textFill>
            <w14:solidFill>
              <w14:schemeClr w14:val="tx1"/>
            </w14:solidFill>
          </w14:textFill>
        </w:rPr>
      </w:pPr>
    </w:p>
    <w:p>
      <w:pPr>
        <w:keepNext w:val="0"/>
        <w:keepLines w:val="0"/>
        <w:pageBreakBefore w:val="0"/>
        <w:widowControl w:val="0"/>
        <w:kinsoku/>
        <w:overflowPunct/>
        <w:topLinePunct w:val="0"/>
        <w:bidi w:val="0"/>
        <w:snapToGrid/>
        <w:textAlignment w:val="auto"/>
        <w:rPr>
          <w:rFonts w:hint="default" w:ascii="仿宋_GB2312" w:hAnsi="仿宋_GB2312" w:eastAsia="仿宋_GB2312" w:cs="仿宋_GB2312"/>
          <w:color w:val="000000" w:themeColor="text1"/>
          <w:sz w:val="32"/>
          <w:szCs w:val="40"/>
          <w:lang w:val="en-US" w:eastAsia="zh-CN"/>
          <w14:textFill>
            <w14:solidFill>
              <w14:schemeClr w14:val="tx1"/>
            </w14:solidFill>
          </w14:textFill>
        </w:rPr>
      </w:pPr>
    </w:p>
    <w:p>
      <w:pPr>
        <w:pStyle w:val="2"/>
        <w:keepNext w:val="0"/>
        <w:keepLines w:val="0"/>
        <w:pageBreakBefore w:val="0"/>
        <w:widowControl w:val="0"/>
        <w:kinsoku/>
        <w:overflowPunct/>
        <w:topLinePunct w:val="0"/>
        <w:bidi w:val="0"/>
        <w:snapToGrid/>
        <w:textAlignment w:val="auto"/>
        <w:rPr>
          <w:rFonts w:hint="default" w:ascii="仿宋_GB2312" w:hAnsi="仿宋_GB2312" w:eastAsia="仿宋_GB2312" w:cs="仿宋_GB2312"/>
          <w:color w:val="000000" w:themeColor="text1"/>
          <w:sz w:val="32"/>
          <w:szCs w:val="40"/>
          <w:lang w:val="en-US" w:eastAsia="zh-CN"/>
          <w14:textFill>
            <w14:solidFill>
              <w14:schemeClr w14:val="tx1"/>
            </w14:solidFill>
          </w14:textFill>
        </w:rPr>
      </w:pPr>
    </w:p>
    <w:p>
      <w:pPr>
        <w:pStyle w:val="3"/>
        <w:keepNext w:val="0"/>
        <w:keepLines w:val="0"/>
        <w:pageBreakBefore w:val="0"/>
        <w:widowControl w:val="0"/>
        <w:kinsoku/>
        <w:overflowPunct/>
        <w:topLinePunct w:val="0"/>
        <w:bidi w:val="0"/>
        <w:snapToGrid/>
        <w:textAlignment w:val="auto"/>
        <w:rPr>
          <w:rFonts w:hint="default" w:ascii="仿宋_GB2312" w:hAnsi="仿宋_GB2312" w:eastAsia="仿宋_GB2312" w:cs="仿宋_GB2312"/>
          <w:color w:val="000000" w:themeColor="text1"/>
          <w:sz w:val="32"/>
          <w:szCs w:val="40"/>
          <w:lang w:val="en-US" w:eastAsia="zh-CN"/>
          <w14:textFill>
            <w14:solidFill>
              <w14:schemeClr w14:val="tx1"/>
            </w14:solidFill>
          </w14:textFill>
        </w:rPr>
      </w:pPr>
    </w:p>
    <w:p>
      <w:pPr>
        <w:keepNext w:val="0"/>
        <w:keepLines w:val="0"/>
        <w:pageBreakBefore w:val="0"/>
        <w:widowControl w:val="0"/>
        <w:kinsoku/>
        <w:overflowPunct/>
        <w:topLinePunct w:val="0"/>
        <w:bidi w:val="0"/>
        <w:snapToGrid/>
        <w:textAlignment w:val="auto"/>
        <w:rPr>
          <w:rFonts w:hint="default" w:ascii="仿宋_GB2312" w:hAnsi="仿宋_GB2312" w:eastAsia="仿宋_GB2312" w:cs="仿宋_GB2312"/>
          <w:color w:val="000000" w:themeColor="text1"/>
          <w:sz w:val="32"/>
          <w:szCs w:val="40"/>
          <w:lang w:val="en-US" w:eastAsia="zh-CN"/>
          <w14:textFill>
            <w14:solidFill>
              <w14:schemeClr w14:val="tx1"/>
            </w14:solidFill>
          </w14:textFill>
        </w:rPr>
      </w:pPr>
    </w:p>
    <w:p>
      <w:pPr>
        <w:keepNext w:val="0"/>
        <w:keepLines w:val="0"/>
        <w:pageBreakBefore w:val="0"/>
        <w:widowControl w:val="0"/>
        <w:kinsoku/>
        <w:overflowPunct/>
        <w:topLinePunct w:val="0"/>
        <w:bidi w:val="0"/>
        <w:snapToGrid/>
        <w:spacing w:line="560" w:lineRule="exact"/>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w:t>
      </w:r>
    </w:p>
    <w:p>
      <w:pPr>
        <w:pStyle w:val="3"/>
        <w:keepNext w:val="0"/>
        <w:keepLines w:val="0"/>
        <w:pageBreakBefore w:val="0"/>
        <w:widowControl w:val="0"/>
        <w:kinsoku/>
        <w:overflowPunct/>
        <w:topLinePunct w:val="0"/>
        <w:bidi w:val="0"/>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p>
    <w:p>
      <w:pPr>
        <w:pStyle w:val="3"/>
        <w:keepNext w:val="0"/>
        <w:keepLines w:val="0"/>
        <w:pageBreakBefore w:val="0"/>
        <w:widowControl w:val="0"/>
        <w:kinsoku/>
        <w:overflowPunct/>
        <w:topLinePunct w:val="0"/>
        <w:bidi w:val="0"/>
        <w:snapToGrid/>
        <w:spacing w:line="560" w:lineRule="exact"/>
        <w:ind w:left="0" w:leftChars="0" w:firstLine="0" w:firstLineChars="0"/>
        <w:jc w:val="center"/>
        <w:textAlignment w:val="auto"/>
        <w:rPr>
          <w:rFonts w:hint="default" w:ascii="方正小标宋简体" w:hAnsi="方正小标宋简体" w:eastAsia="方正小标宋简体" w:cs="方正小标宋简体"/>
          <w:color w:val="000000" w:themeColor="text1"/>
          <w:spacing w:val="-6"/>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6"/>
          <w:sz w:val="44"/>
          <w:szCs w:val="44"/>
          <w:lang w:val="en-US" w:eastAsia="zh-CN"/>
          <w14:textFill>
            <w14:solidFill>
              <w14:schemeClr w14:val="tx1"/>
            </w14:solidFill>
          </w14:textFill>
        </w:rPr>
        <w:t>全县推进“标准地”改革工作领导小组成员名单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为扎实做好全县推进“标准地”改革工作，县政府决定成立县推进“标准地”改革工作领导小组，具体成员名单如下：</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contextualSpacing/>
        <w:textAlignment w:val="auto"/>
        <w:outlineLvl w:val="9"/>
        <w:rPr>
          <w:rFonts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组  长</w:t>
      </w:r>
      <w:r>
        <w:rPr>
          <w:rFonts w:hint="eastAsia" w:ascii="黑体" w:hAnsi="黑体" w:eastAsia="黑体" w:cs="黑体"/>
          <w:color w:val="000000" w:themeColor="text1"/>
          <w:kern w:val="0"/>
          <w:sz w:val="32"/>
          <w:szCs w:val="32"/>
          <w:lang w:val="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王富强  县委常委、</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副县长</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contextualSpacing/>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zh-CN" w:eastAsia="zh-CN"/>
          <w14:textFill>
            <w14:solidFill>
              <w14:schemeClr w14:val="tx1"/>
            </w14:solidFill>
          </w14:textFill>
        </w:rPr>
        <w:t>副</w:t>
      </w:r>
      <w:r>
        <w:rPr>
          <w:rFonts w:hint="eastAsia" w:ascii="黑体" w:hAnsi="黑体" w:eastAsia="黑体" w:cs="黑体"/>
          <w:color w:val="000000" w:themeColor="text1"/>
          <w:kern w:val="0"/>
          <w:sz w:val="32"/>
          <w:szCs w:val="32"/>
          <w:lang w:val="en-US" w:eastAsia="zh-CN"/>
          <w14:textFill>
            <w14:solidFill>
              <w14:schemeClr w14:val="tx1"/>
            </w14:solidFill>
          </w14:textFill>
        </w:rPr>
        <w:t>组长</w:t>
      </w:r>
      <w:r>
        <w:rPr>
          <w:rFonts w:hint="eastAsia" w:ascii="黑体" w:hAnsi="黑体" w:eastAsia="黑体" w:cs="黑体"/>
          <w:color w:val="000000" w:themeColor="text1"/>
          <w:kern w:val="0"/>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孙  伟</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县</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经开区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党工委副书记</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920" w:firstLineChars="600"/>
        <w:contextualSpacing/>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王佳伟  县政府办副主任</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920" w:firstLineChars="600"/>
        <w:contextualSpacing/>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李兴民  </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县自然资源局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局长</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contextualSpacing/>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zh-CN" w:eastAsia="zh-CN"/>
          <w14:textFill>
            <w14:solidFill>
              <w14:schemeClr w14:val="tx1"/>
            </w14:solidFill>
          </w14:textFill>
        </w:rPr>
        <w:t>成  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卫增科  </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县财政局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局长</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920" w:firstLineChars="600"/>
        <w:contextualSpacing/>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赵宝英  </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县发改局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局长</w:t>
      </w:r>
    </w:p>
    <w:p>
      <w:pPr>
        <w:pStyle w:val="2"/>
        <w:keepNext w:val="0"/>
        <w:keepLines w:val="0"/>
        <w:pageBreakBefore w:val="0"/>
        <w:widowControl w:val="0"/>
        <w:kinsoku/>
        <w:wordWrap/>
        <w:overflowPunct/>
        <w:topLinePunct w:val="0"/>
        <w:bidi w:val="0"/>
        <w:snapToGrid/>
        <w:spacing w:after="0" w:line="560" w:lineRule="exact"/>
        <w:textAlignment w:val="auto"/>
        <w:rPr>
          <w:rFonts w:hint="default"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王海宁</w:t>
      </w:r>
      <w:r>
        <w:rPr>
          <w:rFonts w:hint="eastAsia" w:ascii="仿宋_GB2312" w:hAnsi="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县商务和工业信息化局</w:t>
      </w:r>
      <w:r>
        <w:rPr>
          <w:rFonts w:hint="eastAsia" w:ascii="仿宋_GB2312" w:hAnsi="仿宋_GB2312" w:cs="仿宋_GB2312"/>
          <w:color w:val="000000" w:themeColor="text1"/>
          <w:kern w:val="0"/>
          <w:sz w:val="32"/>
          <w:szCs w:val="32"/>
          <w:lang w:val="en-US" w:eastAsia="zh-CN"/>
          <w14:textFill>
            <w14:solidFill>
              <w14:schemeClr w14:val="tx1"/>
            </w14:solidFill>
          </w14:textFill>
        </w:rPr>
        <w:t>局</w:t>
      </w:r>
      <w:bookmarkStart w:id="0" w:name="_GoBack"/>
      <w:bookmarkEnd w:id="0"/>
      <w:r>
        <w:rPr>
          <w:rFonts w:hint="eastAsia" w:ascii="仿宋_GB2312" w:hAnsi="仿宋_GB2312" w:cs="仿宋_GB2312"/>
          <w:color w:val="000000" w:themeColor="text1"/>
          <w:kern w:val="0"/>
          <w:sz w:val="32"/>
          <w:szCs w:val="32"/>
          <w:lang w:val="en-US" w:eastAsia="zh-CN"/>
          <w14:textFill>
            <w14:solidFill>
              <w14:schemeClr w14:val="tx1"/>
            </w14:solidFill>
          </w14:textFill>
        </w:rPr>
        <w:t>长</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920" w:firstLineChars="600"/>
        <w:contextualSpacing/>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李玺剑  </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县税务局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局长</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920" w:firstLineChars="600"/>
        <w:contextualSpacing/>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张建华</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生态环境局</w:t>
      </w:r>
      <w:r>
        <w:rPr>
          <w:rFonts w:hint="eastAsia" w:ascii="仿宋_GB2312" w:eastAsia="仿宋_GB2312"/>
          <w:color w:val="000000" w:themeColor="text1"/>
          <w:sz w:val="32"/>
          <w:szCs w:val="32"/>
          <w:lang w:val="en-US" w:eastAsia="zh-CN"/>
          <w14:textFill>
            <w14:solidFill>
              <w14:schemeClr w14:val="tx1"/>
            </w14:solidFill>
          </w14:textFill>
        </w:rPr>
        <w:t>局长</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contextualSpacing/>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ascii="仿宋_GB2312" w:hAnsi="仿宋_GB2312" w:eastAsia="仿宋_GB2312" w:cs="仿宋_GB2312"/>
          <w:color w:val="000000" w:themeColor="text1"/>
          <w:kern w:val="0"/>
          <w:sz w:val="32"/>
          <w:szCs w:val="32"/>
          <w:lang w:val="zh-CN"/>
          <w14:textFill>
            <w14:solidFill>
              <w14:schemeClr w14:val="tx1"/>
            </w14:solidFill>
          </w14:textFill>
        </w:rPr>
        <w:t xml:space="preserve">        薛</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kern w:val="0"/>
          <w:sz w:val="32"/>
          <w:szCs w:val="32"/>
          <w:lang w:val="zh-CN"/>
          <w14:textFill>
            <w14:solidFill>
              <w14:schemeClr w14:val="tx1"/>
            </w14:solidFill>
          </w14:textFill>
        </w:rPr>
        <w:t>毅</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县住建局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局长</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contextualSpacing/>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ascii="仿宋_GB2312" w:hAnsi="仿宋_GB2312" w:eastAsia="仿宋_GB2312" w:cs="仿宋_GB2312"/>
          <w:color w:val="000000" w:themeColor="text1"/>
          <w:kern w:val="0"/>
          <w:sz w:val="32"/>
          <w:szCs w:val="32"/>
          <w:lang w:val="zh-CN"/>
          <w14:textFill>
            <w14:solidFill>
              <w14:schemeClr w14:val="tx1"/>
            </w14:solidFill>
          </w14:textFill>
        </w:rPr>
        <w:t xml:space="preserve">        王小龙</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县行政审批局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局长</w:t>
      </w:r>
    </w:p>
    <w:p>
      <w:pPr>
        <w:pStyle w:val="2"/>
        <w:keepNext w:val="0"/>
        <w:keepLines w:val="0"/>
        <w:pageBreakBefore w:val="0"/>
        <w:widowControl w:val="0"/>
        <w:kinsoku/>
        <w:wordWrap/>
        <w:overflowPunct/>
        <w:topLinePunct w:val="0"/>
        <w:bidi w:val="0"/>
        <w:snapToGrid/>
        <w:spacing w:after="0" w:line="560" w:lineRule="exac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color w:val="000000" w:themeColor="text1"/>
          <w:sz w:val="32"/>
          <w:szCs w:val="32"/>
          <w:lang w:val="en-US" w:eastAsia="zh-CN"/>
          <w14:textFill>
            <w14:solidFill>
              <w14:schemeClr w14:val="tx1"/>
            </w14:solidFill>
          </w14:textFill>
        </w:rPr>
        <w:t xml:space="preserve">崔军强  </w:t>
      </w:r>
      <w:r>
        <w:rPr>
          <w:rFonts w:hint="eastAsia" w:ascii="仿宋_GB2312" w:eastAsia="仿宋_GB2312"/>
          <w:color w:val="000000" w:themeColor="text1"/>
          <w:sz w:val="32"/>
          <w:szCs w:val="32"/>
          <w:lang w:val="en-US" w:eastAsia="zh-CN"/>
          <w14:textFill>
            <w14:solidFill>
              <w14:schemeClr w14:val="tx1"/>
            </w14:solidFill>
          </w14:textFill>
        </w:rPr>
        <w:t>县水利局</w:t>
      </w:r>
      <w:r>
        <w:rPr>
          <w:rFonts w:hint="eastAsia" w:ascii="仿宋_GB2312"/>
          <w:color w:val="000000" w:themeColor="text1"/>
          <w:sz w:val="32"/>
          <w:szCs w:val="32"/>
          <w:lang w:val="en-US" w:eastAsia="zh-CN"/>
          <w14:textFill>
            <w14:solidFill>
              <w14:schemeClr w14:val="tx1"/>
            </w14:solidFill>
          </w14:textFill>
        </w:rPr>
        <w:t>局长</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920" w:firstLineChars="600"/>
        <w:contextualSpacing/>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于建洲</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县文旅局</w:t>
      </w:r>
      <w:r>
        <w:rPr>
          <w:rFonts w:hint="eastAsia" w:ascii="仿宋_GB2312" w:eastAsia="仿宋_GB2312"/>
          <w:color w:val="000000" w:themeColor="text1"/>
          <w:sz w:val="32"/>
          <w:szCs w:val="32"/>
          <w:lang w:val="en-US" w:eastAsia="zh-CN"/>
          <w14:textFill>
            <w14:solidFill>
              <w14:schemeClr w14:val="tx1"/>
            </w14:solidFill>
          </w14:textFill>
        </w:rPr>
        <w:t>局长</w:t>
      </w:r>
    </w:p>
    <w:p>
      <w:pPr>
        <w:pStyle w:val="2"/>
        <w:keepNext w:val="0"/>
        <w:keepLines w:val="0"/>
        <w:pageBreakBefore w:val="0"/>
        <w:widowControl w:val="0"/>
        <w:kinsoku/>
        <w:wordWrap/>
        <w:overflowPunct/>
        <w:topLinePunct w:val="0"/>
        <w:bidi w:val="0"/>
        <w:snapToGrid/>
        <w:spacing w:after="0" w:line="560" w:lineRule="exact"/>
        <w:ind w:firstLine="1920" w:firstLineChars="600"/>
        <w:textAlignment w:val="auto"/>
        <w:rPr>
          <w:rFonts w:hint="eastAsia" w:ascii="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王景龙</w:t>
      </w:r>
      <w:r>
        <w:rPr>
          <w:rFonts w:hint="eastAsia" w:ascii="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县招商局</w:t>
      </w:r>
      <w:r>
        <w:rPr>
          <w:rFonts w:hint="eastAsia" w:ascii="仿宋_GB2312"/>
          <w:color w:val="000000" w:themeColor="text1"/>
          <w:sz w:val="32"/>
          <w:szCs w:val="32"/>
          <w:lang w:val="en-US" w:eastAsia="zh-CN"/>
          <w14:textFill>
            <w14:solidFill>
              <w14:schemeClr w14:val="tx1"/>
            </w14:solidFill>
          </w14:textFill>
        </w:rPr>
        <w:t>局长</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920" w:firstLineChars="600"/>
        <w:contextualSpacing/>
        <w:textAlignment w:val="auto"/>
        <w:outlineLvl w:val="9"/>
        <w:rPr>
          <w:rFonts w:hint="default" w:ascii="仿宋_GB2312" w:eastAsia="仿宋_GB2312"/>
          <w:color w:val="000000" w:themeColor="text1"/>
          <w:spacing w:val="-20"/>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黄暄宇  </w:t>
      </w:r>
      <w:r>
        <w:rPr>
          <w:rFonts w:hint="eastAsia" w:ascii="仿宋_GB2312" w:eastAsia="仿宋_GB2312"/>
          <w:color w:val="000000" w:themeColor="text1"/>
          <w:spacing w:val="-11"/>
          <w:sz w:val="32"/>
          <w:szCs w:val="32"/>
          <w:lang w:val="en-US" w:eastAsia="zh-CN"/>
          <w14:textFill>
            <w14:solidFill>
              <w14:schemeClr w14:val="tx1"/>
            </w14:solidFill>
          </w14:textFill>
        </w:rPr>
        <w:t>县自然资源局党组成员、不动产登记局局长</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920" w:firstLineChars="600"/>
        <w:contextualSpacing/>
        <w:textAlignment w:val="auto"/>
        <w:outlineLvl w:val="9"/>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张  林  首善街办主任</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920" w:firstLineChars="600"/>
        <w:contextualSpacing/>
        <w:textAlignment w:val="auto"/>
        <w:outlineLvl w:val="9"/>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李小博  常兴镇镇长</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920" w:firstLineChars="600"/>
        <w:contextualSpacing/>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汪少华  </w:t>
      </w:r>
      <w:r>
        <w:rPr>
          <w:rFonts w:hint="eastAsia" w:ascii="仿宋_GB2312" w:eastAsia="仿宋_GB2312"/>
          <w:color w:val="000000" w:themeColor="text1"/>
          <w:sz w:val="32"/>
          <w:szCs w:val="32"/>
          <w:lang w:val="zh-CN" w:eastAsia="zh-CN"/>
          <w14:textFill>
            <w14:solidFill>
              <w14:schemeClr w14:val="tx1"/>
            </w14:solidFill>
          </w14:textFill>
        </w:rPr>
        <w:t>县经开区管委会</w:t>
      </w:r>
      <w:r>
        <w:rPr>
          <w:rFonts w:hint="eastAsia" w:ascii="仿宋_GB2312" w:eastAsia="仿宋_GB2312"/>
          <w:color w:val="000000" w:themeColor="text1"/>
          <w:sz w:val="32"/>
          <w:szCs w:val="32"/>
          <w:lang w:val="en-US" w:eastAsia="zh-CN"/>
          <w14:textFill>
            <w14:solidFill>
              <w14:schemeClr w14:val="tx1"/>
            </w14:solidFill>
          </w14:textFill>
        </w:rPr>
        <w:t>副主任</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领导小组</w:t>
      </w:r>
      <w:r>
        <w:rPr>
          <w:rFonts w:hint="eastAsia" w:ascii="仿宋_GB2312" w:hAnsi="仿宋_GB2312" w:cs="仿宋_GB2312"/>
          <w:color w:val="000000" w:themeColor="text1"/>
          <w:spacing w:val="0"/>
          <w:sz w:val="32"/>
          <w:szCs w:val="32"/>
          <w:lang w:val="en-US" w:eastAsia="zh-CN"/>
          <w14:textFill>
            <w14:solidFill>
              <w14:schemeClr w14:val="tx1"/>
            </w14:solidFill>
          </w14:textFill>
        </w:rPr>
        <w:t>重点研究“标准地”改革的重大问题，统筹指导和协调推进相关工作。领导小组</w:t>
      </w:r>
      <w:r>
        <w:rPr>
          <w:rFonts w:hint="eastAsia" w:ascii="仿宋_GB2312" w:hAnsi="仿宋_GB2312" w:eastAsia="仿宋_GB2312" w:cs="仿宋_GB2312"/>
          <w:color w:val="000000" w:themeColor="text1"/>
          <w:spacing w:val="0"/>
          <w:sz w:val="32"/>
          <w:szCs w:val="32"/>
          <w14:textFill>
            <w14:solidFill>
              <w14:schemeClr w14:val="tx1"/>
            </w14:solidFill>
          </w14:textFill>
        </w:rPr>
        <w:t>办公室</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设在县</w:t>
      </w:r>
      <w:r>
        <w:rPr>
          <w:rFonts w:hint="eastAsia" w:ascii="仿宋_GB2312" w:hAnsi="仿宋_GB2312" w:cs="仿宋_GB2312"/>
          <w:color w:val="000000" w:themeColor="text1"/>
          <w:spacing w:val="0"/>
          <w:sz w:val="32"/>
          <w:szCs w:val="32"/>
          <w:lang w:val="en-US" w:eastAsia="zh-CN"/>
          <w14:textFill>
            <w14:solidFill>
              <w14:schemeClr w14:val="tx1"/>
            </w14:solidFill>
          </w14:textFill>
        </w:rPr>
        <w:t>自然资源局</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县</w:t>
      </w:r>
      <w:r>
        <w:rPr>
          <w:rFonts w:hint="eastAsia" w:ascii="仿宋_GB2312" w:hAnsi="仿宋_GB2312" w:cs="仿宋_GB2312"/>
          <w:color w:val="000000" w:themeColor="text1"/>
          <w:spacing w:val="0"/>
          <w:sz w:val="32"/>
          <w:szCs w:val="32"/>
          <w:lang w:val="en-US" w:eastAsia="zh-CN"/>
          <w14:textFill>
            <w14:solidFill>
              <w14:schemeClr w14:val="tx1"/>
            </w14:solidFill>
          </w14:textFill>
        </w:rPr>
        <w:t>自然资源局局长李兴民兼任</w:t>
      </w:r>
      <w:r>
        <w:rPr>
          <w:rFonts w:hint="eastAsia" w:ascii="仿宋_GB2312" w:hAnsi="仿宋_GB2312" w:eastAsia="仿宋_GB2312" w:cs="仿宋_GB2312"/>
          <w:color w:val="000000" w:themeColor="text1"/>
          <w:spacing w:val="0"/>
          <w:sz w:val="32"/>
          <w:szCs w:val="32"/>
          <w14:textFill>
            <w14:solidFill>
              <w14:schemeClr w14:val="tx1"/>
            </w14:solidFill>
          </w14:textFill>
        </w:rPr>
        <w:t>办公室主任</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cs="仿宋_GB2312"/>
          <w:color w:val="000000" w:themeColor="text1"/>
          <w:spacing w:val="0"/>
          <w:sz w:val="32"/>
          <w:szCs w:val="32"/>
          <w:lang w:val="en-US" w:eastAsia="zh-CN"/>
          <w14:textFill>
            <w14:solidFill>
              <w14:schemeClr w14:val="tx1"/>
            </w14:solidFill>
          </w14:textFill>
        </w:rPr>
        <w:t>县经开区管委会副主任汪少华、自然资源局党组成员、不动产登记局长黄暄宇兼任</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办公室副主任，负责“标准地”改革工作日常事务</w:t>
      </w:r>
      <w:r>
        <w:rPr>
          <w:rFonts w:hint="eastAsia" w:ascii="仿宋_GB2312" w:hAnsi="仿宋_GB2312" w:cs="仿宋_GB2312"/>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sectPr>
          <w:footerReference r:id="rId3" w:type="default"/>
          <w:pgSz w:w="11906" w:h="16838"/>
          <w:pgMar w:top="1417" w:right="1417" w:bottom="1417" w:left="1701" w:header="850"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眉县经开区“标准地”出让工作流程暨实施计划表</w:t>
      </w:r>
    </w:p>
    <w:p>
      <w:pPr>
        <w:pStyle w:val="3"/>
        <w:rPr>
          <w:rFonts w:hint="eastAsia"/>
          <w:lang w:val="en-US" w:eastAsia="zh-CN"/>
        </w:rPr>
      </w:pPr>
    </w:p>
    <w:tbl>
      <w:tblPr>
        <w:tblStyle w:val="8"/>
        <w:tblW w:w="13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0"/>
        <w:gridCol w:w="1"/>
        <w:gridCol w:w="358"/>
        <w:gridCol w:w="293"/>
        <w:gridCol w:w="1700"/>
        <w:gridCol w:w="722"/>
        <w:gridCol w:w="136"/>
        <w:gridCol w:w="389"/>
        <w:gridCol w:w="1238"/>
        <w:gridCol w:w="600"/>
        <w:gridCol w:w="519"/>
        <w:gridCol w:w="2249"/>
        <w:gridCol w:w="109"/>
        <w:gridCol w:w="614"/>
        <w:gridCol w:w="240"/>
        <w:gridCol w:w="194"/>
        <w:gridCol w:w="42"/>
        <w:gridCol w:w="240"/>
        <w:gridCol w:w="113"/>
        <w:gridCol w:w="212"/>
        <w:gridCol w:w="418"/>
        <w:gridCol w:w="791"/>
        <w:gridCol w:w="42"/>
        <w:gridCol w:w="90"/>
        <w:gridCol w:w="645"/>
        <w:gridCol w:w="62"/>
        <w:gridCol w:w="42"/>
        <w:gridCol w:w="136"/>
        <w:gridCol w:w="86"/>
        <w:gridCol w:w="581"/>
        <w:gridCol w:w="5"/>
        <w:gridCol w:w="244"/>
        <w:gridCol w:w="255"/>
        <w:gridCol w:w="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241" w:type="dxa"/>
          <w:trHeight w:val="159" w:hRule="exact"/>
          <w:jc w:val="center"/>
        </w:trPr>
        <w:tc>
          <w:tcPr>
            <w:tcW w:w="358" w:type="dxa"/>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1993" w:type="dxa"/>
            <w:gridSpan w:val="2"/>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722" w:type="dxa"/>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525" w:type="dxa"/>
            <w:gridSpan w:val="2"/>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532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一、标准地出让前准备</w:t>
            </w:r>
          </w:p>
        </w:tc>
        <w:tc>
          <w:tcPr>
            <w:tcW w:w="240" w:type="dxa"/>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236" w:type="dxa"/>
            <w:gridSpan w:val="2"/>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240" w:type="dxa"/>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1576" w:type="dxa"/>
            <w:gridSpan w:val="5"/>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839" w:type="dxa"/>
            <w:gridSpan w:val="4"/>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222" w:type="dxa"/>
            <w:gridSpan w:val="2"/>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1096" w:type="dxa"/>
            <w:gridSpan w:val="5"/>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241" w:type="dxa"/>
          <w:trHeight w:val="159" w:hRule="exact"/>
          <w:jc w:val="center"/>
        </w:trPr>
        <w:tc>
          <w:tcPr>
            <w:tcW w:w="358" w:type="dxa"/>
            <w:tcBorders>
              <w:top w:val="single" w:color="000000" w:sz="4" w:space="0"/>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993" w:type="dxa"/>
            <w:gridSpan w:val="2"/>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722"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25" w:type="dxa"/>
            <w:gridSpan w:val="2"/>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32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0"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36" w:type="dxa"/>
            <w:gridSpan w:val="2"/>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40" w:type="dxa"/>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576" w:type="dxa"/>
            <w:gridSpan w:val="5"/>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839" w:type="dxa"/>
            <w:gridSpan w:val="4"/>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2" w:type="dxa"/>
            <w:gridSpan w:val="2"/>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96" w:type="dxa"/>
            <w:gridSpan w:val="5"/>
            <w:tcBorders>
              <w:top w:val="single" w:color="000000" w:sz="4" w:space="0"/>
              <w:left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241" w:type="dxa"/>
          <w:trHeight w:val="283" w:hRule="exact"/>
          <w:jc w:val="center"/>
        </w:trPr>
        <w:tc>
          <w:tcPr>
            <w:tcW w:w="358"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993"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7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25"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471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w:t>
            </w:r>
            <w:r>
              <w:rPr>
                <w:rFonts w:hint="eastAsia" w:ascii="仿宋" w:hAnsi="仿宋" w:eastAsia="仿宋" w:cs="仿宋"/>
                <w:b/>
                <w:bCs/>
                <w:i w:val="0"/>
                <w:iCs w:val="0"/>
                <w:color w:val="000000"/>
                <w:kern w:val="0"/>
                <w:sz w:val="20"/>
                <w:szCs w:val="20"/>
                <w:u w:val="none"/>
                <w:lang w:val="en-US" w:eastAsia="zh-CN" w:bidi="ar"/>
              </w:rPr>
              <w:t xml:space="preserve">      </w:t>
            </w:r>
          </w:p>
        </w:tc>
        <w:tc>
          <w:tcPr>
            <w:tcW w:w="61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36"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576" w:type="dxa"/>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839"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2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96" w:type="dxa"/>
            <w:gridSpan w:val="5"/>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241" w:type="dxa"/>
          <w:trHeight w:val="170" w:hRule="exact"/>
          <w:jc w:val="center"/>
        </w:trPr>
        <w:tc>
          <w:tcPr>
            <w:tcW w:w="358"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993"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2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25" w:type="dxa"/>
            <w:gridSpan w:val="2"/>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357"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358"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14" w:type="dxa"/>
            <w:tcBorders>
              <w:top w:val="single" w:color="000000" w:sz="4" w:space="0"/>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36" w:type="dxa"/>
            <w:gridSpan w:val="2"/>
            <w:tcBorders>
              <w:top w:val="single" w:color="000000" w:sz="4" w:space="0"/>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576" w:type="dxa"/>
            <w:gridSpan w:val="5"/>
            <w:tcBorders>
              <w:top w:val="single" w:color="000000" w:sz="4" w:space="0"/>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39"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2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96" w:type="dxa"/>
            <w:gridSpan w:val="5"/>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241" w:type="dxa"/>
          <w:trHeight w:val="403" w:hRule="atLeast"/>
          <w:jc w:val="center"/>
        </w:trPr>
        <w:tc>
          <w:tcPr>
            <w:tcW w:w="358"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7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地块前期开发：</w:t>
            </w:r>
            <w:r>
              <w:rPr>
                <w:rStyle w:val="15"/>
                <w:lang w:val="en-US" w:eastAsia="zh-CN" w:bidi="ar"/>
              </w:rPr>
              <w:t>1.9月底前领导小组联席会通过实施方案，确定试点地块。2.10月底前由经开区管委会负责做好通水、通电、通路、场地平整等工作。</w:t>
            </w:r>
          </w:p>
        </w:tc>
        <w:tc>
          <w:tcPr>
            <w:tcW w:w="525" w:type="dxa"/>
            <w:gridSpan w:val="2"/>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5329" w:type="dxa"/>
            <w:gridSpan w:val="6"/>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区域评估（9月底）</w:t>
            </w:r>
            <w:r>
              <w:rPr>
                <w:rStyle w:val="15"/>
                <w:lang w:val="en-US" w:eastAsia="zh-CN" w:bidi="ar"/>
              </w:rPr>
              <w:t>：1.自然资源局完成目标地块矿产压覆评估、地质灾害危害性评估、启动土地报批征收工作；2.发改局完成目标地块区域环境影响评价报告；3.生态环境局完成目标地块区域节能评价；4.住建局完成区域地震安全评价；5.水利局完成区域防洪影响评价和水土保持方案编制；6.文旅局完成文物评价。</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3699"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制定控制性指标（9月底）：</w:t>
            </w:r>
            <w:r>
              <w:rPr>
                <w:rStyle w:val="15"/>
                <w:lang w:val="en-US" w:eastAsia="zh-CN" w:bidi="ar"/>
              </w:rPr>
              <w:t>1.经开区管委会制定目标地块投资强度、亩均税收标准；2.自然资源局制定用地定额标准、建筑容积率指标；3.发改局制定能耗控制标准。</w:t>
            </w:r>
          </w:p>
        </w:tc>
        <w:tc>
          <w:tcPr>
            <w:tcW w:w="510" w:type="dxa"/>
            <w:gridSpan w:val="3"/>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241" w:type="dxa"/>
          <w:trHeight w:val="400" w:hRule="atLeast"/>
          <w:jc w:val="center"/>
        </w:trPr>
        <w:tc>
          <w:tcPr>
            <w:tcW w:w="358"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7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525" w:type="dxa"/>
            <w:gridSpan w:val="2"/>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5329" w:type="dxa"/>
            <w:gridSpan w:val="6"/>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3699"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510" w:type="dxa"/>
            <w:gridSpan w:val="3"/>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241" w:type="dxa"/>
          <w:trHeight w:val="400" w:hRule="atLeast"/>
          <w:jc w:val="center"/>
        </w:trPr>
        <w:tc>
          <w:tcPr>
            <w:tcW w:w="358"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7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525" w:type="dxa"/>
            <w:gridSpan w:val="2"/>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5329" w:type="dxa"/>
            <w:gridSpan w:val="6"/>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3699"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510" w:type="dxa"/>
            <w:gridSpan w:val="3"/>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241" w:type="dxa"/>
          <w:trHeight w:val="280" w:hRule="atLeast"/>
          <w:jc w:val="center"/>
        </w:trPr>
        <w:tc>
          <w:tcPr>
            <w:tcW w:w="358"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7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525" w:type="dxa"/>
            <w:gridSpan w:val="2"/>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5329" w:type="dxa"/>
            <w:gridSpan w:val="6"/>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3699"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510" w:type="dxa"/>
            <w:gridSpan w:val="3"/>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241" w:type="dxa"/>
          <w:trHeight w:val="283" w:hRule="exact"/>
          <w:jc w:val="center"/>
        </w:trPr>
        <w:tc>
          <w:tcPr>
            <w:tcW w:w="358"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993"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7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25"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4715"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614" w:type="dxa"/>
            <w:tcBorders>
              <w:top w:val="single" w:color="000000" w:sz="4" w:space="0"/>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36"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576" w:type="dxa"/>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839"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2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96" w:type="dxa"/>
            <w:gridSpan w:val="5"/>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241" w:type="dxa"/>
          <w:trHeight w:val="560" w:hRule="atLeast"/>
          <w:jc w:val="center"/>
        </w:trPr>
        <w:tc>
          <w:tcPr>
            <w:tcW w:w="358"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2508" w:type="dxa"/>
            <w:gridSpan w:val="2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经开区管委会根据标准地目标地块确定供地项目、投资企业、建设规模及内容，协助投资企业完成项目备案、稳评、环评；提出规划选址、土地预审、报地资料，筹备土地出让金；编制项目设计和投资预算。2.自然资源局完成规划选址、土地预审批复、按时限办理完成规划许可证，10月底前完成目标地块报批手续，达到供地条件。</w:t>
            </w:r>
          </w:p>
        </w:tc>
        <w:tc>
          <w:tcPr>
            <w:tcW w:w="510" w:type="dxa"/>
            <w:gridSpan w:val="3"/>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241" w:type="dxa"/>
          <w:trHeight w:val="280" w:hRule="atLeast"/>
          <w:jc w:val="center"/>
        </w:trPr>
        <w:tc>
          <w:tcPr>
            <w:tcW w:w="358"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2508" w:type="dxa"/>
            <w:gridSpan w:val="2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10" w:type="dxa"/>
            <w:gridSpan w:val="3"/>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241" w:type="dxa"/>
          <w:trHeight w:val="300" w:hRule="atLeast"/>
          <w:jc w:val="center"/>
        </w:trPr>
        <w:tc>
          <w:tcPr>
            <w:tcW w:w="358"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993"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7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25"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4715"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614" w:type="dxa"/>
            <w:tcBorders>
              <w:top w:val="single" w:color="000000" w:sz="4" w:space="0"/>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36"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576" w:type="dxa"/>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839"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2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96" w:type="dxa"/>
            <w:gridSpan w:val="5"/>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241" w:type="dxa"/>
          <w:trHeight w:val="320" w:hRule="atLeast"/>
          <w:jc w:val="center"/>
        </w:trPr>
        <w:tc>
          <w:tcPr>
            <w:tcW w:w="358"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993"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7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25"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3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二、按标出让                              </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36"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576" w:type="dxa"/>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839"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2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96" w:type="dxa"/>
            <w:gridSpan w:val="5"/>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241" w:type="dxa"/>
          <w:trHeight w:val="277" w:hRule="atLeast"/>
          <w:jc w:val="center"/>
        </w:trPr>
        <w:tc>
          <w:tcPr>
            <w:tcW w:w="358"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993"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7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25"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4715"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614" w:type="dxa"/>
            <w:tcBorders>
              <w:top w:val="single" w:color="000000" w:sz="4" w:space="0"/>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36"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576" w:type="dxa"/>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839"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2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96" w:type="dxa"/>
            <w:gridSpan w:val="5"/>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241" w:type="dxa"/>
          <w:trHeight w:val="620" w:hRule="atLeast"/>
          <w:jc w:val="center"/>
        </w:trPr>
        <w:tc>
          <w:tcPr>
            <w:tcW w:w="358"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993"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70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11月底前自然资源局按照国有建设用地使用权公开出让程序向企业出让“标准地”目标土地，并进行成交结果公示。</w:t>
            </w:r>
          </w:p>
        </w:tc>
        <w:tc>
          <w:tcPr>
            <w:tcW w:w="607"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20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839"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850" w:type="dxa"/>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10" w:type="dxa"/>
            <w:gridSpan w:val="3"/>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241" w:type="dxa"/>
          <w:trHeight w:val="300" w:hRule="atLeast"/>
          <w:jc w:val="center"/>
        </w:trPr>
        <w:tc>
          <w:tcPr>
            <w:tcW w:w="358"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993"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7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25"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4715"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614" w:type="dxa"/>
            <w:tcBorders>
              <w:top w:val="single" w:color="000000" w:sz="4" w:space="0"/>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36"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576" w:type="dxa"/>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839"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2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96" w:type="dxa"/>
            <w:gridSpan w:val="5"/>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241" w:type="dxa"/>
          <w:trHeight w:val="170" w:hRule="exact"/>
          <w:jc w:val="center"/>
        </w:trPr>
        <w:tc>
          <w:tcPr>
            <w:tcW w:w="358"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993"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722" w:type="dxa"/>
            <w:tcBorders>
              <w:top w:val="single" w:color="000000" w:sz="4" w:space="0"/>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25" w:type="dxa"/>
            <w:gridSpan w:val="2"/>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4715" w:type="dxa"/>
            <w:gridSpan w:val="5"/>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1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36" w:type="dxa"/>
            <w:gridSpan w:val="2"/>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576" w:type="dxa"/>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839"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2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96" w:type="dxa"/>
            <w:gridSpan w:val="5"/>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241" w:type="dxa"/>
          <w:trHeight w:val="285" w:hRule="atLeast"/>
          <w:jc w:val="center"/>
        </w:trPr>
        <w:tc>
          <w:tcPr>
            <w:tcW w:w="358" w:type="dxa"/>
            <w:tcBorders>
              <w:top w:val="nil"/>
              <w:left w:val="single" w:color="000000" w:sz="4" w:space="0"/>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7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企业缴纳土地出让金后，与自然资源局签订土地出让合同和履约承诺书。</w:t>
            </w:r>
          </w:p>
        </w:tc>
        <w:tc>
          <w:tcPr>
            <w:tcW w:w="525" w:type="dxa"/>
            <w:gridSpan w:val="2"/>
            <w:tcBorders>
              <w:top w:val="nil"/>
              <w:left w:val="nil"/>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71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与发改局签订“标准地”履约承诺书。</w:t>
            </w:r>
          </w:p>
        </w:tc>
        <w:tc>
          <w:tcPr>
            <w:tcW w:w="614"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3939" w:type="dxa"/>
            <w:gridSpan w:val="1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拿地企业与经开区管委会签订履约监管协议和履约承诺书。</w:t>
            </w:r>
          </w:p>
        </w:tc>
        <w:tc>
          <w:tcPr>
            <w:tcW w:w="510" w:type="dxa"/>
            <w:gridSpan w:val="3"/>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241" w:type="dxa"/>
          <w:trHeight w:val="480" w:hRule="atLeast"/>
          <w:jc w:val="center"/>
        </w:trPr>
        <w:tc>
          <w:tcPr>
            <w:tcW w:w="358" w:type="dxa"/>
            <w:tcBorders>
              <w:top w:val="nil"/>
              <w:left w:val="single" w:color="000000" w:sz="4" w:space="0"/>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7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5" w:type="dxa"/>
            <w:gridSpan w:val="2"/>
            <w:tcBorders>
              <w:top w:val="nil"/>
              <w:left w:val="nil"/>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71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14"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939"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10" w:type="dxa"/>
            <w:gridSpan w:val="3"/>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204" w:hRule="exac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558" w:type="dxa"/>
            <w:gridSpan w:val="3"/>
            <w:tcBorders>
              <w:top w:val="nil"/>
              <w:left w:val="single" w:color="auto" w:sz="4" w:space="0"/>
              <w:bottom w:val="single" w:color="auto"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627" w:type="dxa"/>
            <w:gridSpan w:val="2"/>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00" w:type="dxa"/>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768"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552" w:type="dxa"/>
            <w:gridSpan w:val="7"/>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30" w:type="dxa"/>
            <w:gridSpan w:val="2"/>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23" w:type="dxa"/>
            <w:gridSpan w:val="3"/>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4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6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4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57" w:hRule="exac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8" w:type="dxa"/>
            <w:gridSpan w:val="3"/>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62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768" w:type="dxa"/>
            <w:gridSpan w:val="2"/>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tc>
        <w:tc>
          <w:tcPr>
            <w:tcW w:w="1552" w:type="dxa"/>
            <w:gridSpan w:val="7"/>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3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2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4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6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4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283" w:hRule="exac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62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768"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 xml:space="preserve"> ↓</w:t>
            </w:r>
          </w:p>
        </w:tc>
        <w:tc>
          <w:tcPr>
            <w:tcW w:w="1552" w:type="dxa"/>
            <w:gridSpan w:val="7"/>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3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2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4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6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4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330" w:hRule="atLeas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45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办理国有建设用地使用权首次登记（注明属于工业项目“标准地”性质）（责任单位：自然资源局）</w:t>
            </w: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283" w:hRule="exac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2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768"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1552" w:type="dxa"/>
            <w:gridSpan w:val="7"/>
            <w:tcBorders>
              <w:top w:val="single" w:color="000000" w:sz="4" w:space="0"/>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3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2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6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454" w:hRule="exact"/>
          <w:jc w:val="center"/>
        </w:trPr>
        <w:tc>
          <w:tcPr>
            <w:tcW w:w="89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为企业提供代办服务</w:t>
            </w:r>
          </w:p>
        </w:tc>
        <w:tc>
          <w:tcPr>
            <w:tcW w:w="255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2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三、审批服务</w:t>
            </w:r>
          </w:p>
        </w:tc>
        <w:tc>
          <w:tcPr>
            <w:tcW w:w="63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2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6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454" w:hRule="exact"/>
          <w:jc w:val="center"/>
        </w:trPr>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55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2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768"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1552" w:type="dxa"/>
            <w:gridSpan w:val="7"/>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2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6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198" w:hRule="exact"/>
          <w:jc w:val="center"/>
        </w:trPr>
        <w:tc>
          <w:tcPr>
            <w:tcW w:w="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418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进驻企业无偿使用区域评估成果和前期准备。</w:t>
            </w:r>
          </w:p>
        </w:tc>
        <w:tc>
          <w:tcPr>
            <w:tcW w:w="600" w:type="dxa"/>
            <w:tcBorders>
              <w:top w:val="nil"/>
              <w:left w:val="single" w:color="000000" w:sz="4" w:space="0"/>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320"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企业自愿选择承诺制</w:t>
            </w:r>
          </w:p>
        </w:tc>
        <w:tc>
          <w:tcPr>
            <w:tcW w:w="630" w:type="dxa"/>
            <w:gridSpan w:val="2"/>
            <w:vMerge w:val="restar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single"/>
              </w:rPr>
            </w:pPr>
            <w:r>
              <w:rPr>
                <w:rFonts w:hint="eastAsia" w:ascii="宋体" w:hAnsi="宋体" w:eastAsia="宋体" w:cs="宋体"/>
                <w:i w:val="0"/>
                <w:iCs w:val="0"/>
                <w:color w:val="000000"/>
                <w:kern w:val="0"/>
                <w:sz w:val="20"/>
                <w:szCs w:val="20"/>
                <w:u w:val="single"/>
                <w:lang w:val="en-US" w:eastAsia="zh-CN" w:bidi="ar"/>
              </w:rPr>
              <w:t xml:space="preserve">  是</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single"/>
                <w:lang w:val="en-US" w:eastAsia="zh-CN" w:bidi="ar"/>
              </w:rPr>
              <w:t xml:space="preserve">             </w:t>
            </w:r>
          </w:p>
        </w:tc>
        <w:tc>
          <w:tcPr>
            <w:tcW w:w="272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实行承诺制</w:t>
            </w: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198" w:hRule="exac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18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32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gridSpan w:val="2"/>
            <w:vMerge w:val="continue"/>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single"/>
              </w:rPr>
            </w:pPr>
          </w:p>
        </w:tc>
        <w:tc>
          <w:tcPr>
            <w:tcW w:w="272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325" w:hRule="atLeas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2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768"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否</w:t>
            </w:r>
            <w:r>
              <w:rPr>
                <w:rFonts w:hint="eastAsia" w:ascii="宋体" w:hAnsi="宋体" w:eastAsia="宋体" w:cs="宋体"/>
                <w:b/>
                <w:bCs/>
                <w:i w:val="0"/>
                <w:iCs w:val="0"/>
                <w:color w:val="000000"/>
                <w:kern w:val="0"/>
                <w:sz w:val="20"/>
                <w:szCs w:val="20"/>
                <w:u w:val="none"/>
                <w:lang w:val="en-US" w:eastAsia="zh-CN" w:bidi="ar"/>
              </w:rPr>
              <w:t>↓</w:t>
            </w:r>
          </w:p>
        </w:tc>
        <w:tc>
          <w:tcPr>
            <w:tcW w:w="1552" w:type="dxa"/>
            <w:gridSpan w:val="7"/>
            <w:tcBorders>
              <w:top w:val="single" w:color="000000" w:sz="4" w:space="0"/>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3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2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45"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6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320" w:hRule="atLeas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2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550" w:type="dxa"/>
            <w:gridSpan w:val="1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按照一般企业投资项目开工前审批时限开展事项审批。</w:t>
            </w:r>
          </w:p>
        </w:tc>
        <w:tc>
          <w:tcPr>
            <w:tcW w:w="923" w:type="dxa"/>
            <w:gridSpan w:val="3"/>
            <w:tcBorders>
              <w:top w:val="nil"/>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gridSpan w:val="3"/>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310" w:hRule="atLeas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2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768"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1552" w:type="dxa"/>
            <w:gridSpan w:val="7"/>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3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2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6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315" w:hRule="atLeas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8"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1627" w:type="dxa"/>
            <w:gridSpan w:val="2"/>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600"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四、按标施建。</w:t>
            </w:r>
          </w:p>
        </w:tc>
        <w:tc>
          <w:tcPr>
            <w:tcW w:w="630" w:type="dxa"/>
            <w:gridSpan w:val="2"/>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923" w:type="dxa"/>
            <w:gridSpan w:val="3"/>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240" w:type="dxa"/>
            <w:gridSpan w:val="3"/>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667" w:type="dxa"/>
            <w:gridSpan w:val="2"/>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249" w:type="dxa"/>
            <w:gridSpan w:val="2"/>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247" w:hRule="atLeas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8" w:type="dxa"/>
            <w:gridSpan w:val="3"/>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1627" w:type="dxa"/>
            <w:gridSpan w:val="2"/>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600"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2768"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1552" w:type="dxa"/>
            <w:gridSpan w:val="7"/>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630" w:type="dxa"/>
            <w:gridSpan w:val="2"/>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923" w:type="dxa"/>
            <w:gridSpan w:val="3"/>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240" w:type="dxa"/>
            <w:gridSpan w:val="3"/>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667" w:type="dxa"/>
            <w:gridSpan w:val="2"/>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249" w:type="dxa"/>
            <w:gridSpan w:val="2"/>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283" w:hRule="exac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5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加强事中指导，确保项目按照相关规定和既定既定计划实施。（责任单位：自然资源、环保、住建、行政审批、园区）</w:t>
            </w: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275" w:hRule="atLeas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2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768" w:type="dxa"/>
            <w:gridSpan w:val="2"/>
            <w:tcBorders>
              <w:top w:val="nil"/>
              <w:left w:val="nil"/>
              <w:bottom w:val="nil"/>
              <w:right w:val="nil"/>
            </w:tcBorders>
            <w:shd w:val="clear" w:color="auto" w:fill="auto"/>
            <w:noWrap/>
            <w:vAlign w:val="center"/>
          </w:tcPr>
          <w:p>
            <w:pPr>
              <w:keepNext w:val="0"/>
              <w:keepLines w:val="0"/>
              <w:widowControl/>
              <w:suppressLineNumbers w:val="0"/>
              <w:ind w:firstLine="2008" w:firstLineChars="100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1552" w:type="dxa"/>
            <w:gridSpan w:val="7"/>
            <w:tcBorders>
              <w:top w:val="single" w:color="000000" w:sz="4" w:space="0"/>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3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2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6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292" w:hRule="atLeas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27" w:type="dxa"/>
            <w:gridSpan w:val="2"/>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00"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五、对标验收</w:t>
            </w:r>
          </w:p>
        </w:tc>
        <w:tc>
          <w:tcPr>
            <w:tcW w:w="63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2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6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260" w:hRule="atLeas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2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768"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w:t>
            </w:r>
          </w:p>
        </w:tc>
        <w:tc>
          <w:tcPr>
            <w:tcW w:w="1552" w:type="dxa"/>
            <w:gridSpan w:val="7"/>
            <w:tcBorders>
              <w:top w:val="single" w:color="000000" w:sz="4" w:space="0"/>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3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2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6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320" w:hRule="atLeas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27"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项目竣工后，提出竣工验收申请</w:t>
            </w:r>
          </w:p>
        </w:tc>
        <w:tc>
          <w:tcPr>
            <w:tcW w:w="63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2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gridSpan w:val="3"/>
            <w:tcBorders>
              <w:top w:val="single" w:color="000000" w:sz="4" w:space="0"/>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67" w:type="dxa"/>
            <w:gridSpan w:val="2"/>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9" w:type="dxa"/>
            <w:gridSpan w:val="2"/>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285" w:hRule="atLeas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2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768"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w:t>
            </w:r>
          </w:p>
        </w:tc>
        <w:tc>
          <w:tcPr>
            <w:tcW w:w="1552" w:type="dxa"/>
            <w:gridSpan w:val="7"/>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3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2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45" w:type="dxa"/>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gridSpan w:val="3"/>
            <w:tcBorders>
              <w:top w:val="nil"/>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6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283" w:hRule="exac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553"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联合竣工验收，并出具竣工验收意见（责任单位：自然资源、工信、发改、生态环境、行政审批、住建、园区管委会）</w:t>
            </w:r>
          </w:p>
        </w:tc>
        <w:tc>
          <w:tcPr>
            <w:tcW w:w="2182" w:type="dxa"/>
            <w:gridSpan w:val="9"/>
            <w:vMerge w:val="restar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single"/>
              </w:rPr>
            </w:pPr>
            <w:r>
              <w:rPr>
                <w:rFonts w:hint="eastAsia" w:ascii="宋体" w:hAnsi="宋体" w:eastAsia="宋体" w:cs="宋体"/>
                <w:i w:val="0"/>
                <w:iCs w:val="0"/>
                <w:color w:val="000000"/>
                <w:kern w:val="0"/>
                <w:sz w:val="20"/>
                <w:szCs w:val="20"/>
                <w:u w:val="single"/>
                <w:lang w:val="en-US" w:eastAsia="zh-CN" w:bidi="ar"/>
              </w:rPr>
              <w:t xml:space="preserve">      不  合  格     </w:t>
            </w:r>
          </w:p>
        </w:tc>
        <w:tc>
          <w:tcPr>
            <w:tcW w:w="1808"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限期整改（不超过6月）后复验</w:t>
            </w:r>
          </w:p>
        </w:tc>
        <w:tc>
          <w:tcPr>
            <w:tcW w:w="667"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24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232" w:hRule="atLeas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55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82" w:type="dxa"/>
            <w:gridSpan w:val="9"/>
            <w:vMerge w:val="continue"/>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single"/>
              </w:rPr>
            </w:pPr>
          </w:p>
        </w:tc>
        <w:tc>
          <w:tcPr>
            <w:tcW w:w="18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 w:type="dxa"/>
            <w:gridSpan w:val="2"/>
            <w:tcBorders>
              <w:top w:val="single" w:color="000000" w:sz="4" w:space="0"/>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9" w:type="dxa"/>
            <w:gridSpan w:val="2"/>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285" w:hRule="atLeas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4995" w:type="dxa"/>
            <w:gridSpan w:val="5"/>
            <w:tcBorders>
              <w:top w:val="nil"/>
              <w:left w:val="nil"/>
              <w:bottom w:val="nil"/>
              <w:right w:val="nil"/>
            </w:tcBorders>
            <w:shd w:val="clear" w:color="auto" w:fill="auto"/>
            <w:vAlign w:val="center"/>
          </w:tcPr>
          <w:p>
            <w:pPr>
              <w:keepNext w:val="0"/>
              <w:keepLines w:val="0"/>
              <w:widowControl/>
              <w:suppressLineNumbers w:val="0"/>
              <w:ind w:firstLine="1000" w:firstLineChars="5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p>
        </w:tc>
        <w:tc>
          <w:tcPr>
            <w:tcW w:w="1552" w:type="dxa"/>
            <w:gridSpan w:val="7"/>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30" w:type="dxa"/>
            <w:gridSpan w:val="2"/>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808" w:type="dxa"/>
            <w:gridSpan w:val="7"/>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不合格</w:t>
            </w:r>
            <w:r>
              <w:rPr>
                <w:rFonts w:hint="eastAsia" w:ascii="宋体" w:hAnsi="宋体" w:eastAsia="宋体" w:cs="宋体"/>
                <w:b/>
                <w:bCs/>
                <w:i w:val="0"/>
                <w:iCs w:val="0"/>
                <w:color w:val="000000"/>
                <w:kern w:val="0"/>
                <w:sz w:val="20"/>
                <w:szCs w:val="20"/>
                <w:u w:val="none"/>
                <w:lang w:val="en-US" w:eastAsia="zh-CN" w:bidi="ar"/>
              </w:rPr>
              <w:t>↓</w:t>
            </w:r>
          </w:p>
        </w:tc>
        <w:tc>
          <w:tcPr>
            <w:tcW w:w="66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9" w:type="dxa"/>
            <w:gridSpan w:val="2"/>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113" w:hRule="exac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8" w:type="dxa"/>
            <w:gridSpan w:val="3"/>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4995" w:type="dxa"/>
            <w:gridSpan w:val="5"/>
            <w:tcBorders>
              <w:top w:val="nil"/>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52" w:type="dxa"/>
            <w:gridSpan w:val="7"/>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38" w:type="dxa"/>
            <w:gridSpan w:val="9"/>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按照约定承担违约责任</w:t>
            </w:r>
          </w:p>
        </w:tc>
        <w:tc>
          <w:tcPr>
            <w:tcW w:w="66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9" w:type="dxa"/>
            <w:gridSpan w:val="2"/>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227" w:hRule="exac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553" w:type="dxa"/>
            <w:gridSpan w:val="8"/>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园区管委会协助企业向县自然资源局申请办理土地、房屋（构筑物）产权登记</w:t>
            </w:r>
          </w:p>
        </w:tc>
        <w:tc>
          <w:tcPr>
            <w:tcW w:w="1552" w:type="dxa"/>
            <w:gridSpan w:val="7"/>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38" w:type="dxa"/>
            <w:gridSpan w:val="9"/>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 w:type="dxa"/>
            <w:gridSpan w:val="2"/>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9" w:type="dxa"/>
            <w:gridSpan w:val="2"/>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90" w:hRule="exac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55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52" w:type="dxa"/>
            <w:gridSpan w:val="7"/>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30" w:type="dxa"/>
            <w:gridSpan w:val="2"/>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dxa"/>
            <w:gridSpan w:val="3"/>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49" w:type="dxa"/>
            <w:gridSpan w:val="2"/>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95" w:hRule="exac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55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52" w:type="dxa"/>
            <w:gridSpan w:val="7"/>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3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2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6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9" w:type="dxa"/>
            <w:gridSpan w:val="2"/>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227" w:hRule="exac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8" w:type="dxa"/>
            <w:gridSpan w:val="3"/>
            <w:tcBorders>
              <w:top w:val="single" w:color="000000" w:sz="4" w:space="0"/>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227" w:type="dxa"/>
            <w:gridSpan w:val="3"/>
            <w:tcBorders>
              <w:top w:val="single" w:color="000000" w:sz="4" w:space="0"/>
              <w:left w:val="nil"/>
              <w:bottom w:val="single" w:color="000000" w:sz="4" w:space="0"/>
              <w:right w:val="nil"/>
            </w:tcBorders>
            <w:shd w:val="clear" w:color="auto" w:fill="auto"/>
            <w:noWrap/>
            <w:vAlign w:val="center"/>
          </w:tcPr>
          <w:p>
            <w:pPr>
              <w:ind w:firstLine="1405" w:firstLineChars="700"/>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2768" w:type="dxa"/>
            <w:gridSpan w:val="2"/>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552" w:type="dxa"/>
            <w:gridSpan w:val="7"/>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553" w:type="dxa"/>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6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9" w:type="dxa"/>
            <w:gridSpan w:val="2"/>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283" w:hRule="exac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553" w:type="dxa"/>
            <w:gridSpan w:val="8"/>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企业提出达产复核审请，有关部门对标进行达产复核，并提出达产复核意见</w:t>
            </w:r>
          </w:p>
        </w:tc>
        <w:tc>
          <w:tcPr>
            <w:tcW w:w="1552" w:type="dxa"/>
            <w:gridSpan w:val="7"/>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38" w:type="dxa"/>
            <w:gridSpan w:val="9"/>
            <w:tcBorders>
              <w:top w:val="nil"/>
              <w:left w:val="nil"/>
              <w:bottom w:val="single" w:color="000000" w:sz="4" w:space="0"/>
              <w:right w:val="nil"/>
            </w:tcBorders>
            <w:shd w:val="clear" w:color="auto" w:fill="auto"/>
            <w:noWrap/>
            <w:vAlign w:val="center"/>
          </w:tcPr>
          <w:p>
            <w:pPr>
              <w:keepNext w:val="0"/>
              <w:keepLines w:val="0"/>
              <w:widowControl/>
              <w:suppressLineNumbers w:val="0"/>
              <w:ind w:firstLine="402" w:firstLineChars="20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不合格</w:t>
            </w:r>
          </w:p>
        </w:tc>
        <w:tc>
          <w:tcPr>
            <w:tcW w:w="667" w:type="dxa"/>
            <w:gridSpan w:val="2"/>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9"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113" w:hRule="exac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55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52" w:type="dxa"/>
            <w:gridSpan w:val="7"/>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3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2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6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83" w:hRule="exac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8" w:type="dxa"/>
            <w:gridSpan w:val="3"/>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4995" w:type="dxa"/>
            <w:gridSpan w:val="5"/>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r>
              <w:rPr>
                <w:rFonts w:hint="eastAsia" w:ascii="宋体" w:hAnsi="宋体" w:eastAsia="宋体" w:cs="宋体"/>
                <w:b/>
                <w:bCs/>
                <w:i w:val="0"/>
                <w:iCs w:val="0"/>
                <w:color w:val="000000"/>
                <w:kern w:val="0"/>
                <w:sz w:val="20"/>
                <w:szCs w:val="20"/>
                <w:u w:val="none"/>
                <w:lang w:val="en-US" w:eastAsia="zh-CN" w:bidi="ar"/>
              </w:rPr>
              <w:t>↓</w:t>
            </w:r>
          </w:p>
        </w:tc>
        <w:tc>
          <w:tcPr>
            <w:tcW w:w="1552" w:type="dxa"/>
            <w:gridSpan w:val="7"/>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3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2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6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170" w:hRule="exac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8" w:type="dxa"/>
            <w:gridSpan w:val="3"/>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499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六、全过程监管</w:t>
            </w:r>
          </w:p>
        </w:tc>
        <w:tc>
          <w:tcPr>
            <w:tcW w:w="1552" w:type="dxa"/>
            <w:gridSpan w:val="7"/>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3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2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6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4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55"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170" w:hRule="exact"/>
          <w:jc w:val="center"/>
        </w:trPr>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2"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99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552" w:type="dxa"/>
            <w:gridSpan w:val="7"/>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30" w:type="dxa"/>
            <w:gridSpan w:val="2"/>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23" w:type="dxa"/>
            <w:gridSpan w:val="3"/>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45"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40" w:type="dxa"/>
            <w:gridSpan w:val="3"/>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67" w:type="dxa"/>
            <w:gridSpan w:val="2"/>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49" w:type="dxa"/>
            <w:gridSpan w:val="2"/>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3"/>
        <w:rPr>
          <w:rFonts w:hint="eastAsia"/>
          <w:lang w:val="en-US" w:eastAsia="zh-CN"/>
        </w:rPr>
      </w:pPr>
    </w:p>
    <w:sectPr>
      <w:pgSz w:w="16838" w:h="11906" w:orient="landscape"/>
      <w:pgMar w:top="1701" w:right="1417" w:bottom="1417" w:left="1417" w:header="850"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D0D7A"/>
    <w:multiLevelType w:val="singleLevel"/>
    <w:tmpl w:val="41DD0D7A"/>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YjM4ZTg2ODYxZDkzOTA5NTNiMGNkZTc3OWYyOGQifQ=="/>
  </w:docVars>
  <w:rsids>
    <w:rsidRoot w:val="1AE41648"/>
    <w:rsid w:val="000273CC"/>
    <w:rsid w:val="0009075B"/>
    <w:rsid w:val="003F417C"/>
    <w:rsid w:val="00557C5B"/>
    <w:rsid w:val="006E4A62"/>
    <w:rsid w:val="00755DF0"/>
    <w:rsid w:val="008F6EB2"/>
    <w:rsid w:val="009C337D"/>
    <w:rsid w:val="00AB35C0"/>
    <w:rsid w:val="00B0507A"/>
    <w:rsid w:val="00B2494E"/>
    <w:rsid w:val="00CE72AE"/>
    <w:rsid w:val="012D2227"/>
    <w:rsid w:val="01303AC5"/>
    <w:rsid w:val="013C06BC"/>
    <w:rsid w:val="015123B9"/>
    <w:rsid w:val="015B3238"/>
    <w:rsid w:val="015D0D5E"/>
    <w:rsid w:val="0187402D"/>
    <w:rsid w:val="01D16E42"/>
    <w:rsid w:val="01E21263"/>
    <w:rsid w:val="02072A78"/>
    <w:rsid w:val="0213766F"/>
    <w:rsid w:val="02290C40"/>
    <w:rsid w:val="027619AC"/>
    <w:rsid w:val="0284231A"/>
    <w:rsid w:val="029D22D8"/>
    <w:rsid w:val="02C170CB"/>
    <w:rsid w:val="02C941D1"/>
    <w:rsid w:val="02CE17E8"/>
    <w:rsid w:val="02DA4630"/>
    <w:rsid w:val="02E27C68"/>
    <w:rsid w:val="02ED6112"/>
    <w:rsid w:val="030B6598"/>
    <w:rsid w:val="03114B74"/>
    <w:rsid w:val="032763D2"/>
    <w:rsid w:val="032B1785"/>
    <w:rsid w:val="034F0B7A"/>
    <w:rsid w:val="03A569EC"/>
    <w:rsid w:val="03BB7FBE"/>
    <w:rsid w:val="03CA0201"/>
    <w:rsid w:val="03CF75C5"/>
    <w:rsid w:val="03EF5EB9"/>
    <w:rsid w:val="03F02EA8"/>
    <w:rsid w:val="03F23D0A"/>
    <w:rsid w:val="043A5387"/>
    <w:rsid w:val="04620439"/>
    <w:rsid w:val="048B7990"/>
    <w:rsid w:val="04932CE9"/>
    <w:rsid w:val="04A93617"/>
    <w:rsid w:val="04C335CE"/>
    <w:rsid w:val="050339CA"/>
    <w:rsid w:val="05243941"/>
    <w:rsid w:val="053578FC"/>
    <w:rsid w:val="056F2E0E"/>
    <w:rsid w:val="058368B9"/>
    <w:rsid w:val="05C23886"/>
    <w:rsid w:val="05E03D0C"/>
    <w:rsid w:val="05E7509A"/>
    <w:rsid w:val="05EF03F3"/>
    <w:rsid w:val="05EF21A1"/>
    <w:rsid w:val="05F17CC7"/>
    <w:rsid w:val="064C314F"/>
    <w:rsid w:val="06824DC3"/>
    <w:rsid w:val="06B50CF4"/>
    <w:rsid w:val="06C4362D"/>
    <w:rsid w:val="06E52409"/>
    <w:rsid w:val="06E94E42"/>
    <w:rsid w:val="071D4AEC"/>
    <w:rsid w:val="07504EC1"/>
    <w:rsid w:val="07666493"/>
    <w:rsid w:val="07866B35"/>
    <w:rsid w:val="07886409"/>
    <w:rsid w:val="07A1396F"/>
    <w:rsid w:val="07AA45D1"/>
    <w:rsid w:val="07B74F40"/>
    <w:rsid w:val="07C531B9"/>
    <w:rsid w:val="07F910B5"/>
    <w:rsid w:val="08202AE5"/>
    <w:rsid w:val="08387E2F"/>
    <w:rsid w:val="08564759"/>
    <w:rsid w:val="08566507"/>
    <w:rsid w:val="086C1887"/>
    <w:rsid w:val="087F5A5E"/>
    <w:rsid w:val="08A62B79"/>
    <w:rsid w:val="090B090E"/>
    <w:rsid w:val="092403B3"/>
    <w:rsid w:val="0926412B"/>
    <w:rsid w:val="09613AF0"/>
    <w:rsid w:val="097611BC"/>
    <w:rsid w:val="097E7AC3"/>
    <w:rsid w:val="099B3CBD"/>
    <w:rsid w:val="09AF5ECF"/>
    <w:rsid w:val="09B71227"/>
    <w:rsid w:val="09BE6112"/>
    <w:rsid w:val="09E11133"/>
    <w:rsid w:val="09FC30DE"/>
    <w:rsid w:val="0A1421D6"/>
    <w:rsid w:val="0A2A37A7"/>
    <w:rsid w:val="0A2D3298"/>
    <w:rsid w:val="0A2E773B"/>
    <w:rsid w:val="0A382368"/>
    <w:rsid w:val="0A3C34DB"/>
    <w:rsid w:val="0A4A209B"/>
    <w:rsid w:val="0A4A3E4A"/>
    <w:rsid w:val="0A586566"/>
    <w:rsid w:val="0A5B6057"/>
    <w:rsid w:val="0A7B4003"/>
    <w:rsid w:val="0A7E1D45"/>
    <w:rsid w:val="0AAE6186"/>
    <w:rsid w:val="0AD876A7"/>
    <w:rsid w:val="0ADF27E4"/>
    <w:rsid w:val="0AE0030A"/>
    <w:rsid w:val="0AE918B4"/>
    <w:rsid w:val="0AEC6CAF"/>
    <w:rsid w:val="0B0264D2"/>
    <w:rsid w:val="0B0E131B"/>
    <w:rsid w:val="0B6D6042"/>
    <w:rsid w:val="0B753148"/>
    <w:rsid w:val="0B792C38"/>
    <w:rsid w:val="0BA955D1"/>
    <w:rsid w:val="0BC65752"/>
    <w:rsid w:val="0C104C1F"/>
    <w:rsid w:val="0C382FA7"/>
    <w:rsid w:val="0C4843B9"/>
    <w:rsid w:val="0C882A07"/>
    <w:rsid w:val="0C913FB2"/>
    <w:rsid w:val="0C9B6BDE"/>
    <w:rsid w:val="0C9C11D2"/>
    <w:rsid w:val="0CE045F1"/>
    <w:rsid w:val="0CE95B9C"/>
    <w:rsid w:val="0CF06F2A"/>
    <w:rsid w:val="0CFD33F5"/>
    <w:rsid w:val="0D0A78C0"/>
    <w:rsid w:val="0D103128"/>
    <w:rsid w:val="0D307327"/>
    <w:rsid w:val="0D3F756A"/>
    <w:rsid w:val="0D4202D8"/>
    <w:rsid w:val="0D4728C2"/>
    <w:rsid w:val="0D611BD6"/>
    <w:rsid w:val="0D731909"/>
    <w:rsid w:val="0D8458C4"/>
    <w:rsid w:val="0DAE2941"/>
    <w:rsid w:val="0DB77A48"/>
    <w:rsid w:val="0DC9777B"/>
    <w:rsid w:val="0DCA5798"/>
    <w:rsid w:val="0DD57ECE"/>
    <w:rsid w:val="0DF2282E"/>
    <w:rsid w:val="0E364E11"/>
    <w:rsid w:val="0E5055B3"/>
    <w:rsid w:val="0EA33B28"/>
    <w:rsid w:val="0EAA4EB7"/>
    <w:rsid w:val="0EC35F79"/>
    <w:rsid w:val="0EF9282B"/>
    <w:rsid w:val="0F024CF3"/>
    <w:rsid w:val="0F135152"/>
    <w:rsid w:val="0F31093A"/>
    <w:rsid w:val="0F502C6C"/>
    <w:rsid w:val="0F6459AD"/>
    <w:rsid w:val="0F82698C"/>
    <w:rsid w:val="0F9D2C6D"/>
    <w:rsid w:val="0FAB538A"/>
    <w:rsid w:val="0FCC70AF"/>
    <w:rsid w:val="0FD91EF8"/>
    <w:rsid w:val="0FE73EE9"/>
    <w:rsid w:val="0FE8038D"/>
    <w:rsid w:val="0FEE5277"/>
    <w:rsid w:val="0FF17498"/>
    <w:rsid w:val="0FF456BC"/>
    <w:rsid w:val="100B407B"/>
    <w:rsid w:val="10401F77"/>
    <w:rsid w:val="104A6951"/>
    <w:rsid w:val="105552F6"/>
    <w:rsid w:val="10565814"/>
    <w:rsid w:val="107D4FE9"/>
    <w:rsid w:val="10A83678"/>
    <w:rsid w:val="10B262A5"/>
    <w:rsid w:val="10C761F4"/>
    <w:rsid w:val="10DD5A17"/>
    <w:rsid w:val="10DE709A"/>
    <w:rsid w:val="10E30B54"/>
    <w:rsid w:val="11052878"/>
    <w:rsid w:val="11124F95"/>
    <w:rsid w:val="111A2CDB"/>
    <w:rsid w:val="111B6540"/>
    <w:rsid w:val="111D7BC2"/>
    <w:rsid w:val="117A2D7F"/>
    <w:rsid w:val="11934328"/>
    <w:rsid w:val="11D861DF"/>
    <w:rsid w:val="1202325C"/>
    <w:rsid w:val="122338FE"/>
    <w:rsid w:val="12323B41"/>
    <w:rsid w:val="126E269F"/>
    <w:rsid w:val="127C4DBC"/>
    <w:rsid w:val="128F2D41"/>
    <w:rsid w:val="12BE3627"/>
    <w:rsid w:val="12C81DAF"/>
    <w:rsid w:val="13257202"/>
    <w:rsid w:val="13313DF9"/>
    <w:rsid w:val="13367661"/>
    <w:rsid w:val="13475083"/>
    <w:rsid w:val="135D4BEE"/>
    <w:rsid w:val="136728A3"/>
    <w:rsid w:val="136A2E67"/>
    <w:rsid w:val="137454F5"/>
    <w:rsid w:val="13A740BB"/>
    <w:rsid w:val="13BF31B2"/>
    <w:rsid w:val="13C22CA3"/>
    <w:rsid w:val="13DA4490"/>
    <w:rsid w:val="13ED41C3"/>
    <w:rsid w:val="13FC3AE6"/>
    <w:rsid w:val="13FD3CDB"/>
    <w:rsid w:val="14025795"/>
    <w:rsid w:val="14076907"/>
    <w:rsid w:val="141352AC"/>
    <w:rsid w:val="14357918"/>
    <w:rsid w:val="143A0A8B"/>
    <w:rsid w:val="143E4A1F"/>
    <w:rsid w:val="145558C5"/>
    <w:rsid w:val="146B333A"/>
    <w:rsid w:val="146D2C0E"/>
    <w:rsid w:val="147026FF"/>
    <w:rsid w:val="1481490C"/>
    <w:rsid w:val="14DE58BA"/>
    <w:rsid w:val="14EA0703"/>
    <w:rsid w:val="14FE5F5C"/>
    <w:rsid w:val="15086DDB"/>
    <w:rsid w:val="15453B8B"/>
    <w:rsid w:val="15510782"/>
    <w:rsid w:val="155D0ED5"/>
    <w:rsid w:val="15853F88"/>
    <w:rsid w:val="15914996"/>
    <w:rsid w:val="159E329B"/>
    <w:rsid w:val="15B64A89"/>
    <w:rsid w:val="15B70639"/>
    <w:rsid w:val="15B8610B"/>
    <w:rsid w:val="15DD2016"/>
    <w:rsid w:val="15F80BFE"/>
    <w:rsid w:val="15FF3D3A"/>
    <w:rsid w:val="16017278"/>
    <w:rsid w:val="16113A6D"/>
    <w:rsid w:val="161C5C18"/>
    <w:rsid w:val="16223ECC"/>
    <w:rsid w:val="1632644A"/>
    <w:rsid w:val="163D44F0"/>
    <w:rsid w:val="16443E43"/>
    <w:rsid w:val="166444E5"/>
    <w:rsid w:val="16AD19E8"/>
    <w:rsid w:val="16B94831"/>
    <w:rsid w:val="16DB47A7"/>
    <w:rsid w:val="17033CFE"/>
    <w:rsid w:val="17092996"/>
    <w:rsid w:val="170A0BE8"/>
    <w:rsid w:val="170F26A3"/>
    <w:rsid w:val="17143815"/>
    <w:rsid w:val="171657DF"/>
    <w:rsid w:val="172B5AB3"/>
    <w:rsid w:val="173C2D6C"/>
    <w:rsid w:val="17451C21"/>
    <w:rsid w:val="17793EA6"/>
    <w:rsid w:val="177F76C0"/>
    <w:rsid w:val="17984446"/>
    <w:rsid w:val="17A74689"/>
    <w:rsid w:val="17CF1E32"/>
    <w:rsid w:val="17D2722C"/>
    <w:rsid w:val="17E73651"/>
    <w:rsid w:val="17F174F0"/>
    <w:rsid w:val="18115FA7"/>
    <w:rsid w:val="181D2B9D"/>
    <w:rsid w:val="18253800"/>
    <w:rsid w:val="183D4FEE"/>
    <w:rsid w:val="18862B16"/>
    <w:rsid w:val="18867FF4"/>
    <w:rsid w:val="1888270D"/>
    <w:rsid w:val="189D783A"/>
    <w:rsid w:val="18E216F1"/>
    <w:rsid w:val="19445F08"/>
    <w:rsid w:val="19490542"/>
    <w:rsid w:val="194A79C2"/>
    <w:rsid w:val="194B461A"/>
    <w:rsid w:val="1991739F"/>
    <w:rsid w:val="19C332D1"/>
    <w:rsid w:val="19E82D37"/>
    <w:rsid w:val="19FE2718"/>
    <w:rsid w:val="1A197394"/>
    <w:rsid w:val="1A2521DD"/>
    <w:rsid w:val="1A282BD2"/>
    <w:rsid w:val="1A5605E9"/>
    <w:rsid w:val="1A5F124B"/>
    <w:rsid w:val="1A862C7C"/>
    <w:rsid w:val="1AA866F2"/>
    <w:rsid w:val="1AC75042"/>
    <w:rsid w:val="1AC92B69"/>
    <w:rsid w:val="1AE41648"/>
    <w:rsid w:val="1AFF2A2E"/>
    <w:rsid w:val="1B010554"/>
    <w:rsid w:val="1B1262BE"/>
    <w:rsid w:val="1B2A558D"/>
    <w:rsid w:val="1B636B19"/>
    <w:rsid w:val="1B822E8F"/>
    <w:rsid w:val="1B83540D"/>
    <w:rsid w:val="1B8B42C2"/>
    <w:rsid w:val="1B917B2A"/>
    <w:rsid w:val="1BB11F7A"/>
    <w:rsid w:val="1BCF32BE"/>
    <w:rsid w:val="1BEF65FF"/>
    <w:rsid w:val="1BFE2CE6"/>
    <w:rsid w:val="1C1501BB"/>
    <w:rsid w:val="1C2A5889"/>
    <w:rsid w:val="1C3B7A96"/>
    <w:rsid w:val="1C485D0F"/>
    <w:rsid w:val="1C542906"/>
    <w:rsid w:val="1C7F5BD5"/>
    <w:rsid w:val="1C9A20FE"/>
    <w:rsid w:val="1CA27B15"/>
    <w:rsid w:val="1CE75528"/>
    <w:rsid w:val="1CE912A0"/>
    <w:rsid w:val="1CF71C0F"/>
    <w:rsid w:val="1D2B7B0B"/>
    <w:rsid w:val="1D3764AF"/>
    <w:rsid w:val="1D48246B"/>
    <w:rsid w:val="1D8B2357"/>
    <w:rsid w:val="1D992CC6"/>
    <w:rsid w:val="1DA90A62"/>
    <w:rsid w:val="1DC57991"/>
    <w:rsid w:val="1DD2442A"/>
    <w:rsid w:val="1DE33F41"/>
    <w:rsid w:val="1DE63A32"/>
    <w:rsid w:val="1DEF28E6"/>
    <w:rsid w:val="1E0C13CE"/>
    <w:rsid w:val="1E195BB5"/>
    <w:rsid w:val="1E1B6E3F"/>
    <w:rsid w:val="1E234C86"/>
    <w:rsid w:val="1E4D585F"/>
    <w:rsid w:val="1E4F5A7B"/>
    <w:rsid w:val="1E5B61CE"/>
    <w:rsid w:val="1E5E181A"/>
    <w:rsid w:val="1E892D3B"/>
    <w:rsid w:val="1E967206"/>
    <w:rsid w:val="1EA57449"/>
    <w:rsid w:val="1EB355B6"/>
    <w:rsid w:val="1EEE7042"/>
    <w:rsid w:val="1EF83A1C"/>
    <w:rsid w:val="1EFF4DAB"/>
    <w:rsid w:val="1F5376C8"/>
    <w:rsid w:val="1FAF69AA"/>
    <w:rsid w:val="1FB042F7"/>
    <w:rsid w:val="2007660D"/>
    <w:rsid w:val="20234AC9"/>
    <w:rsid w:val="20256A93"/>
    <w:rsid w:val="205F10C6"/>
    <w:rsid w:val="207417C9"/>
    <w:rsid w:val="20AC2D10"/>
    <w:rsid w:val="20B63B8F"/>
    <w:rsid w:val="20E22BD6"/>
    <w:rsid w:val="20EA55E7"/>
    <w:rsid w:val="214E5B76"/>
    <w:rsid w:val="215A6C10"/>
    <w:rsid w:val="21731A80"/>
    <w:rsid w:val="217952E8"/>
    <w:rsid w:val="218B2455"/>
    <w:rsid w:val="21937A2C"/>
    <w:rsid w:val="21A734D8"/>
    <w:rsid w:val="21B225A8"/>
    <w:rsid w:val="21C66054"/>
    <w:rsid w:val="21DE514B"/>
    <w:rsid w:val="21EB7868"/>
    <w:rsid w:val="21F030D1"/>
    <w:rsid w:val="221768AF"/>
    <w:rsid w:val="221779C6"/>
    <w:rsid w:val="22433200"/>
    <w:rsid w:val="224376A4"/>
    <w:rsid w:val="227D4B42"/>
    <w:rsid w:val="22916662"/>
    <w:rsid w:val="22941CAE"/>
    <w:rsid w:val="22A73F6E"/>
    <w:rsid w:val="22AF0896"/>
    <w:rsid w:val="22CA6694"/>
    <w:rsid w:val="22DB168B"/>
    <w:rsid w:val="23160915"/>
    <w:rsid w:val="232E2103"/>
    <w:rsid w:val="235C0A1E"/>
    <w:rsid w:val="23671171"/>
    <w:rsid w:val="239F6B5C"/>
    <w:rsid w:val="23A61C99"/>
    <w:rsid w:val="23B238F3"/>
    <w:rsid w:val="23B32608"/>
    <w:rsid w:val="23E46C65"/>
    <w:rsid w:val="23F073B8"/>
    <w:rsid w:val="2419690F"/>
    <w:rsid w:val="241A4435"/>
    <w:rsid w:val="24267371"/>
    <w:rsid w:val="242D5F16"/>
    <w:rsid w:val="24392B0D"/>
    <w:rsid w:val="24392CF9"/>
    <w:rsid w:val="244F0582"/>
    <w:rsid w:val="24521E21"/>
    <w:rsid w:val="24771887"/>
    <w:rsid w:val="24833D88"/>
    <w:rsid w:val="24D665AE"/>
    <w:rsid w:val="24DB5972"/>
    <w:rsid w:val="24E94533"/>
    <w:rsid w:val="24F9229C"/>
    <w:rsid w:val="252B4D65"/>
    <w:rsid w:val="252C08C4"/>
    <w:rsid w:val="25333A00"/>
    <w:rsid w:val="2536529E"/>
    <w:rsid w:val="25AB7A3A"/>
    <w:rsid w:val="25B65FCB"/>
    <w:rsid w:val="25CC175F"/>
    <w:rsid w:val="25D30D3F"/>
    <w:rsid w:val="25E22D30"/>
    <w:rsid w:val="25F82554"/>
    <w:rsid w:val="26031625"/>
    <w:rsid w:val="261C4494"/>
    <w:rsid w:val="262D66A1"/>
    <w:rsid w:val="2641214D"/>
    <w:rsid w:val="264D0AF2"/>
    <w:rsid w:val="266876DA"/>
    <w:rsid w:val="268F147D"/>
    <w:rsid w:val="26A85D28"/>
    <w:rsid w:val="26AA7CF2"/>
    <w:rsid w:val="26D60AE7"/>
    <w:rsid w:val="26E55F0C"/>
    <w:rsid w:val="26FB67A0"/>
    <w:rsid w:val="27541A0C"/>
    <w:rsid w:val="27693709"/>
    <w:rsid w:val="27982240"/>
    <w:rsid w:val="27A75FE0"/>
    <w:rsid w:val="27AC35F6"/>
    <w:rsid w:val="27B70919"/>
    <w:rsid w:val="27C5558F"/>
    <w:rsid w:val="27C9064C"/>
    <w:rsid w:val="28096C9A"/>
    <w:rsid w:val="280A52A3"/>
    <w:rsid w:val="281C077C"/>
    <w:rsid w:val="28305FD5"/>
    <w:rsid w:val="285E0D94"/>
    <w:rsid w:val="28697739"/>
    <w:rsid w:val="288B5901"/>
    <w:rsid w:val="28C130D1"/>
    <w:rsid w:val="28CF1C92"/>
    <w:rsid w:val="291678C1"/>
    <w:rsid w:val="29253660"/>
    <w:rsid w:val="29361D11"/>
    <w:rsid w:val="294757D0"/>
    <w:rsid w:val="294F74E1"/>
    <w:rsid w:val="29600B3C"/>
    <w:rsid w:val="296E3259"/>
    <w:rsid w:val="298760C9"/>
    <w:rsid w:val="29B03871"/>
    <w:rsid w:val="29B82726"/>
    <w:rsid w:val="29EE6148"/>
    <w:rsid w:val="29F51284"/>
    <w:rsid w:val="2A0616E3"/>
    <w:rsid w:val="2A1D6A2D"/>
    <w:rsid w:val="2A3B73DE"/>
    <w:rsid w:val="2A475858"/>
    <w:rsid w:val="2A954815"/>
    <w:rsid w:val="2AC84BEB"/>
    <w:rsid w:val="2AE82B97"/>
    <w:rsid w:val="2AF07C9E"/>
    <w:rsid w:val="2B073965"/>
    <w:rsid w:val="2B125E66"/>
    <w:rsid w:val="2B25203D"/>
    <w:rsid w:val="2B2838DB"/>
    <w:rsid w:val="2B2A62A1"/>
    <w:rsid w:val="2B3163EF"/>
    <w:rsid w:val="2B5E72FD"/>
    <w:rsid w:val="2BA03472"/>
    <w:rsid w:val="2BBA3BBB"/>
    <w:rsid w:val="2BBE7D9C"/>
    <w:rsid w:val="2BCD5984"/>
    <w:rsid w:val="2BEB6DE3"/>
    <w:rsid w:val="2C184D05"/>
    <w:rsid w:val="2C840FE5"/>
    <w:rsid w:val="2C8763E0"/>
    <w:rsid w:val="2C8965FC"/>
    <w:rsid w:val="2C950AFD"/>
    <w:rsid w:val="2CA60F5C"/>
    <w:rsid w:val="2CF77A09"/>
    <w:rsid w:val="2CF9108B"/>
    <w:rsid w:val="2D0D4B37"/>
    <w:rsid w:val="2D102879"/>
    <w:rsid w:val="2D247080"/>
    <w:rsid w:val="2D2B6F0B"/>
    <w:rsid w:val="2D656721"/>
    <w:rsid w:val="2D833E1B"/>
    <w:rsid w:val="2DA37249"/>
    <w:rsid w:val="2DC25921"/>
    <w:rsid w:val="2DC86CB0"/>
    <w:rsid w:val="2DCC054E"/>
    <w:rsid w:val="2DE57862"/>
    <w:rsid w:val="2E21399A"/>
    <w:rsid w:val="2E2A1718"/>
    <w:rsid w:val="2E2B5985"/>
    <w:rsid w:val="2E3D31FA"/>
    <w:rsid w:val="2E552C39"/>
    <w:rsid w:val="2E7458AD"/>
    <w:rsid w:val="2EE43FBD"/>
    <w:rsid w:val="2EFC69F1"/>
    <w:rsid w:val="2F0D7070"/>
    <w:rsid w:val="2F1E302B"/>
    <w:rsid w:val="2F2E6FE6"/>
    <w:rsid w:val="2F3445FD"/>
    <w:rsid w:val="2F3F1875"/>
    <w:rsid w:val="2F5E2E56"/>
    <w:rsid w:val="2F72542B"/>
    <w:rsid w:val="2F77098D"/>
    <w:rsid w:val="2F797DEC"/>
    <w:rsid w:val="2F8310E0"/>
    <w:rsid w:val="2FA06136"/>
    <w:rsid w:val="2FA15A0A"/>
    <w:rsid w:val="30326EFC"/>
    <w:rsid w:val="30515682"/>
    <w:rsid w:val="306058C5"/>
    <w:rsid w:val="309B06AC"/>
    <w:rsid w:val="309C4B4F"/>
    <w:rsid w:val="309F63EE"/>
    <w:rsid w:val="30A21A3A"/>
    <w:rsid w:val="30BA3228"/>
    <w:rsid w:val="30D01B33"/>
    <w:rsid w:val="310A186A"/>
    <w:rsid w:val="310C6779"/>
    <w:rsid w:val="31291628"/>
    <w:rsid w:val="313905F0"/>
    <w:rsid w:val="316528E5"/>
    <w:rsid w:val="31745184"/>
    <w:rsid w:val="31B71515"/>
    <w:rsid w:val="31C3610C"/>
    <w:rsid w:val="31D2634F"/>
    <w:rsid w:val="31DE6AA2"/>
    <w:rsid w:val="32285F6F"/>
    <w:rsid w:val="32292443"/>
    <w:rsid w:val="322A618B"/>
    <w:rsid w:val="32544FB6"/>
    <w:rsid w:val="326F1DF0"/>
    <w:rsid w:val="32CB34CA"/>
    <w:rsid w:val="32F72511"/>
    <w:rsid w:val="331C1F78"/>
    <w:rsid w:val="332E5807"/>
    <w:rsid w:val="33323549"/>
    <w:rsid w:val="33353039"/>
    <w:rsid w:val="3341553A"/>
    <w:rsid w:val="334212B2"/>
    <w:rsid w:val="33775400"/>
    <w:rsid w:val="33802506"/>
    <w:rsid w:val="33917406"/>
    <w:rsid w:val="33A14184"/>
    <w:rsid w:val="33AD2BD0"/>
    <w:rsid w:val="33BB7E2C"/>
    <w:rsid w:val="33BE4DDD"/>
    <w:rsid w:val="33CD3272"/>
    <w:rsid w:val="33CD6DCE"/>
    <w:rsid w:val="3402116D"/>
    <w:rsid w:val="340D7B12"/>
    <w:rsid w:val="34207846"/>
    <w:rsid w:val="34433534"/>
    <w:rsid w:val="345F4466"/>
    <w:rsid w:val="34763909"/>
    <w:rsid w:val="348953EB"/>
    <w:rsid w:val="34BB30CA"/>
    <w:rsid w:val="34D67F04"/>
    <w:rsid w:val="34DD5737"/>
    <w:rsid w:val="34F82570"/>
    <w:rsid w:val="35223149"/>
    <w:rsid w:val="353F3CFB"/>
    <w:rsid w:val="35521C81"/>
    <w:rsid w:val="355F439E"/>
    <w:rsid w:val="359E4EC6"/>
    <w:rsid w:val="35AB7018"/>
    <w:rsid w:val="35AD335B"/>
    <w:rsid w:val="35BB5A78"/>
    <w:rsid w:val="35E36B0D"/>
    <w:rsid w:val="36127662"/>
    <w:rsid w:val="3627310D"/>
    <w:rsid w:val="362829E1"/>
    <w:rsid w:val="36563475"/>
    <w:rsid w:val="36590DED"/>
    <w:rsid w:val="36D36DF1"/>
    <w:rsid w:val="36F54252"/>
    <w:rsid w:val="36FC6686"/>
    <w:rsid w:val="37065B99"/>
    <w:rsid w:val="378B147A"/>
    <w:rsid w:val="37B3277F"/>
    <w:rsid w:val="37C01EEB"/>
    <w:rsid w:val="37E666B0"/>
    <w:rsid w:val="38284F1B"/>
    <w:rsid w:val="38613F89"/>
    <w:rsid w:val="38673C95"/>
    <w:rsid w:val="38A74DB2"/>
    <w:rsid w:val="38EC419A"/>
    <w:rsid w:val="38FD63A7"/>
    <w:rsid w:val="391E1E7A"/>
    <w:rsid w:val="3942025E"/>
    <w:rsid w:val="395C70D1"/>
    <w:rsid w:val="39873EC3"/>
    <w:rsid w:val="3995213C"/>
    <w:rsid w:val="39C66799"/>
    <w:rsid w:val="39CD3FCC"/>
    <w:rsid w:val="39CE564E"/>
    <w:rsid w:val="39EB26A4"/>
    <w:rsid w:val="39FE4185"/>
    <w:rsid w:val="3A145757"/>
    <w:rsid w:val="3A306308"/>
    <w:rsid w:val="3A3556CD"/>
    <w:rsid w:val="3A437DEA"/>
    <w:rsid w:val="3A4A561C"/>
    <w:rsid w:val="3A4B4EF0"/>
    <w:rsid w:val="3A52002D"/>
    <w:rsid w:val="3A5C534F"/>
    <w:rsid w:val="3A5E4C24"/>
    <w:rsid w:val="3A6A35C8"/>
    <w:rsid w:val="3A771466"/>
    <w:rsid w:val="3A7A7584"/>
    <w:rsid w:val="3A844F0E"/>
    <w:rsid w:val="3A881CA1"/>
    <w:rsid w:val="3AB111F7"/>
    <w:rsid w:val="3AB331C1"/>
    <w:rsid w:val="3AC0768C"/>
    <w:rsid w:val="3ACA050B"/>
    <w:rsid w:val="3ADE7B13"/>
    <w:rsid w:val="3AE8273F"/>
    <w:rsid w:val="3B3911ED"/>
    <w:rsid w:val="3B3F4A55"/>
    <w:rsid w:val="3B65711F"/>
    <w:rsid w:val="3B6E533A"/>
    <w:rsid w:val="3B7346FF"/>
    <w:rsid w:val="3B7F12F6"/>
    <w:rsid w:val="3B871F58"/>
    <w:rsid w:val="3BD827B4"/>
    <w:rsid w:val="3BDF3B42"/>
    <w:rsid w:val="3BFA4E20"/>
    <w:rsid w:val="3C1557B6"/>
    <w:rsid w:val="3C3F0A85"/>
    <w:rsid w:val="3C4A1903"/>
    <w:rsid w:val="3C4D4F50"/>
    <w:rsid w:val="3C706E90"/>
    <w:rsid w:val="3C776471"/>
    <w:rsid w:val="3C9E39FD"/>
    <w:rsid w:val="3CA803D8"/>
    <w:rsid w:val="3CD72A6B"/>
    <w:rsid w:val="3CDD2778"/>
    <w:rsid w:val="3CE55188"/>
    <w:rsid w:val="3D7A7FC6"/>
    <w:rsid w:val="3D8B2745"/>
    <w:rsid w:val="3D8F2DE4"/>
    <w:rsid w:val="3DAA0180"/>
    <w:rsid w:val="3DCB25D0"/>
    <w:rsid w:val="3DD11BB1"/>
    <w:rsid w:val="3DE03BA2"/>
    <w:rsid w:val="3DE11DF4"/>
    <w:rsid w:val="3E021D6A"/>
    <w:rsid w:val="3E1321C9"/>
    <w:rsid w:val="3E293A35"/>
    <w:rsid w:val="3E2B7513"/>
    <w:rsid w:val="3E350391"/>
    <w:rsid w:val="3E4800C5"/>
    <w:rsid w:val="3E5F540E"/>
    <w:rsid w:val="3E6B3DB3"/>
    <w:rsid w:val="3E704F26"/>
    <w:rsid w:val="3E720C9E"/>
    <w:rsid w:val="3E7A2AF9"/>
    <w:rsid w:val="3E7C1B1C"/>
    <w:rsid w:val="3E860BED"/>
    <w:rsid w:val="3E8D3D29"/>
    <w:rsid w:val="3E9450B8"/>
    <w:rsid w:val="3EA01CAF"/>
    <w:rsid w:val="3EB128DE"/>
    <w:rsid w:val="3EB63280"/>
    <w:rsid w:val="3ED7221E"/>
    <w:rsid w:val="3EF23B8C"/>
    <w:rsid w:val="3EF7319B"/>
    <w:rsid w:val="3EF94085"/>
    <w:rsid w:val="3F2038AC"/>
    <w:rsid w:val="3F316DAB"/>
    <w:rsid w:val="3F742FF3"/>
    <w:rsid w:val="3F7E18C4"/>
    <w:rsid w:val="3FA96941"/>
    <w:rsid w:val="3FCC6AD3"/>
    <w:rsid w:val="40152228"/>
    <w:rsid w:val="403A1C8F"/>
    <w:rsid w:val="40532D51"/>
    <w:rsid w:val="405C4FC3"/>
    <w:rsid w:val="40610FCA"/>
    <w:rsid w:val="406C796F"/>
    <w:rsid w:val="40730CFD"/>
    <w:rsid w:val="407451A1"/>
    <w:rsid w:val="40842F0A"/>
    <w:rsid w:val="409475F1"/>
    <w:rsid w:val="40D23C76"/>
    <w:rsid w:val="40EF4827"/>
    <w:rsid w:val="40F541F2"/>
    <w:rsid w:val="41136C01"/>
    <w:rsid w:val="4137375A"/>
    <w:rsid w:val="41410DFB"/>
    <w:rsid w:val="414601C0"/>
    <w:rsid w:val="414803DC"/>
    <w:rsid w:val="416C5E78"/>
    <w:rsid w:val="41744D2D"/>
    <w:rsid w:val="41752C88"/>
    <w:rsid w:val="41760AA5"/>
    <w:rsid w:val="41A41AB6"/>
    <w:rsid w:val="41E77BF5"/>
    <w:rsid w:val="4235270E"/>
    <w:rsid w:val="42734FE4"/>
    <w:rsid w:val="42817701"/>
    <w:rsid w:val="428C3276"/>
    <w:rsid w:val="42BC698B"/>
    <w:rsid w:val="42C86B5D"/>
    <w:rsid w:val="42D24401"/>
    <w:rsid w:val="42DB6DCD"/>
    <w:rsid w:val="42E14644"/>
    <w:rsid w:val="42F8373B"/>
    <w:rsid w:val="43030A5E"/>
    <w:rsid w:val="430D0C8C"/>
    <w:rsid w:val="4315253F"/>
    <w:rsid w:val="431C38CE"/>
    <w:rsid w:val="432033BE"/>
    <w:rsid w:val="432D7889"/>
    <w:rsid w:val="43560B8E"/>
    <w:rsid w:val="43686B13"/>
    <w:rsid w:val="439873F8"/>
    <w:rsid w:val="43B41D58"/>
    <w:rsid w:val="43DD0E06"/>
    <w:rsid w:val="43EA39CC"/>
    <w:rsid w:val="43F65ECD"/>
    <w:rsid w:val="441D78FE"/>
    <w:rsid w:val="442944F4"/>
    <w:rsid w:val="445B0CD5"/>
    <w:rsid w:val="44A75419"/>
    <w:rsid w:val="44AD6ED3"/>
    <w:rsid w:val="44CE6E4A"/>
    <w:rsid w:val="44EA279E"/>
    <w:rsid w:val="44F22B38"/>
    <w:rsid w:val="44F52628"/>
    <w:rsid w:val="451E392D"/>
    <w:rsid w:val="45336CAD"/>
    <w:rsid w:val="457C68A6"/>
    <w:rsid w:val="45815C6A"/>
    <w:rsid w:val="45961716"/>
    <w:rsid w:val="45C06792"/>
    <w:rsid w:val="45CD0EAF"/>
    <w:rsid w:val="45D903A1"/>
    <w:rsid w:val="45EC3A2B"/>
    <w:rsid w:val="460523D5"/>
    <w:rsid w:val="460E4270"/>
    <w:rsid w:val="462211FB"/>
    <w:rsid w:val="463158E2"/>
    <w:rsid w:val="464C44CA"/>
    <w:rsid w:val="466510E8"/>
    <w:rsid w:val="46787AB4"/>
    <w:rsid w:val="46845A12"/>
    <w:rsid w:val="4696289E"/>
    <w:rsid w:val="46C67DD9"/>
    <w:rsid w:val="4703102D"/>
    <w:rsid w:val="471A0124"/>
    <w:rsid w:val="47226FD9"/>
    <w:rsid w:val="4724470D"/>
    <w:rsid w:val="47411B55"/>
    <w:rsid w:val="476D25D3"/>
    <w:rsid w:val="476F137C"/>
    <w:rsid w:val="4779309D"/>
    <w:rsid w:val="478F0B12"/>
    <w:rsid w:val="47A01D37"/>
    <w:rsid w:val="47B831AE"/>
    <w:rsid w:val="47C562E2"/>
    <w:rsid w:val="482079BC"/>
    <w:rsid w:val="48284AC3"/>
    <w:rsid w:val="482D36EB"/>
    <w:rsid w:val="48895562"/>
    <w:rsid w:val="48931F3C"/>
    <w:rsid w:val="489839F7"/>
    <w:rsid w:val="48E1539E"/>
    <w:rsid w:val="49137521"/>
    <w:rsid w:val="491868E5"/>
    <w:rsid w:val="49366D6C"/>
    <w:rsid w:val="493A685C"/>
    <w:rsid w:val="498126DD"/>
    <w:rsid w:val="49830203"/>
    <w:rsid w:val="49851257"/>
    <w:rsid w:val="49BF4FB3"/>
    <w:rsid w:val="49D071C0"/>
    <w:rsid w:val="49D942C7"/>
    <w:rsid w:val="49DB003F"/>
    <w:rsid w:val="49E03229"/>
    <w:rsid w:val="4A314103"/>
    <w:rsid w:val="4A326A73"/>
    <w:rsid w:val="4AD60806"/>
    <w:rsid w:val="4ADA02F6"/>
    <w:rsid w:val="4AEB42B2"/>
    <w:rsid w:val="4AFF1B0B"/>
    <w:rsid w:val="4B06733D"/>
    <w:rsid w:val="4B1A0735"/>
    <w:rsid w:val="4B244232"/>
    <w:rsid w:val="4B3432CA"/>
    <w:rsid w:val="4B481704"/>
    <w:rsid w:val="4B5511F5"/>
    <w:rsid w:val="4B571947"/>
    <w:rsid w:val="4B5A1437"/>
    <w:rsid w:val="4BA95F1B"/>
    <w:rsid w:val="4BAD5A0B"/>
    <w:rsid w:val="4BB40B47"/>
    <w:rsid w:val="4BC62629"/>
    <w:rsid w:val="4BC863A1"/>
    <w:rsid w:val="4BF453E8"/>
    <w:rsid w:val="4C1B0BC7"/>
    <w:rsid w:val="4C39104D"/>
    <w:rsid w:val="4C4D2D4A"/>
    <w:rsid w:val="4C583BC9"/>
    <w:rsid w:val="4C7A3D6D"/>
    <w:rsid w:val="4C7B0B8A"/>
    <w:rsid w:val="4C856040"/>
    <w:rsid w:val="4C8B6254"/>
    <w:rsid w:val="4C9170DB"/>
    <w:rsid w:val="4CB156AB"/>
    <w:rsid w:val="4CB16E35"/>
    <w:rsid w:val="4D057181"/>
    <w:rsid w:val="4D0B0C3B"/>
    <w:rsid w:val="4D183A12"/>
    <w:rsid w:val="4D241CFD"/>
    <w:rsid w:val="4D243AAB"/>
    <w:rsid w:val="4D2A6BE7"/>
    <w:rsid w:val="4D3C7046"/>
    <w:rsid w:val="4D534390"/>
    <w:rsid w:val="4D5819A6"/>
    <w:rsid w:val="4D5A74CD"/>
    <w:rsid w:val="4D8A1A42"/>
    <w:rsid w:val="4DB52955"/>
    <w:rsid w:val="4DBF6525"/>
    <w:rsid w:val="4DC66910"/>
    <w:rsid w:val="4DCD6B91"/>
    <w:rsid w:val="4DEF230B"/>
    <w:rsid w:val="4DF25957"/>
    <w:rsid w:val="4DFB73E9"/>
    <w:rsid w:val="4E192EE4"/>
    <w:rsid w:val="4E1C0C26"/>
    <w:rsid w:val="4E32764D"/>
    <w:rsid w:val="4E375A60"/>
    <w:rsid w:val="4E481A1B"/>
    <w:rsid w:val="4E4B5067"/>
    <w:rsid w:val="4E606D65"/>
    <w:rsid w:val="4E9B1B4B"/>
    <w:rsid w:val="4E9C7431"/>
    <w:rsid w:val="4EA8070C"/>
    <w:rsid w:val="4EF13E61"/>
    <w:rsid w:val="4EF23735"/>
    <w:rsid w:val="4EF676C9"/>
    <w:rsid w:val="4EFE20DA"/>
    <w:rsid w:val="4F1B0EDE"/>
    <w:rsid w:val="4F2A2ECF"/>
    <w:rsid w:val="4F3E697A"/>
    <w:rsid w:val="4F610FE6"/>
    <w:rsid w:val="4F6E3703"/>
    <w:rsid w:val="4F844CD5"/>
    <w:rsid w:val="4F8E6D22"/>
    <w:rsid w:val="4FBA24A4"/>
    <w:rsid w:val="4FC7696F"/>
    <w:rsid w:val="4FDA48F5"/>
    <w:rsid w:val="4FE65048"/>
    <w:rsid w:val="4FF21C3E"/>
    <w:rsid w:val="5019366F"/>
    <w:rsid w:val="501E2A33"/>
    <w:rsid w:val="502B6EFE"/>
    <w:rsid w:val="505521CD"/>
    <w:rsid w:val="50577CF3"/>
    <w:rsid w:val="505E4CC8"/>
    <w:rsid w:val="507F724A"/>
    <w:rsid w:val="50955A64"/>
    <w:rsid w:val="509C1BAA"/>
    <w:rsid w:val="50AB003F"/>
    <w:rsid w:val="50AE7CFD"/>
    <w:rsid w:val="50D47596"/>
    <w:rsid w:val="50E27F05"/>
    <w:rsid w:val="50EA78E1"/>
    <w:rsid w:val="50EF43D0"/>
    <w:rsid w:val="50F02564"/>
    <w:rsid w:val="50F47C38"/>
    <w:rsid w:val="51037E7B"/>
    <w:rsid w:val="512A18AC"/>
    <w:rsid w:val="5139564B"/>
    <w:rsid w:val="514C1822"/>
    <w:rsid w:val="51503FE3"/>
    <w:rsid w:val="51504A3C"/>
    <w:rsid w:val="515D3A2F"/>
    <w:rsid w:val="51600E2A"/>
    <w:rsid w:val="51C4585C"/>
    <w:rsid w:val="51C615D4"/>
    <w:rsid w:val="51C94C21"/>
    <w:rsid w:val="51FA74D0"/>
    <w:rsid w:val="5208541B"/>
    <w:rsid w:val="521D6D1B"/>
    <w:rsid w:val="52241EF0"/>
    <w:rsid w:val="52293911"/>
    <w:rsid w:val="52395B27"/>
    <w:rsid w:val="523C3645"/>
    <w:rsid w:val="525A1D1D"/>
    <w:rsid w:val="527077CF"/>
    <w:rsid w:val="529C3D80"/>
    <w:rsid w:val="529E60AD"/>
    <w:rsid w:val="52A80CDA"/>
    <w:rsid w:val="52E37F64"/>
    <w:rsid w:val="52EF4B5B"/>
    <w:rsid w:val="53116E11"/>
    <w:rsid w:val="53130849"/>
    <w:rsid w:val="5314011E"/>
    <w:rsid w:val="53146370"/>
    <w:rsid w:val="533E33EC"/>
    <w:rsid w:val="536A2433"/>
    <w:rsid w:val="537137C2"/>
    <w:rsid w:val="53915C12"/>
    <w:rsid w:val="53990623"/>
    <w:rsid w:val="53C41B44"/>
    <w:rsid w:val="53C71634"/>
    <w:rsid w:val="53EA0E7E"/>
    <w:rsid w:val="53EE096F"/>
    <w:rsid w:val="53F1045F"/>
    <w:rsid w:val="53F87A3F"/>
    <w:rsid w:val="54023A1B"/>
    <w:rsid w:val="541C372E"/>
    <w:rsid w:val="54240834"/>
    <w:rsid w:val="54467725"/>
    <w:rsid w:val="545033D7"/>
    <w:rsid w:val="54807CC2"/>
    <w:rsid w:val="54843081"/>
    <w:rsid w:val="54890697"/>
    <w:rsid w:val="54996B2C"/>
    <w:rsid w:val="54A0435F"/>
    <w:rsid w:val="54C53DC5"/>
    <w:rsid w:val="54D77655"/>
    <w:rsid w:val="54E57FC4"/>
    <w:rsid w:val="54ED50CA"/>
    <w:rsid w:val="54F441BF"/>
    <w:rsid w:val="550D3076"/>
    <w:rsid w:val="552111CE"/>
    <w:rsid w:val="55382BA4"/>
    <w:rsid w:val="553E1482"/>
    <w:rsid w:val="554967A4"/>
    <w:rsid w:val="55524F2D"/>
    <w:rsid w:val="55544306"/>
    <w:rsid w:val="55824D76"/>
    <w:rsid w:val="55CA0F67"/>
    <w:rsid w:val="55DF0EB7"/>
    <w:rsid w:val="55E262B1"/>
    <w:rsid w:val="55F935FB"/>
    <w:rsid w:val="560B3A5A"/>
    <w:rsid w:val="5616170D"/>
    <w:rsid w:val="561B427B"/>
    <w:rsid w:val="56222B52"/>
    <w:rsid w:val="56282345"/>
    <w:rsid w:val="5641747C"/>
    <w:rsid w:val="56431446"/>
    <w:rsid w:val="566A7A65"/>
    <w:rsid w:val="56757125"/>
    <w:rsid w:val="56944CE8"/>
    <w:rsid w:val="56A4325B"/>
    <w:rsid w:val="56A812A9"/>
    <w:rsid w:val="56A95021"/>
    <w:rsid w:val="56B0015D"/>
    <w:rsid w:val="56D54068"/>
    <w:rsid w:val="56D55E16"/>
    <w:rsid w:val="56DF0A43"/>
    <w:rsid w:val="56E66275"/>
    <w:rsid w:val="57144B90"/>
    <w:rsid w:val="57284198"/>
    <w:rsid w:val="57415259"/>
    <w:rsid w:val="57452F9B"/>
    <w:rsid w:val="575136EE"/>
    <w:rsid w:val="57680A38"/>
    <w:rsid w:val="579161E1"/>
    <w:rsid w:val="57B343A9"/>
    <w:rsid w:val="57E04A72"/>
    <w:rsid w:val="57F66044"/>
    <w:rsid w:val="58354DBE"/>
    <w:rsid w:val="583C439E"/>
    <w:rsid w:val="586E5129"/>
    <w:rsid w:val="5878114F"/>
    <w:rsid w:val="58810003"/>
    <w:rsid w:val="589A2E73"/>
    <w:rsid w:val="58B06B3A"/>
    <w:rsid w:val="58F92290"/>
    <w:rsid w:val="591C7D2C"/>
    <w:rsid w:val="59254E33"/>
    <w:rsid w:val="59277B42"/>
    <w:rsid w:val="592A05A8"/>
    <w:rsid w:val="592E180D"/>
    <w:rsid w:val="593037D7"/>
    <w:rsid w:val="594A2AEB"/>
    <w:rsid w:val="59590F80"/>
    <w:rsid w:val="59682F71"/>
    <w:rsid w:val="596F2552"/>
    <w:rsid w:val="59701E26"/>
    <w:rsid w:val="598002BB"/>
    <w:rsid w:val="59835FFD"/>
    <w:rsid w:val="59C3464B"/>
    <w:rsid w:val="5A132EDD"/>
    <w:rsid w:val="5A1C6A86"/>
    <w:rsid w:val="5A2E7D17"/>
    <w:rsid w:val="5A553892"/>
    <w:rsid w:val="5A5B2AD6"/>
    <w:rsid w:val="5A7E6B61"/>
    <w:rsid w:val="5A7F76B0"/>
    <w:rsid w:val="5A8E07B6"/>
    <w:rsid w:val="5A9D6C4B"/>
    <w:rsid w:val="5AAD1584"/>
    <w:rsid w:val="5AE40D1D"/>
    <w:rsid w:val="5AF96577"/>
    <w:rsid w:val="5B1E0031"/>
    <w:rsid w:val="5B286E5C"/>
    <w:rsid w:val="5B57504B"/>
    <w:rsid w:val="5B5F2152"/>
    <w:rsid w:val="5B8A71CF"/>
    <w:rsid w:val="5B94004E"/>
    <w:rsid w:val="5B953DC6"/>
    <w:rsid w:val="5BAD55B3"/>
    <w:rsid w:val="5BE30FD5"/>
    <w:rsid w:val="5C0F5926"/>
    <w:rsid w:val="5C2C64D8"/>
    <w:rsid w:val="5C5D0D87"/>
    <w:rsid w:val="5C5F065B"/>
    <w:rsid w:val="5C606182"/>
    <w:rsid w:val="5C797243"/>
    <w:rsid w:val="5CA20687"/>
    <w:rsid w:val="5CA442C0"/>
    <w:rsid w:val="5CBC5AAE"/>
    <w:rsid w:val="5CC826A5"/>
    <w:rsid w:val="5CCE57E1"/>
    <w:rsid w:val="5CD32DF8"/>
    <w:rsid w:val="5CD66444"/>
    <w:rsid w:val="5CEC2016"/>
    <w:rsid w:val="5D072AA1"/>
    <w:rsid w:val="5D0E5BDE"/>
    <w:rsid w:val="5D443CF5"/>
    <w:rsid w:val="5D4B5084"/>
    <w:rsid w:val="5D647EF4"/>
    <w:rsid w:val="5DBC7D30"/>
    <w:rsid w:val="5DBF512A"/>
    <w:rsid w:val="5DDC5CDC"/>
    <w:rsid w:val="5DF63241"/>
    <w:rsid w:val="5E0F1C0D"/>
    <w:rsid w:val="5E115985"/>
    <w:rsid w:val="5E23390B"/>
    <w:rsid w:val="5E2356B9"/>
    <w:rsid w:val="5E2558D5"/>
    <w:rsid w:val="5E371164"/>
    <w:rsid w:val="5E60690D"/>
    <w:rsid w:val="5E6E102A"/>
    <w:rsid w:val="5E8545C5"/>
    <w:rsid w:val="5E8F63F5"/>
    <w:rsid w:val="5E904C8E"/>
    <w:rsid w:val="5EB6652D"/>
    <w:rsid w:val="5F3062DF"/>
    <w:rsid w:val="5F427DC1"/>
    <w:rsid w:val="5F443B39"/>
    <w:rsid w:val="5F4973A1"/>
    <w:rsid w:val="5F5C5326"/>
    <w:rsid w:val="5F8E1258"/>
    <w:rsid w:val="5F9E172B"/>
    <w:rsid w:val="5FB32A6C"/>
    <w:rsid w:val="5FC66C44"/>
    <w:rsid w:val="5FD90725"/>
    <w:rsid w:val="5FE1582B"/>
    <w:rsid w:val="5FE5531C"/>
    <w:rsid w:val="5FEA46E0"/>
    <w:rsid w:val="60363DC9"/>
    <w:rsid w:val="603D6F06"/>
    <w:rsid w:val="60402552"/>
    <w:rsid w:val="604858AA"/>
    <w:rsid w:val="6051650D"/>
    <w:rsid w:val="60844B35"/>
    <w:rsid w:val="60917251"/>
    <w:rsid w:val="60964868"/>
    <w:rsid w:val="60B21542"/>
    <w:rsid w:val="60C90799"/>
    <w:rsid w:val="60D64C64"/>
    <w:rsid w:val="60EE6452"/>
    <w:rsid w:val="6131633F"/>
    <w:rsid w:val="61406582"/>
    <w:rsid w:val="614503D3"/>
    <w:rsid w:val="61534507"/>
    <w:rsid w:val="615362B5"/>
    <w:rsid w:val="61551910"/>
    <w:rsid w:val="61646714"/>
    <w:rsid w:val="61C62F2B"/>
    <w:rsid w:val="61D45648"/>
    <w:rsid w:val="61D76EE6"/>
    <w:rsid w:val="61EF2482"/>
    <w:rsid w:val="61FE26C5"/>
    <w:rsid w:val="6217729E"/>
    <w:rsid w:val="62305286"/>
    <w:rsid w:val="62426A55"/>
    <w:rsid w:val="624A3B5C"/>
    <w:rsid w:val="62634C1E"/>
    <w:rsid w:val="626544F2"/>
    <w:rsid w:val="62724E61"/>
    <w:rsid w:val="62922E0D"/>
    <w:rsid w:val="629848C7"/>
    <w:rsid w:val="62B17737"/>
    <w:rsid w:val="62BD60DC"/>
    <w:rsid w:val="62E95123"/>
    <w:rsid w:val="62F13FD7"/>
    <w:rsid w:val="62FF2E1F"/>
    <w:rsid w:val="630F26B0"/>
    <w:rsid w:val="631D6B7A"/>
    <w:rsid w:val="63220635"/>
    <w:rsid w:val="63361661"/>
    <w:rsid w:val="634E142A"/>
    <w:rsid w:val="63502564"/>
    <w:rsid w:val="635D166D"/>
    <w:rsid w:val="638766EA"/>
    <w:rsid w:val="63B03E93"/>
    <w:rsid w:val="63BD2DDA"/>
    <w:rsid w:val="63C60FC0"/>
    <w:rsid w:val="63CD4D62"/>
    <w:rsid w:val="63ED479F"/>
    <w:rsid w:val="64191A38"/>
    <w:rsid w:val="64412D3D"/>
    <w:rsid w:val="64487C27"/>
    <w:rsid w:val="644B15DB"/>
    <w:rsid w:val="64542A70"/>
    <w:rsid w:val="6470717E"/>
    <w:rsid w:val="648275DD"/>
    <w:rsid w:val="649E018F"/>
    <w:rsid w:val="649E0AE5"/>
    <w:rsid w:val="64A5151D"/>
    <w:rsid w:val="64BB664B"/>
    <w:rsid w:val="64C00105"/>
    <w:rsid w:val="64E66B27"/>
    <w:rsid w:val="64FB113D"/>
    <w:rsid w:val="65051FBC"/>
    <w:rsid w:val="652A1A23"/>
    <w:rsid w:val="65393D33"/>
    <w:rsid w:val="655820EC"/>
    <w:rsid w:val="65BB267B"/>
    <w:rsid w:val="65C82364"/>
    <w:rsid w:val="65C94D98"/>
    <w:rsid w:val="660508D8"/>
    <w:rsid w:val="66091638"/>
    <w:rsid w:val="662733F4"/>
    <w:rsid w:val="666D2931"/>
    <w:rsid w:val="666F3B91"/>
    <w:rsid w:val="66703465"/>
    <w:rsid w:val="66E83943"/>
    <w:rsid w:val="66EB5DBD"/>
    <w:rsid w:val="66ED0F5A"/>
    <w:rsid w:val="66ED2D08"/>
    <w:rsid w:val="673E0E8E"/>
    <w:rsid w:val="67650AF0"/>
    <w:rsid w:val="67915D89"/>
    <w:rsid w:val="6793565D"/>
    <w:rsid w:val="67EE6D37"/>
    <w:rsid w:val="68280E74"/>
    <w:rsid w:val="68297D70"/>
    <w:rsid w:val="684E5A28"/>
    <w:rsid w:val="6870599E"/>
    <w:rsid w:val="688431F8"/>
    <w:rsid w:val="68B47F81"/>
    <w:rsid w:val="68C83A2C"/>
    <w:rsid w:val="68DC3034"/>
    <w:rsid w:val="68DE6DAC"/>
    <w:rsid w:val="68ED6FEF"/>
    <w:rsid w:val="68F62348"/>
    <w:rsid w:val="690C3919"/>
    <w:rsid w:val="690F6F65"/>
    <w:rsid w:val="692F7608"/>
    <w:rsid w:val="69540E1C"/>
    <w:rsid w:val="697039CD"/>
    <w:rsid w:val="6974326C"/>
    <w:rsid w:val="697B45FB"/>
    <w:rsid w:val="698C6808"/>
    <w:rsid w:val="69BD10B7"/>
    <w:rsid w:val="69CB5582"/>
    <w:rsid w:val="69CC4E56"/>
    <w:rsid w:val="69D81A4D"/>
    <w:rsid w:val="6A1D3904"/>
    <w:rsid w:val="6A4315BC"/>
    <w:rsid w:val="6A4B221F"/>
    <w:rsid w:val="6A4B66C3"/>
    <w:rsid w:val="6A4D41E9"/>
    <w:rsid w:val="6A687275"/>
    <w:rsid w:val="6A701C86"/>
    <w:rsid w:val="6A7F011B"/>
    <w:rsid w:val="6AA33E09"/>
    <w:rsid w:val="6AB9187F"/>
    <w:rsid w:val="6AD00976"/>
    <w:rsid w:val="6AD14E1A"/>
    <w:rsid w:val="6AFD11F8"/>
    <w:rsid w:val="6AFE3735"/>
    <w:rsid w:val="6B182A49"/>
    <w:rsid w:val="6B2313EE"/>
    <w:rsid w:val="6B27455C"/>
    <w:rsid w:val="6B2A0087"/>
    <w:rsid w:val="6B625A72"/>
    <w:rsid w:val="6B6F018F"/>
    <w:rsid w:val="6B961BC0"/>
    <w:rsid w:val="6BDA5F51"/>
    <w:rsid w:val="6BE0108D"/>
    <w:rsid w:val="6BF608B1"/>
    <w:rsid w:val="6C382C77"/>
    <w:rsid w:val="6C5D623A"/>
    <w:rsid w:val="6C661592"/>
    <w:rsid w:val="6C895281"/>
    <w:rsid w:val="6C9854C4"/>
    <w:rsid w:val="6CA36342"/>
    <w:rsid w:val="6CAE6A95"/>
    <w:rsid w:val="6CB24519"/>
    <w:rsid w:val="6CD04C5E"/>
    <w:rsid w:val="6CD75FEC"/>
    <w:rsid w:val="6CE16E6B"/>
    <w:rsid w:val="6D325918"/>
    <w:rsid w:val="6D392803"/>
    <w:rsid w:val="6D401DE3"/>
    <w:rsid w:val="6D5779A7"/>
    <w:rsid w:val="6D765805"/>
    <w:rsid w:val="6D785A21"/>
    <w:rsid w:val="6D7D3037"/>
    <w:rsid w:val="6DF17581"/>
    <w:rsid w:val="6DF66946"/>
    <w:rsid w:val="6E032E11"/>
    <w:rsid w:val="6E0954E6"/>
    <w:rsid w:val="6E113780"/>
    <w:rsid w:val="6E1640BE"/>
    <w:rsid w:val="6E337B9A"/>
    <w:rsid w:val="6E5D69C5"/>
    <w:rsid w:val="6E6B2E90"/>
    <w:rsid w:val="6E704F7A"/>
    <w:rsid w:val="6E8126B3"/>
    <w:rsid w:val="6E9817AB"/>
    <w:rsid w:val="6ED50C51"/>
    <w:rsid w:val="6EEA46FD"/>
    <w:rsid w:val="6F143527"/>
    <w:rsid w:val="6F213E96"/>
    <w:rsid w:val="6F276E1F"/>
    <w:rsid w:val="6F451933"/>
    <w:rsid w:val="6F887A72"/>
    <w:rsid w:val="6F9E4F4C"/>
    <w:rsid w:val="6FA128E1"/>
    <w:rsid w:val="6FA83C70"/>
    <w:rsid w:val="6FDE2DCD"/>
    <w:rsid w:val="701557A9"/>
    <w:rsid w:val="70184CE1"/>
    <w:rsid w:val="701B2694"/>
    <w:rsid w:val="70207CAA"/>
    <w:rsid w:val="70384FF4"/>
    <w:rsid w:val="70600C74"/>
    <w:rsid w:val="70757FF6"/>
    <w:rsid w:val="70BC5C25"/>
    <w:rsid w:val="7161307A"/>
    <w:rsid w:val="71632544"/>
    <w:rsid w:val="716F2C97"/>
    <w:rsid w:val="71816E6E"/>
    <w:rsid w:val="71B27028"/>
    <w:rsid w:val="71B763EC"/>
    <w:rsid w:val="71D92AF9"/>
    <w:rsid w:val="71F4319C"/>
    <w:rsid w:val="72370F10"/>
    <w:rsid w:val="723839D1"/>
    <w:rsid w:val="724D0AFE"/>
    <w:rsid w:val="725D3437"/>
    <w:rsid w:val="725D6F93"/>
    <w:rsid w:val="72A0401F"/>
    <w:rsid w:val="72BA6194"/>
    <w:rsid w:val="7306587D"/>
    <w:rsid w:val="730F1B13"/>
    <w:rsid w:val="732775A1"/>
    <w:rsid w:val="73357F10"/>
    <w:rsid w:val="734E4B2E"/>
    <w:rsid w:val="737760D3"/>
    <w:rsid w:val="73830C7C"/>
    <w:rsid w:val="73872590"/>
    <w:rsid w:val="73A10D69"/>
    <w:rsid w:val="73FC27DC"/>
    <w:rsid w:val="74003100"/>
    <w:rsid w:val="741E6BF6"/>
    <w:rsid w:val="74201960"/>
    <w:rsid w:val="74264E1B"/>
    <w:rsid w:val="746960C4"/>
    <w:rsid w:val="74DA095D"/>
    <w:rsid w:val="74DB0643"/>
    <w:rsid w:val="74E11747"/>
    <w:rsid w:val="74EC0AA3"/>
    <w:rsid w:val="74F33324"/>
    <w:rsid w:val="74FC6F38"/>
    <w:rsid w:val="74FD05BA"/>
    <w:rsid w:val="753B3395"/>
    <w:rsid w:val="7550337E"/>
    <w:rsid w:val="755C1339"/>
    <w:rsid w:val="75752028"/>
    <w:rsid w:val="757E5B9F"/>
    <w:rsid w:val="759929D8"/>
    <w:rsid w:val="75A5137D"/>
    <w:rsid w:val="75AD3D8E"/>
    <w:rsid w:val="75ED6880"/>
    <w:rsid w:val="760616F0"/>
    <w:rsid w:val="7616585E"/>
    <w:rsid w:val="76206C56"/>
    <w:rsid w:val="764F3097"/>
    <w:rsid w:val="765E32DA"/>
    <w:rsid w:val="766308F1"/>
    <w:rsid w:val="767815C4"/>
    <w:rsid w:val="7682346D"/>
    <w:rsid w:val="768F16E6"/>
    <w:rsid w:val="76C577FD"/>
    <w:rsid w:val="7709593C"/>
    <w:rsid w:val="77196BB4"/>
    <w:rsid w:val="774921DC"/>
    <w:rsid w:val="775070C7"/>
    <w:rsid w:val="77514BED"/>
    <w:rsid w:val="77585F7B"/>
    <w:rsid w:val="77626DFA"/>
    <w:rsid w:val="776A1CF5"/>
    <w:rsid w:val="776B2153"/>
    <w:rsid w:val="776E579F"/>
    <w:rsid w:val="77765568"/>
    <w:rsid w:val="77770AF7"/>
    <w:rsid w:val="778E7BEF"/>
    <w:rsid w:val="77A13DC6"/>
    <w:rsid w:val="77C17FC5"/>
    <w:rsid w:val="784D1858"/>
    <w:rsid w:val="786C7F30"/>
    <w:rsid w:val="789B0725"/>
    <w:rsid w:val="789D27E0"/>
    <w:rsid w:val="789F61E0"/>
    <w:rsid w:val="78A376CA"/>
    <w:rsid w:val="78A84CE1"/>
    <w:rsid w:val="78DC470F"/>
    <w:rsid w:val="78E0091E"/>
    <w:rsid w:val="78FF0DA4"/>
    <w:rsid w:val="79002D6F"/>
    <w:rsid w:val="790A14F7"/>
    <w:rsid w:val="795A247F"/>
    <w:rsid w:val="799C2A97"/>
    <w:rsid w:val="79A100AE"/>
    <w:rsid w:val="79A14136"/>
    <w:rsid w:val="79C913B2"/>
    <w:rsid w:val="79C93160"/>
    <w:rsid w:val="79CC16A6"/>
    <w:rsid w:val="79DC06E9"/>
    <w:rsid w:val="7A096B00"/>
    <w:rsid w:val="7A1326E5"/>
    <w:rsid w:val="7A1B7E60"/>
    <w:rsid w:val="7A1C7734"/>
    <w:rsid w:val="7A287E87"/>
    <w:rsid w:val="7A37631C"/>
    <w:rsid w:val="7A440A39"/>
    <w:rsid w:val="7A4577A2"/>
    <w:rsid w:val="7A57146A"/>
    <w:rsid w:val="7A6A75FE"/>
    <w:rsid w:val="7AA80FC8"/>
    <w:rsid w:val="7AAB074A"/>
    <w:rsid w:val="7AAB7407"/>
    <w:rsid w:val="7AAF05A8"/>
    <w:rsid w:val="7AB20098"/>
    <w:rsid w:val="7ABB0CFB"/>
    <w:rsid w:val="7AF34939"/>
    <w:rsid w:val="7B1D3764"/>
    <w:rsid w:val="7B2F3497"/>
    <w:rsid w:val="7B5353D8"/>
    <w:rsid w:val="7B861CC2"/>
    <w:rsid w:val="7B8D4222"/>
    <w:rsid w:val="7B9559F0"/>
    <w:rsid w:val="7B9F061D"/>
    <w:rsid w:val="7BA94FF8"/>
    <w:rsid w:val="7BC6204D"/>
    <w:rsid w:val="7BF2699E"/>
    <w:rsid w:val="7BFB540A"/>
    <w:rsid w:val="7BFE17E7"/>
    <w:rsid w:val="7C077F70"/>
    <w:rsid w:val="7C105077"/>
    <w:rsid w:val="7C1538D3"/>
    <w:rsid w:val="7C174657"/>
    <w:rsid w:val="7C240B22"/>
    <w:rsid w:val="7C311C4F"/>
    <w:rsid w:val="7C345209"/>
    <w:rsid w:val="7C370855"/>
    <w:rsid w:val="7C594C70"/>
    <w:rsid w:val="7C9E08D4"/>
    <w:rsid w:val="7CA852AF"/>
    <w:rsid w:val="7CAC1243"/>
    <w:rsid w:val="7CB73744"/>
    <w:rsid w:val="7CE0713F"/>
    <w:rsid w:val="7D056BA5"/>
    <w:rsid w:val="7D1C7A4B"/>
    <w:rsid w:val="7D4C20DE"/>
    <w:rsid w:val="7D511DEB"/>
    <w:rsid w:val="7D5316BF"/>
    <w:rsid w:val="7D6733BC"/>
    <w:rsid w:val="7DC11FA3"/>
    <w:rsid w:val="7DCA74A7"/>
    <w:rsid w:val="7DF21A42"/>
    <w:rsid w:val="7DFD162B"/>
    <w:rsid w:val="7DFF4CDE"/>
    <w:rsid w:val="7E096221"/>
    <w:rsid w:val="7E2E7A36"/>
    <w:rsid w:val="7E33504C"/>
    <w:rsid w:val="7E437985"/>
    <w:rsid w:val="7E462228"/>
    <w:rsid w:val="7E492AC2"/>
    <w:rsid w:val="7E5A28D4"/>
    <w:rsid w:val="7E6B0C8A"/>
    <w:rsid w:val="7E861620"/>
    <w:rsid w:val="7E8D0C00"/>
    <w:rsid w:val="7E8F05AD"/>
    <w:rsid w:val="7EAB552B"/>
    <w:rsid w:val="7EB86A12"/>
    <w:rsid w:val="7EB919F5"/>
    <w:rsid w:val="7F032C71"/>
    <w:rsid w:val="7F363046"/>
    <w:rsid w:val="7F4D0405"/>
    <w:rsid w:val="7F65392B"/>
    <w:rsid w:val="7FB448BB"/>
    <w:rsid w:val="7FD50AB1"/>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customStyle="1" w:styleId="3">
    <w:name w:val="列表段落1"/>
    <w:next w:val="1"/>
    <w:qFormat/>
    <w:uiPriority w:val="99"/>
    <w:pPr>
      <w:wordWrap w:val="0"/>
      <w:ind w:left="850"/>
      <w:jc w:val="both"/>
    </w:pPr>
    <w:rPr>
      <w:rFonts w:ascii="Calibri" w:hAnsi="Calibri" w:eastAsia="宋体" w:cs="Calibri"/>
      <w:sz w:val="21"/>
      <w:szCs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11"/>
    <w:basedOn w:val="10"/>
    <w:qFormat/>
    <w:uiPriority w:val="0"/>
    <w:rPr>
      <w:rFonts w:hint="eastAsia" w:ascii="宋体" w:hAnsi="宋体" w:eastAsia="宋体" w:cs="宋体"/>
      <w:color w:val="000000"/>
      <w:sz w:val="24"/>
      <w:szCs w:val="24"/>
      <w:u w:val="none"/>
    </w:rPr>
  </w:style>
  <w:style w:type="character" w:customStyle="1" w:styleId="12">
    <w:name w:val="font01"/>
    <w:basedOn w:val="10"/>
    <w:qFormat/>
    <w:uiPriority w:val="0"/>
    <w:rPr>
      <w:rFonts w:hint="eastAsia" w:ascii="宋体" w:hAnsi="宋体" w:eastAsia="宋体" w:cs="宋体"/>
      <w:b/>
      <w:bCs/>
      <w:color w:val="000000"/>
      <w:sz w:val="24"/>
      <w:szCs w:val="24"/>
      <w:u w:val="none"/>
    </w:rPr>
  </w:style>
  <w:style w:type="character" w:customStyle="1" w:styleId="13">
    <w:name w:val="font81"/>
    <w:basedOn w:val="10"/>
    <w:qFormat/>
    <w:uiPriority w:val="0"/>
    <w:rPr>
      <w:rFonts w:hint="eastAsia" w:ascii="宋体" w:hAnsi="宋体" w:eastAsia="宋体" w:cs="宋体"/>
      <w:color w:val="000000"/>
      <w:sz w:val="22"/>
      <w:szCs w:val="22"/>
      <w:u w:val="single"/>
    </w:rPr>
  </w:style>
  <w:style w:type="character" w:customStyle="1" w:styleId="14">
    <w:name w:val="font91"/>
    <w:basedOn w:val="10"/>
    <w:qFormat/>
    <w:uiPriority w:val="0"/>
    <w:rPr>
      <w:rFonts w:hint="eastAsia" w:ascii="宋体" w:hAnsi="宋体" w:eastAsia="宋体" w:cs="宋体"/>
      <w:b/>
      <w:bCs/>
      <w:color w:val="000000"/>
      <w:sz w:val="32"/>
      <w:szCs w:val="32"/>
      <w:u w:val="single"/>
    </w:rPr>
  </w:style>
  <w:style w:type="character" w:customStyle="1" w:styleId="15">
    <w:name w:val="font2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7193</Words>
  <Characters>7314</Characters>
  <Lines>0</Lines>
  <Paragraphs>0</Paragraphs>
  <TotalTime>36</TotalTime>
  <ScaleCrop>false</ScaleCrop>
  <LinksUpToDate>false</LinksUpToDate>
  <CharactersWithSpaces>8042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2021-04-25T08:25:00Z</dcterms:created>
  <dc:creator>lenovo</dc:creator>
  <cp:lastModifiedBy>霞</cp:lastModifiedBy>
  <cp:lastPrinted>2022-07-07T02:04:00Z</cp:lastPrinted>
  <dcterms:modified xsi:type="dcterms:W3CDTF">2022-07-29T02:21:26Z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7F78B5AD0BFB473B880F37D95E0251D8</vt:lpwstr>
  </property>
</Properties>
</file>