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600" w:lineRule="exact"/>
        <w:ind w:left="0" w:leftChars="0" w:right="0" w:rightChars="0" w:firstLine="1320" w:firstLineChars="300"/>
        <w:textAlignment w:val="auto"/>
        <w:rPr>
          <w:rFonts w:ascii="方正小标宋简体" w:hAnsi="方正小标宋简体" w:eastAsia="方正小标宋简体" w:cs="方正小标宋简体"/>
          <w:color w:val="000000" w:themeColor="text1"/>
          <w:sz w:val="44"/>
          <w:szCs w:val="5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600" w:lineRule="exact"/>
        <w:ind w:left="0" w:leftChars="0" w:right="0" w:rightChars="0" w:firstLine="1320" w:firstLineChars="300"/>
        <w:textAlignment w:val="auto"/>
        <w:rPr>
          <w:rFonts w:ascii="方正小标宋简体" w:hAnsi="方正小标宋简体" w:eastAsia="方正小标宋简体" w:cs="方正小标宋简体"/>
          <w:color w:val="000000" w:themeColor="text1"/>
          <w:sz w:val="44"/>
          <w:szCs w:val="5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600" w:lineRule="exact"/>
        <w:ind w:left="0" w:leftChars="0" w:right="0" w:rightChars="0" w:firstLine="1320" w:firstLineChars="300"/>
        <w:textAlignment w:val="auto"/>
        <w:rPr>
          <w:rFonts w:ascii="方正小标宋简体" w:hAnsi="方正小标宋简体" w:eastAsia="方正小标宋简体" w:cs="方正小标宋简体"/>
          <w:color w:val="000000" w:themeColor="text1"/>
          <w:sz w:val="44"/>
          <w:szCs w:val="5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600" w:lineRule="exact"/>
        <w:ind w:left="0" w:leftChars="0" w:right="0" w:rightChars="0" w:firstLine="1320" w:firstLineChars="300"/>
        <w:textAlignment w:val="auto"/>
        <w:rPr>
          <w:rFonts w:ascii="方正小标宋简体" w:hAnsi="方正小标宋简体" w:eastAsia="方正小标宋简体" w:cs="方正小标宋简体"/>
          <w:color w:val="000000" w:themeColor="text1"/>
          <w:sz w:val="44"/>
          <w:szCs w:val="5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600" w:lineRule="exact"/>
        <w:ind w:left="0" w:leftChars="0" w:right="0" w:rightChars="0" w:firstLine="1320" w:firstLineChars="300"/>
        <w:textAlignment w:val="auto"/>
        <w:rPr>
          <w:rFonts w:ascii="方正小标宋简体" w:hAnsi="方正小标宋简体" w:eastAsia="方正小标宋简体" w:cs="方正小标宋简体"/>
          <w:color w:val="000000" w:themeColor="text1"/>
          <w:sz w:val="44"/>
          <w:szCs w:val="5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600" w:lineRule="exact"/>
        <w:ind w:left="0" w:leftChars="0" w:right="0" w:rightChars="0" w:firstLine="1320" w:firstLineChars="300"/>
        <w:textAlignment w:val="auto"/>
        <w:rPr>
          <w:rFonts w:ascii="方正小标宋简体" w:hAnsi="方正小标宋简体" w:eastAsia="方正小标宋简体" w:cs="方正小标宋简体"/>
          <w:color w:val="000000" w:themeColor="text1"/>
          <w:sz w:val="44"/>
          <w:szCs w:val="5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600" w:lineRule="exact"/>
        <w:ind w:left="0" w:leftChars="0" w:right="0" w:rightChars="0" w:firstLine="2560" w:firstLineChars="8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600" w:lineRule="exact"/>
        <w:ind w:left="0" w:leftChars="0" w:right="0" w:rightChars="0" w:firstLine="2560" w:firstLineChars="8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600" w:lineRule="exact"/>
        <w:ind w:left="0" w:leftChars="0" w:right="0" w:rightChars="0" w:firstLine="2880" w:firstLineChars="900"/>
        <w:textAlignment w:val="auto"/>
        <w:rPr>
          <w:rFonts w:ascii="仿宋_GB2312" w:eastAsia="仿宋_GB2312"/>
          <w:color w:val="000000" w:themeColor="text1"/>
          <w:sz w:val="32"/>
          <w:szCs w:val="32"/>
          <w14:textFill>
            <w14:solidFill>
              <w14:schemeClr w14:val="tx1"/>
            </w14:solidFill>
          </w14:textFill>
        </w:rPr>
      </w:pPr>
      <w:bookmarkStart w:id="0" w:name="_GoBack"/>
      <w:r>
        <w:rPr>
          <w:rFonts w:hint="eastAsia" w:ascii="仿宋_GB2312" w:eastAsia="仿宋_GB2312"/>
          <w:color w:val="000000" w:themeColor="text1"/>
          <w:sz w:val="32"/>
          <w:szCs w:val="32"/>
          <w14:textFill>
            <w14:solidFill>
              <w14:schemeClr w14:val="tx1"/>
            </w14:solidFill>
          </w14:textFill>
        </w:rPr>
        <w:t>眉政办发〔2022〕</w:t>
      </w:r>
      <w:r>
        <w:rPr>
          <w:rFonts w:hint="eastAsia" w:ascii="仿宋_GB2312" w:eastAsia="仿宋_GB2312"/>
          <w:color w:val="000000" w:themeColor="text1"/>
          <w:sz w:val="32"/>
          <w:szCs w:val="32"/>
          <w:lang w:val="en-US" w:eastAsia="zh-CN"/>
          <w14:textFill>
            <w14:solidFill>
              <w14:schemeClr w14:val="tx1"/>
            </w14:solidFill>
          </w14:textFill>
        </w:rPr>
        <w:t>67</w:t>
      </w:r>
      <w:r>
        <w:rPr>
          <w:rFonts w:hint="eastAsia" w:ascii="仿宋_GB2312" w:eastAsia="仿宋_GB2312"/>
          <w:color w:val="000000" w:themeColor="text1"/>
          <w:sz w:val="32"/>
          <w:szCs w:val="32"/>
          <w14:textFill>
            <w14:solidFill>
              <w14:schemeClr w14:val="tx1"/>
            </w14:solidFill>
          </w14:textFill>
        </w:rPr>
        <w:t>号</w:t>
      </w:r>
    </w:p>
    <w:bookmarkEnd w:id="0"/>
    <w:p>
      <w:pPr>
        <w:keepNext w:val="0"/>
        <w:keepLines w:val="0"/>
        <w:pageBreakBefore w:val="0"/>
        <w:widowControl w:val="0"/>
        <w:kinsoku/>
        <w:wordWrap/>
        <w:overflowPunct w:val="0"/>
        <w:topLinePunct w:val="0"/>
        <w:autoSpaceDE/>
        <w:autoSpaceDN/>
        <w:bidi w:val="0"/>
        <w:spacing w:line="600" w:lineRule="exact"/>
        <w:ind w:left="0" w:leftChars="0" w:right="0" w:rightChars="0" w:firstLine="2560" w:firstLineChars="8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jc w:val="center"/>
        <w:textAlignment w:val="auto"/>
        <w:rPr>
          <w:rFonts w:hint="eastAsia" w:ascii="方正小标宋_GBK" w:hAnsi="方正小标宋简体" w:eastAsia="方正小标宋_GBK" w:cs="方正小标宋简体"/>
          <w:snapToGrid w:val="0"/>
          <w:color w:val="000000"/>
          <w:kern w:val="0"/>
          <w:sz w:val="44"/>
          <w:szCs w:val="44"/>
          <w:lang w:eastAsia="zh-Hans"/>
        </w:rPr>
      </w:pPr>
      <w:r>
        <w:rPr>
          <w:rFonts w:hint="eastAsia" w:ascii="方正小标宋简体" w:hAnsi="方正小标宋简体" w:eastAsia="方正小标宋简体" w:cs="方正小标宋简体"/>
          <w:snapToGrid w:val="0"/>
          <w:color w:val="000000"/>
          <w:kern w:val="0"/>
          <w:sz w:val="44"/>
          <w:szCs w:val="44"/>
          <w:lang w:val="en-US" w:eastAsia="zh-CN"/>
        </w:rPr>
        <w:t>眉县</w:t>
      </w:r>
      <w:r>
        <w:rPr>
          <w:rFonts w:hint="eastAsia" w:ascii="方正小标宋简体" w:hAnsi="方正小标宋简体" w:eastAsia="方正小标宋简体" w:cs="方正小标宋简体"/>
          <w:snapToGrid w:val="0"/>
          <w:color w:val="000000"/>
          <w:kern w:val="0"/>
          <w:sz w:val="44"/>
          <w:szCs w:val="44"/>
        </w:rPr>
        <w:t>人民政府办公室</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jc w:val="center"/>
        <w:textAlignment w:val="auto"/>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rPr>
        <w:t>印发《关于实施“五社联动”助力基层治理和乡村振兴的试点工作方案》的通知</w:t>
      </w:r>
    </w:p>
    <w:p>
      <w:pPr>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各镇人民政府、街道办事处;县政府</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工作部门、直属机构：</w:t>
      </w:r>
    </w:p>
    <w:p>
      <w:pPr>
        <w:keepNext w:val="0"/>
        <w:keepLines w:val="0"/>
        <w:pageBreakBefore w:val="0"/>
        <w:widowControl w:val="0"/>
        <w:kinsoku/>
        <w:wordWrap/>
        <w:overflowPunct w:val="0"/>
        <w:topLinePunct w:val="0"/>
        <w:autoSpaceDE/>
        <w:autoSpaceDN/>
        <w:bidi w:val="0"/>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《关于实施“五社联动”助力基层治理和乡村振兴的试点工作方案》已经县政府审议通过，现印发你们,请遵照执行。</w:t>
      </w:r>
    </w:p>
    <w:p>
      <w:pPr>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textAlignment w:val="auto"/>
        <w:rPr>
          <w:rFonts w:hint="eastAsia"/>
        </w:rPr>
      </w:pPr>
    </w:p>
    <w:p>
      <w:pPr>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ind w:left="0" w:leftChars="0" w:right="0" w:rightChars="0"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眉县人民政府办公室</w:t>
      </w:r>
    </w:p>
    <w:p>
      <w:pPr>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2022年1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关于实施“五社联动”助力基层治理和乡村</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振兴的试点工作方案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省市社会工作服务站建设工作要求,发挥社会力量在社区治理中的协同作用,创新社区与社会组织、社会工作者、社区志愿者、社会慈善资源“五社联动”机制,推进基层治理体系和治理能力现代化建设,巩固脱贫攻坚成果，全面助推乡村振兴,按照省市《关于实施“五社联动”助力基层治理和乡村振兴的试点工作方案》文件精神，结合我县实际，制定本方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十九大、十九届历次全会、二十大及习近平总书记来陕考察重要讲话重要指示精神,坚持以人民为中心的发展理念,以社会工作服务站建设为基础,以提升基层民政服务能力为重点,落实乡村振兴任务要求,创新基层治理和服务模式,通过政府购买服务的方式,实施“五社联动”,助力“平安、便利、美丽、幸福”四型社区建设,提高基层治理社会化、专业化水平,推动基层治理能力和服务水平高质量发展。</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二、总体目标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围绕基层治理和乡村振兴，通过“五社联动”试点,提高民生保障服务水平,提升基层综合治理能力,夯实乡村振兴基础,助力常态化疫情防控。到2023年底，每个城镇社区的社会组织达到15个以上, 每个农村社区的社会组织达到5个以上(其中服务性、公益性、互助性社会组织占比超过50%),“社工+志愿者”联动模式得到普遍推广,各类社区活动和志愿服务活动持续化、常态化、规范化。</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三、主要任务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（一）建立社会工作体系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1.县级社会工作服务总站。</w:t>
      </w:r>
      <w:r>
        <w:rPr>
          <w:rFonts w:hint="eastAsia" w:ascii="仿宋_GB2312" w:hAnsi="仿宋_GB2312" w:eastAsia="仿宋_GB2312" w:cs="仿宋_GB2312"/>
          <w:sz w:val="32"/>
          <w:szCs w:val="32"/>
        </w:rPr>
        <w:t>在县民政局设立全县社会工作服务总站，办公面积不少于100平米，配置桌椅、电脑、打印机、档案柜等办公用品。从2022年招录的社区专职工作人员中配备驻站社区专职工作人员不少于3人，其中，专业社工不少于2人。主要负责制定全县“五社联动”年度计划，推进“五社联动”项目实施，指导镇街社会工作服务站规范化建设和服务项目采购,培育发展社工组织、志愿服务组织和社区社会组织,组织镇街社会工作者、社区(村)社会组织成员、志愿服务队伍等一线人员参加培训。协调落实社会工作者奖励激励政策。及时总结试点工作经验做法，联系慈善机构支持“五社联动”的实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2.镇(街)社会工作服务站。</w:t>
      </w:r>
      <w:r>
        <w:rPr>
          <w:rFonts w:hint="eastAsia" w:ascii="仿宋_GB2312" w:hAnsi="仿宋_GB2312" w:eastAsia="仿宋_GB2312" w:cs="仿宋_GB2312"/>
          <w:sz w:val="32"/>
          <w:szCs w:val="32"/>
        </w:rPr>
        <w:t>在各镇街建设社会工作服务站，办公面积不少于60平方米，配置办公室、个案室（心理咨询室）、小组活动室、共享会议室等功能部室， 配备驻站社区专职工作人员不少于3名，其中，专业社工不少于1名。主要负责组织“五社联动”服务项目实施、社区社会组织、社区志愿服务队伍培育,指导社区（村）开展“五社联动”服务项目，落实社区(村)和社区社会组织成员、志愿服务队伍等一线社工专业培训计划，积极链接慈善资源支持“五社联动”实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3.社区(村)社工室。</w:t>
      </w:r>
      <w:r>
        <w:rPr>
          <w:rFonts w:hint="eastAsia" w:ascii="仿宋_GB2312" w:hAnsi="仿宋_GB2312" w:eastAsia="仿宋_GB2312" w:cs="仿宋_GB2312"/>
          <w:sz w:val="32"/>
          <w:szCs w:val="32"/>
        </w:rPr>
        <w:t>办公用房不少于30平方米，配备个案室（心理咨询室）、小组活动室等基本功能部室，主要职能是充分发挥镇街社会工作服务站、社区(村)党群服务中心、新时代文明实践站、社区（村）社会工作室、志愿服务站等基础平台作用,收集群众需求，培育社区社会组织，组织社会工作者联合社区工作者、志愿者等力量，开展“五社联动”，服务居民群众。</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（二）加强社工人才队伍建设</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1.积极培育社会工作服务机构。</w:t>
      </w:r>
      <w:r>
        <w:rPr>
          <w:rFonts w:hint="eastAsia" w:ascii="仿宋_GB2312" w:hAnsi="仿宋_GB2312" w:eastAsia="仿宋_GB2312" w:cs="仿宋_GB2312"/>
          <w:sz w:val="32"/>
          <w:szCs w:val="32"/>
        </w:rPr>
        <w:t>鼓励具备资质、符合条件的组织和企业创办社会工作服务机构，各镇街通过免费提供办公场地、服务场所等方式，支持社会工作服务机构进驻社会工作服务站开展专业服务。2022年底前，试点镇街首善街道培育2个以上社会工作服务机构，其他镇培育1个以上社会工作服务机构，通过聘用或购买服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方式解决社工专业人才不足等问题。</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2.加快社会工作队伍建设。</w:t>
      </w:r>
      <w:r>
        <w:rPr>
          <w:rFonts w:hint="eastAsia" w:ascii="仿宋_GB2312" w:hAnsi="仿宋_GB2312" w:eastAsia="仿宋_GB2312" w:cs="仿宋_GB2312"/>
          <w:sz w:val="32"/>
          <w:szCs w:val="32"/>
        </w:rPr>
        <w:t>县民政局每年对社会工作服务机构开展督导、实务及政策法规培训不少于48课时，引导社区（村）“两委”成员、社区专职工作人员通过教育培训向社工人才转化。鼓励社会工作服务机构根据工作需要聘用持有职业水平证书的社会工作专业人才，各有关镇街要加强城镇社区专职工作人员力量，在镇街工作的城镇社区专职工作人员原则上要回归社区工作岗位，取得社会工作师职业资格的社区专职工作人员应进驻镇街社工站和社区社工室，从事社会服务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3.培育社工专业人才。</w:t>
      </w:r>
      <w:r>
        <w:rPr>
          <w:rFonts w:hint="eastAsia" w:ascii="仿宋_GB2312" w:hAnsi="仿宋_GB2312" w:eastAsia="仿宋_GB2312" w:cs="仿宋_GB2312"/>
          <w:sz w:val="32"/>
          <w:szCs w:val="32"/>
        </w:rPr>
        <w:t>引导基层党员干部、社区（村）工作人员等不同领域的社会工作从业人员，通过参加社会工作专业学历教育或全国社会工作者职业水平考试等方式，加快向社会工作专业人才转化。各级社会工作服务站要采取招聘、转岗等方式，加快社工站专业社工人才培育，形成一支业务精、能力强、成效明显的专业社工人才队伍。</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（三）保障社会工作经费投入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1.落实社会工作运行经费。</w:t>
      </w:r>
      <w:r>
        <w:rPr>
          <w:rFonts w:hint="eastAsia" w:ascii="仿宋_GB2312" w:hAnsi="仿宋_GB2312" w:eastAsia="仿宋_GB2312" w:cs="仿宋_GB2312"/>
          <w:sz w:val="32"/>
          <w:szCs w:val="32"/>
        </w:rPr>
        <w:t>按照《关于加强社会工作专业人才队伍建设的实施意见》（宝市组发〔2014〕22号）文件精神，将社会工作专业人才队伍建设经费纳入县级财政预算，县财政每年用于全县社会工作服务总站经费不少于5万元，镇街社会工作服务站经费不少于2万元，城镇社区社会工作服务室经费不少于1万元，确保全县各级社工站（室）有效运行。</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2.保障购买服务项目资金。</w:t>
      </w:r>
      <w:r>
        <w:rPr>
          <w:rFonts w:hint="eastAsia" w:ascii="仿宋_GB2312" w:hAnsi="仿宋_GB2312" w:eastAsia="仿宋_GB2312" w:cs="仿宋_GB2312"/>
          <w:sz w:val="32"/>
          <w:szCs w:val="32"/>
        </w:rPr>
        <w:t>探索建立以政府购买社会服务为主，企业、个人和慈善基金会捐赠为辅的社会工作</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保障机制。整合困难群众救助、儿童福利、残疾人福利、服务群众专项经费等服务资金</w:t>
      </w:r>
      <w:r>
        <w:rPr>
          <w:rFonts w:hint="eastAsia" w:ascii="仿宋_GB2312" w:hAnsi="仿宋_GB2312" w:eastAsia="仿宋_GB2312" w:cs="仿宋_GB2312"/>
          <w:sz w:val="32"/>
          <w:szCs w:val="32"/>
          <w:lang w:eastAsia="zh-CN"/>
        </w:rPr>
        <w:t>，保障各类服务项目有效实施</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3.建立项目资金管理和评估机制。</w:t>
      </w:r>
      <w:r>
        <w:rPr>
          <w:rFonts w:hint="eastAsia" w:ascii="仿宋_GB2312" w:hAnsi="仿宋_GB2312" w:eastAsia="仿宋_GB2312" w:cs="仿宋_GB2312"/>
          <w:sz w:val="32"/>
          <w:szCs w:val="32"/>
        </w:rPr>
        <w:t>按照政府购买服务有关要求，项目全过程实施绩效管理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科学制定绩效目标和绩效评价指标体系</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综合绩效评价体系，从行政监管、服务成效、社会影响等多个方面进行社会工作专业督导和综合评估，加强资金使用过程日常监管，</w:t>
      </w:r>
      <w:r>
        <w:rPr>
          <w:rFonts w:hint="eastAsia" w:ascii="仿宋_GB2312" w:hAnsi="仿宋_GB2312" w:eastAsia="仿宋_GB2312" w:cs="仿宋_GB2312"/>
          <w:sz w:val="32"/>
          <w:szCs w:val="32"/>
          <w:lang w:eastAsia="zh-CN"/>
        </w:rPr>
        <w:t>确保项目资金安全有效使用</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四、实施步骤</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（一）试点阶段（2022年10月至2023年6月）。</w:t>
      </w:r>
      <w:r>
        <w:rPr>
          <w:rFonts w:hint="eastAsia" w:ascii="仿宋_GB2312" w:hAnsi="仿宋_GB2312" w:eastAsia="仿宋_GB2312" w:cs="仿宋_GB2312"/>
          <w:sz w:val="32"/>
          <w:szCs w:val="32"/>
        </w:rPr>
        <w:t>首善街道作为全市试点，要聚焦社会救助、养老服务、儿童福利、社区治理、社会事务、平安建设、乡村振兴、疫情防控等领域,在滨河、景贤、迎宾、东关4个社区率先开展“五社联动”试点工作，引入社会工作服务机构进驻，加大社区社会组织孵化力度，加强社区志愿服务队伍建设，</w:t>
      </w:r>
      <w:r>
        <w:rPr>
          <w:rFonts w:hint="eastAsia" w:ascii="仿宋_GB2312" w:hAnsi="仿宋_GB2312" w:eastAsia="仿宋_GB2312" w:cs="仿宋_GB2312"/>
          <w:sz w:val="32"/>
          <w:szCs w:val="32"/>
          <w:lang w:val="en-US" w:eastAsia="zh-CN"/>
        </w:rPr>
        <w:t>调度各类</w:t>
      </w:r>
      <w:r>
        <w:rPr>
          <w:rFonts w:hint="eastAsia" w:ascii="仿宋_GB2312" w:hAnsi="仿宋_GB2312" w:eastAsia="仿宋_GB2312" w:cs="仿宋_GB2312"/>
          <w:sz w:val="32"/>
          <w:szCs w:val="32"/>
        </w:rPr>
        <w:t>社会慈善资源，服务社区居民群众，解决社区</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问题。</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（二）全面推广阶段（2023年7月开始）。</w:t>
      </w:r>
      <w:r>
        <w:rPr>
          <w:rFonts w:hint="eastAsia" w:ascii="仿宋_GB2312" w:hAnsi="仿宋_GB2312" w:eastAsia="仿宋_GB2312" w:cs="仿宋_GB2312"/>
          <w:sz w:val="32"/>
          <w:szCs w:val="32"/>
        </w:rPr>
        <w:t>在首善街道试点的基础上总结经验做法,形成可复制、可推广的服务模式。全面推行以城乡社区为平台、社会组织为载体、社会工作者为支撑、社区志愿者为补充、社会慈善资源为辅助的“五社联动”服务机制，助力基层治理体系和治理能力现代化。</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五、工作流程</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1.需求评估。</w:t>
      </w:r>
      <w:r>
        <w:rPr>
          <w:rFonts w:hint="eastAsia" w:ascii="仿宋_GB2312" w:hAnsi="仿宋_GB2312" w:eastAsia="仿宋_GB2312" w:cs="仿宋_GB2312"/>
          <w:sz w:val="32"/>
          <w:szCs w:val="32"/>
        </w:rPr>
        <w:t>各镇街指导社区（村）社工室开展走访调研，征集居民需求，确定服务对象，制定服务项目，报县社会工作服务总站。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2.发布项目。</w:t>
      </w:r>
      <w:r>
        <w:rPr>
          <w:rFonts w:hint="eastAsia" w:ascii="仿宋_GB2312" w:hAnsi="仿宋_GB2312" w:eastAsia="仿宋_GB2312" w:cs="仿宋_GB2312"/>
          <w:sz w:val="32"/>
          <w:szCs w:val="32"/>
        </w:rPr>
        <w:t>县社会工作服务总站对各镇街服务项目进行审核，公开发布服务项目，进行项目招标，邀请由具有资质的社会服务机构承接服务项目。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3.签订协议。</w:t>
      </w:r>
      <w:r>
        <w:rPr>
          <w:rFonts w:hint="eastAsia" w:ascii="仿宋_GB2312" w:hAnsi="仿宋_GB2312" w:eastAsia="仿宋_GB2312" w:cs="仿宋_GB2312"/>
          <w:sz w:val="32"/>
          <w:szCs w:val="32"/>
        </w:rPr>
        <w:t>按照政府购买服务相关要求，与中标的社会工作服务机构签订服务协议。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4.开展服务。</w:t>
      </w:r>
      <w:r>
        <w:rPr>
          <w:rFonts w:hint="eastAsia" w:ascii="仿宋_GB2312" w:hAnsi="仿宋_GB2312" w:eastAsia="仿宋_GB2312" w:cs="仿宋_GB2312"/>
          <w:sz w:val="32"/>
          <w:szCs w:val="32"/>
        </w:rPr>
        <w:t>社会工作服务机构按照协议要求，进驻社工站（室），在专业社工的指导下，发挥社区社会组织和志愿者力量，广泛链接慈善资源开展服务活动。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5.中期督导。</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对各镇街服务开展情况进行效能督导，</w:t>
      </w:r>
      <w:r>
        <w:rPr>
          <w:rFonts w:hint="eastAsia" w:ascii="仿宋_GB2312" w:hAnsi="仿宋_GB2312" w:eastAsia="仿宋_GB2312" w:cs="仿宋_GB2312"/>
          <w:sz w:val="32"/>
          <w:szCs w:val="32"/>
          <w:lang w:eastAsia="zh-CN"/>
        </w:rPr>
        <w:t>确保工作高效开展</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6.评估验收。</w:t>
      </w:r>
      <w:r>
        <w:rPr>
          <w:rFonts w:hint="eastAsia" w:ascii="仿宋_GB2312" w:hAnsi="仿宋_GB2312" w:eastAsia="仿宋_GB2312" w:cs="仿宋_GB2312"/>
          <w:sz w:val="32"/>
          <w:szCs w:val="32"/>
        </w:rPr>
        <w:t>服务项目完成后，</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或聘请第三方</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对项目开展情况进行评估验收，撰写评估报告。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六、保障措施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加强组织领导。</w:t>
      </w:r>
      <w:r>
        <w:rPr>
          <w:rFonts w:hint="eastAsia" w:ascii="仿宋_GB2312" w:hAnsi="仿宋_GB2312" w:eastAsia="仿宋_GB2312" w:cs="仿宋_GB2312"/>
          <w:sz w:val="32"/>
          <w:szCs w:val="32"/>
        </w:rPr>
        <w:t>推进“五社联动”试点和镇街社会工作服务站规范建设,是省市民政事业“十四五”规划的重点任务,也是“十四五”时期社会事业和社会福利发展的方向。各镇街要高度重视，将“五社联动”试点工作纳入党委、政府的重要议事日程,作为加强基层民政工作力量、深化社区治理的重要举措，充分利用现有资源，加大阵地融合力度,整合各方经费，推进镇街社会工作服务站规范建设，逐步实现“五社联动”任务标准化、服务人员社工化、项目实施专业化。</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搭建服务平台。</w:t>
      </w:r>
      <w:r>
        <w:rPr>
          <w:rFonts w:hint="eastAsia" w:ascii="仿宋_GB2312" w:hAnsi="仿宋_GB2312" w:eastAsia="仿宋_GB2312" w:cs="仿宋_GB2312"/>
          <w:sz w:val="32"/>
          <w:szCs w:val="32"/>
        </w:rPr>
        <w:t>各镇街要积极为“五社联动”</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实施搭建服务平台,做好资源统筹和工作协调。</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搭建慈善资源平台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支持设立社区基金会,探索设立募捐项目,推动慈善“幸福家园”村社互助工程实施,有条件的设立社区 (村)慈善超市</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成立镇街社区社会组织联合会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整合镇街团委、妇联、工会、计生协会、慈善协会、老年协会、科协、残协、关工委等各类社区社会组织，成立镇街社区社会组织联合会，进驻镇街社会工作站，开展服务活动</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搭建志愿服务平台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依托新时代文明实践中心、站、所,培育社区志愿服务队伍，开展志愿服务活动。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加大支持力度。</w:t>
      </w:r>
      <w:r>
        <w:rPr>
          <w:rFonts w:hint="eastAsia" w:ascii="仿宋_GB2312" w:hAnsi="仿宋_GB2312" w:eastAsia="仿宋_GB2312" w:cs="仿宋_GB2312"/>
          <w:sz w:val="32"/>
          <w:szCs w:val="32"/>
        </w:rPr>
        <w:t>各镇街要大力支持镇街社会工作服务站和社会组织承接有关购买服务项目，积极</w:t>
      </w:r>
      <w:r>
        <w:rPr>
          <w:rFonts w:hint="eastAsia" w:ascii="仿宋_GB2312" w:hAnsi="仿宋_GB2312" w:eastAsia="仿宋_GB2312" w:cs="仿宋_GB2312"/>
          <w:sz w:val="32"/>
          <w:szCs w:val="32"/>
          <w:lang w:val="en-US" w:eastAsia="zh-CN"/>
        </w:rPr>
        <w:t>整合</w:t>
      </w:r>
      <w:r>
        <w:rPr>
          <w:rFonts w:hint="eastAsia" w:ascii="仿宋_GB2312" w:hAnsi="仿宋_GB2312" w:eastAsia="仿宋_GB2312" w:cs="仿宋_GB2312"/>
          <w:sz w:val="32"/>
          <w:szCs w:val="32"/>
        </w:rPr>
        <w:t>县总工会、县妇联、团县委、县残联等各</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资金,开展群众服务工作。同时，要加大社会慈善资源的对接,鼓励慈善组织设立社区基金,实现资源高效优化配置,促进“五社联动”的实施。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val="0"/>
        <w:topLinePunct w:val="0"/>
        <w:autoSpaceDE/>
        <w:autoSpaceDN/>
        <w:bidi w:val="0"/>
        <w:ind w:left="0" w:leftChars="0" w:right="0" w:righ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3"/>
        <w:keepNext w:val="0"/>
        <w:keepLines w:val="0"/>
        <w:pageBreakBefore w:val="0"/>
        <w:widowControl w:val="0"/>
        <w:pBdr>
          <w:top w:val="single" w:color="auto" w:sz="4" w:space="0"/>
          <w:bottom w:val="single" w:color="auto" w:sz="4" w:space="0"/>
        </w:pBdr>
        <w:kinsoku/>
        <w:wordWrap/>
        <w:overflowPunct w:val="0"/>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眉县人民政府办公室                      2022年11月3日印发</w:t>
      </w:r>
    </w:p>
    <w:sectPr>
      <w:footerReference r:id="rId3" w:type="default"/>
      <w:pgSz w:w="11906" w:h="16838"/>
      <w:pgMar w:top="1417" w:right="1417" w:bottom="1417"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NTBjZDQ2NmRkNTI5ODE2NjU4ZWNkNWQyOGQxZDQifQ=="/>
  </w:docVars>
  <w:rsids>
    <w:rsidRoot w:val="4BBA343B"/>
    <w:rsid w:val="006C0895"/>
    <w:rsid w:val="102072F1"/>
    <w:rsid w:val="115C2CE9"/>
    <w:rsid w:val="15211DD0"/>
    <w:rsid w:val="154220B3"/>
    <w:rsid w:val="202076CF"/>
    <w:rsid w:val="29197E8A"/>
    <w:rsid w:val="292A2BF3"/>
    <w:rsid w:val="2AD35D47"/>
    <w:rsid w:val="2E0B5257"/>
    <w:rsid w:val="2E943E2D"/>
    <w:rsid w:val="2F3445FD"/>
    <w:rsid w:val="34400B61"/>
    <w:rsid w:val="35D55609"/>
    <w:rsid w:val="39675B24"/>
    <w:rsid w:val="47B3692B"/>
    <w:rsid w:val="4BBA343B"/>
    <w:rsid w:val="4D951B8D"/>
    <w:rsid w:val="51323D5A"/>
    <w:rsid w:val="54FF7C5A"/>
    <w:rsid w:val="584723C6"/>
    <w:rsid w:val="5D3C5B48"/>
    <w:rsid w:val="5D651D0A"/>
    <w:rsid w:val="632E28B1"/>
    <w:rsid w:val="660A2E8D"/>
    <w:rsid w:val="6DB9484B"/>
    <w:rsid w:val="6F1E6BEF"/>
    <w:rsid w:val="70436E93"/>
    <w:rsid w:val="7C0531C7"/>
    <w:rsid w:val="7EDA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rPr>
      <w:rFonts w:ascii="Times New Roman" w:hAnsi="Times New Roman" w:eastAsia="楷体_GB2312" w:cs="Times New Roman"/>
      <w:kern w:val="2"/>
      <w:sz w:val="21"/>
      <w:szCs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iaoYinV2"/>
    <w:basedOn w:val="1"/>
    <w:qFormat/>
    <w:uiPriority w:val="0"/>
    <w:rPr>
      <w:rFonts w:ascii="Calibri" w:hAnsi="Calibri"/>
      <w:color w:val="218FC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3582</Words>
  <Characters>3644</Characters>
  <Lines>0</Lines>
  <Paragraphs>0</Paragraphs>
  <TotalTime>8</TotalTime>
  <ScaleCrop>false</ScaleCrop>
  <LinksUpToDate>false</LinksUpToDate>
  <CharactersWithSpaces>3706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2022-11-01T03:47:00Z</dcterms:created>
  <dc:creator>Administrator</dc:creator>
  <cp:lastModifiedBy>Administrator</cp:lastModifiedBy>
  <cp:lastPrinted>2022-11-03T00:22:39Z</cp:lastPrinted>
  <dcterms:modified xsi:type="dcterms:W3CDTF">2022-11-03T00:23:18Z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4C6EC5EC38334FFD962178FB181775C2</vt:lpwstr>
  </property>
</Properties>
</file>