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jc w:val="left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眉政办发〔2022〕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眉县</w:t>
      </w:r>
      <w:r>
        <w:rPr>
          <w:rFonts w:hint="eastAsia" w:ascii="方正小标宋简体" w:eastAsia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落实曾民办代课人员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一次性经济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补偿（生活补贴）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各镇人民政府、街道办事处，县政府各有关工作部门：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《关于落实曾民办代课人员一次性经济补偿（生活补贴）工作的实施方案》已经2022年县政府第17次常务会议同意，现印发给你们，请认真贯彻执行。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</w:t>
      </w:r>
      <w:r>
        <w:rPr>
          <w:rFonts w:hint="eastAsia"/>
          <w:color w:val="000000" w:themeColor="text1"/>
          <w:spacing w:val="0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2022年12月13日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落实曾民办代课人员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一次性经济补偿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（生活补贴）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《国务院办公厅关于解决民办教师问题的通知》、教育部等四部门《关于妥善解决代课教师问题的指导意见》和陕西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《重大事项督办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》等文件精神，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结合实际，制定本方案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顺利实施，成立由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长任组长，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县公安局、县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县人社局、县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信访局及各街镇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负责人为成员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落实曾民办代课人员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问题工作领导小组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。领导小组下设办公室，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办公室设在县教体局，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办公室主任由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县教体局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兼任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二、实施范围和标准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范围为2010年核查登记的曾民办代课人员。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补偿标准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按离职当年最低工资标准计算，不足200元的按200元标准执行。其中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98年（含）以前离职的，每任教一年按照200元标准发放；1999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2000年离职的，每任教一年按照210元标准发放；2001-2003年离职的，每任教一年按照270元标准发放。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实施步骤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第一阶段：政策宣传（12月3日-12月7日）。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通过召开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座谈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、入户走访等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形式，把政策宣传到各镇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、村（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）以及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每位曾民办代课人员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知晓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的范围、条件、依据、标准和步骤等。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第二阶段：核实信息（12月8日-12月18日）。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坚持尊重历史、注重证据、实事求是、积极稳妥的原则，对曾民办代课人员进行全面公开调查核实，确保曾民办代课人员信息准确无误。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完善信息。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曾民办代课人员携带本人身份证、银行卡原件及复印件到本辖区指定地点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（具体地点由各镇街确定）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完善信息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，逾期不再办理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ym w:font="Wingdings" w:char="0081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因身体原因导致本人无法到指定地点完善信息的，需提供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级及以上公立医院出具的近期疾病诊断书，并经村委会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签字盖章，可由直系亲属代办，提供曾民办代课人员本人的银行账号；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身份证号码自然升位的，由公安机关出具证明并加盖公章，证件资料一并收集；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去世的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，需提供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公安机关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出具的死亡证明，由其直系亲属代为办理，并提供代办人的银行卡账号（代办人需提供与被代办人的关系证明且经村委会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政府两级签字盖章后方可代办）。</w:t>
      </w:r>
    </w:p>
    <w:p>
      <w:pPr>
        <w:keepNext w:val="0"/>
        <w:keepLines w:val="0"/>
        <w:pageBreakBefore w:val="0"/>
        <w:widowControl w:val="0"/>
        <w:tabs>
          <w:tab w:val="left" w:pos="74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核实身份。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由县教体局牵头，县人社局、各镇街配合，做好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身份核实，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核对曾民办代课人员的身份信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息和个人银行账户信息，并做好解释工作。</w:t>
      </w:r>
    </w:p>
    <w:p>
      <w:pPr>
        <w:keepNext w:val="0"/>
        <w:keepLines w:val="0"/>
        <w:pageBreakBefore w:val="0"/>
        <w:widowControl w:val="0"/>
        <w:tabs>
          <w:tab w:val="left" w:pos="74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信息汇总。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完成审核后，填写《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曾民办代课人员信息核准汇总表》（见附件，以下简称《汇总表》），《汇总表》一式三份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各镇街、县人社局、县教体局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签字并加盖公章后上报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落实曾民办代课人员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问题工作领导小组办公室。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曾民办代课人员名单由各镇街教育组负责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公示五个工作日，并由本人或代办人签订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一次性经济补偿（生活补贴）承诺书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第三阶段：县级复审（12月19日-12月23日）。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由工作领导小组办公室牵头组织对曾民办代课人员情况《汇总表》名单进行复审，复审结束后，由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、县人社局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在复审《汇总表》上盖章确认。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第四阶段：资金发放（12月24日-12月29日）。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县教体局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负责提供曾民办代课人员名单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银行账户信息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金额，向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所需资金，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金发放至补偿对象个人账户。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四、相关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1.加强组织领导。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和相关部门要高度重视，把解决曾民办代课人员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问题作为当前的一项重要工作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来抓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成立相应的工作领导小组，指派专人做好曾民办代课人员信息的审核工作。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2.明确职责分工。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县教体局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制定曾民办代课人员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工作实施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县教体局牵头，县人社局、各镇街配合，做好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身份核实，任教年限认定；县人社局负责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一次性经济补偿（生活补贴）标准审定；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县财政局负责筹措落实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所需一次性经济补偿（生活补贴）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并做好发放工作；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镇街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做好曾民办代课人员信访稳控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公安局负责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死亡的曾民办代课人员；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信访局负责做好曾民办代课人员来访接访工作，督促协调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各镇街做好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信访稳控。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3.精心组织谋划。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镇街、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各相关部门要摸清情况，将政策宣传到位，精心组织，周密安排。要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以人为本的原则，认真做好曾民办代课人员的信息审核，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不漏一人、不遗留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问题。同时，要耐心细致地做好信访接待工作，加强舆论宣传引导，深入做好思想工作和政策解释。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4.严肃组织纪律。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解决曾民办代课人员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一次性经济补偿（生活补贴）工作时间紧、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政策性强、涉及面广。各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、各相关部门要严格把握好政策，规范管理，严肃工作纪律。对弄虚作假、审核不严、造成不良影响及严重后果的，按照相关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纪律严肃处理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附件：眉县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曾民办代课人员信息核准汇总表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600" w:lineRule="exact"/>
        <w:rPr>
          <w:rFonts w:hint="eastAsia"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600" w:lineRule="exact"/>
        <w:rPr>
          <w:rFonts w:hint="eastAsia"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600" w:lineRule="exact"/>
        <w:rPr>
          <w:rFonts w:hint="eastAsia"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600" w:lineRule="exact"/>
        <w:rPr>
          <w:rFonts w:hint="eastAsia"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FFFFFF"/>
        <w:autoSpaceDE w:val="0"/>
        <w:spacing w:before="0" w:beforeAutospacing="0" w:after="0" w:afterAutospacing="0" w:line="600" w:lineRule="exact"/>
        <w:ind w:left="0" w:leftChars="0" w:right="0" w:rightChars="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7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眉县曾民办代课人员信息核准汇总表</w:t>
      </w:r>
    </w:p>
    <w:tbl>
      <w:tblPr>
        <w:tblStyle w:val="9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70"/>
        <w:gridCol w:w="911"/>
        <w:gridCol w:w="2590"/>
        <w:gridCol w:w="1170"/>
        <w:gridCol w:w="1901"/>
        <w:gridCol w:w="1280"/>
        <w:gridCol w:w="1530"/>
        <w:gridCol w:w="160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5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签字确认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（指纹）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widowControl/>
              <w:autoSpaceDE w:val="0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61" w:right="1440" w:bottom="136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本人确认的需要提供身份证复印件和银行卡复印件；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2.直系亲属代办的须提供代办人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身份证复印件和银行卡复印件，代办人与本人的关系证明须经镇街、村委会（社区）签字盖章（原件），在备注栏注明关系。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FFFFFF"/>
        <w:autoSpaceDE w:val="0"/>
        <w:spacing w:before="0" w:beforeAutospacing="0" w:after="0" w:afterAutospacing="0" w:line="600" w:lineRule="exact"/>
        <w:ind w:left="0" w:leftChars="0" w:right="0" w:rightChars="0" w:firstLine="28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眉县人民政府办公室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2022年12月13日印发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519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4054"/>
    <w:multiLevelType w:val="singleLevel"/>
    <w:tmpl w:val="67FC405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Dc1M2VlZTVlY2Q2NjMzZjRhZWQ3ZWFmNGY4NWIifQ=="/>
  </w:docVars>
  <w:rsids>
    <w:rsidRoot w:val="4B5A284C"/>
    <w:rsid w:val="00B93F2F"/>
    <w:rsid w:val="00EA233A"/>
    <w:rsid w:val="01567C26"/>
    <w:rsid w:val="01A55F55"/>
    <w:rsid w:val="02551A35"/>
    <w:rsid w:val="035D261E"/>
    <w:rsid w:val="03B63E1B"/>
    <w:rsid w:val="03BD5AE4"/>
    <w:rsid w:val="040E6340"/>
    <w:rsid w:val="043F299D"/>
    <w:rsid w:val="04983E5B"/>
    <w:rsid w:val="05ED01D7"/>
    <w:rsid w:val="064B2F90"/>
    <w:rsid w:val="065B15E4"/>
    <w:rsid w:val="06A05BBB"/>
    <w:rsid w:val="07282FAD"/>
    <w:rsid w:val="07292EEA"/>
    <w:rsid w:val="07C5765D"/>
    <w:rsid w:val="08236E3D"/>
    <w:rsid w:val="08357B37"/>
    <w:rsid w:val="086F221B"/>
    <w:rsid w:val="09092E9F"/>
    <w:rsid w:val="09B41737"/>
    <w:rsid w:val="09F45FD8"/>
    <w:rsid w:val="0AE50A49"/>
    <w:rsid w:val="0B536581"/>
    <w:rsid w:val="0B61144B"/>
    <w:rsid w:val="0B730C7A"/>
    <w:rsid w:val="0B7738F3"/>
    <w:rsid w:val="0C6025C3"/>
    <w:rsid w:val="0C655ADA"/>
    <w:rsid w:val="0C69153F"/>
    <w:rsid w:val="0CDB1B16"/>
    <w:rsid w:val="0D1B783B"/>
    <w:rsid w:val="0D246BD4"/>
    <w:rsid w:val="0E2821EA"/>
    <w:rsid w:val="0E647EF4"/>
    <w:rsid w:val="0FF46D31"/>
    <w:rsid w:val="103467A2"/>
    <w:rsid w:val="104363BF"/>
    <w:rsid w:val="1053332C"/>
    <w:rsid w:val="10BB39DE"/>
    <w:rsid w:val="1130408F"/>
    <w:rsid w:val="11C45880"/>
    <w:rsid w:val="11F748B7"/>
    <w:rsid w:val="12584CB9"/>
    <w:rsid w:val="12645280"/>
    <w:rsid w:val="134F427F"/>
    <w:rsid w:val="14827E6E"/>
    <w:rsid w:val="151B4D60"/>
    <w:rsid w:val="152D6842"/>
    <w:rsid w:val="1534197E"/>
    <w:rsid w:val="1568787A"/>
    <w:rsid w:val="15755DA5"/>
    <w:rsid w:val="157A4E18"/>
    <w:rsid w:val="1593416F"/>
    <w:rsid w:val="15BB5BFB"/>
    <w:rsid w:val="16932A41"/>
    <w:rsid w:val="16FC471D"/>
    <w:rsid w:val="1720040C"/>
    <w:rsid w:val="18310307"/>
    <w:rsid w:val="18553ADB"/>
    <w:rsid w:val="18B66EFB"/>
    <w:rsid w:val="1B7A4128"/>
    <w:rsid w:val="1B9B2757"/>
    <w:rsid w:val="1BD010C2"/>
    <w:rsid w:val="1BFF53CF"/>
    <w:rsid w:val="1C0F7209"/>
    <w:rsid w:val="1C224C26"/>
    <w:rsid w:val="1C7A2AA6"/>
    <w:rsid w:val="1C994FF7"/>
    <w:rsid w:val="1CA10F53"/>
    <w:rsid w:val="1D510BB8"/>
    <w:rsid w:val="1DB33B27"/>
    <w:rsid w:val="1DDD23F3"/>
    <w:rsid w:val="1E8515D6"/>
    <w:rsid w:val="1EE24347"/>
    <w:rsid w:val="1F04541F"/>
    <w:rsid w:val="1F7532BF"/>
    <w:rsid w:val="1F7E0DB4"/>
    <w:rsid w:val="201E6120"/>
    <w:rsid w:val="20390790"/>
    <w:rsid w:val="203B1710"/>
    <w:rsid w:val="206155F1"/>
    <w:rsid w:val="20686980"/>
    <w:rsid w:val="20C444FE"/>
    <w:rsid w:val="20FE0E8E"/>
    <w:rsid w:val="212B00D9"/>
    <w:rsid w:val="21AC0453"/>
    <w:rsid w:val="22351E1E"/>
    <w:rsid w:val="226B2567"/>
    <w:rsid w:val="23040BE2"/>
    <w:rsid w:val="24886E7D"/>
    <w:rsid w:val="24AB35B9"/>
    <w:rsid w:val="252A114A"/>
    <w:rsid w:val="25765E4A"/>
    <w:rsid w:val="25997F55"/>
    <w:rsid w:val="263A2B6C"/>
    <w:rsid w:val="2679051E"/>
    <w:rsid w:val="272C6959"/>
    <w:rsid w:val="27497BC2"/>
    <w:rsid w:val="27637EA1"/>
    <w:rsid w:val="27CA714F"/>
    <w:rsid w:val="27F21951"/>
    <w:rsid w:val="280F1E94"/>
    <w:rsid w:val="289A75B0"/>
    <w:rsid w:val="28AE62C8"/>
    <w:rsid w:val="28BB7585"/>
    <w:rsid w:val="28C31F08"/>
    <w:rsid w:val="28D728F5"/>
    <w:rsid w:val="296C3FC3"/>
    <w:rsid w:val="29EAE06C"/>
    <w:rsid w:val="2A403DE3"/>
    <w:rsid w:val="2A517705"/>
    <w:rsid w:val="2AF43358"/>
    <w:rsid w:val="2AFD8871"/>
    <w:rsid w:val="2C0B1233"/>
    <w:rsid w:val="2CC633AC"/>
    <w:rsid w:val="2D151C3D"/>
    <w:rsid w:val="2D76092E"/>
    <w:rsid w:val="2DF420A0"/>
    <w:rsid w:val="2E00644A"/>
    <w:rsid w:val="2E7F7BA9"/>
    <w:rsid w:val="2E9B6172"/>
    <w:rsid w:val="2F285C58"/>
    <w:rsid w:val="2F407445"/>
    <w:rsid w:val="2F884F40"/>
    <w:rsid w:val="2FBE65BC"/>
    <w:rsid w:val="304E38F1"/>
    <w:rsid w:val="308D0462"/>
    <w:rsid w:val="31016A93"/>
    <w:rsid w:val="31190778"/>
    <w:rsid w:val="313E1763"/>
    <w:rsid w:val="315B6138"/>
    <w:rsid w:val="317B4F5A"/>
    <w:rsid w:val="31AE05C2"/>
    <w:rsid w:val="31C115CA"/>
    <w:rsid w:val="31DC5331"/>
    <w:rsid w:val="32053E76"/>
    <w:rsid w:val="326F0104"/>
    <w:rsid w:val="32B61E78"/>
    <w:rsid w:val="333A36F5"/>
    <w:rsid w:val="342004AC"/>
    <w:rsid w:val="342978E4"/>
    <w:rsid w:val="342E7EA6"/>
    <w:rsid w:val="344277E4"/>
    <w:rsid w:val="346F257B"/>
    <w:rsid w:val="34831B82"/>
    <w:rsid w:val="348733A6"/>
    <w:rsid w:val="35853E02"/>
    <w:rsid w:val="35B33DD2"/>
    <w:rsid w:val="367F170F"/>
    <w:rsid w:val="368F41DF"/>
    <w:rsid w:val="36A50271"/>
    <w:rsid w:val="37DDF85A"/>
    <w:rsid w:val="37E8067A"/>
    <w:rsid w:val="38351A9A"/>
    <w:rsid w:val="39A86313"/>
    <w:rsid w:val="3A414072"/>
    <w:rsid w:val="3A575957"/>
    <w:rsid w:val="3A8C0A4A"/>
    <w:rsid w:val="3AA5121F"/>
    <w:rsid w:val="3B1B2B15"/>
    <w:rsid w:val="3B2A0FAA"/>
    <w:rsid w:val="3BFCFFBA"/>
    <w:rsid w:val="3BFD0E3A"/>
    <w:rsid w:val="3CD23D75"/>
    <w:rsid w:val="3CF724B5"/>
    <w:rsid w:val="3DC55328"/>
    <w:rsid w:val="3DD551FD"/>
    <w:rsid w:val="3E223994"/>
    <w:rsid w:val="3E3449F6"/>
    <w:rsid w:val="3F0640DC"/>
    <w:rsid w:val="3F813085"/>
    <w:rsid w:val="3F93711E"/>
    <w:rsid w:val="40236D1D"/>
    <w:rsid w:val="402E2697"/>
    <w:rsid w:val="40330901"/>
    <w:rsid w:val="40703826"/>
    <w:rsid w:val="40860A30"/>
    <w:rsid w:val="41422F0F"/>
    <w:rsid w:val="41D67795"/>
    <w:rsid w:val="41DC4E60"/>
    <w:rsid w:val="41EF0857"/>
    <w:rsid w:val="42B04A1B"/>
    <w:rsid w:val="42DC17C0"/>
    <w:rsid w:val="434A53CF"/>
    <w:rsid w:val="435C016E"/>
    <w:rsid w:val="43ED71D3"/>
    <w:rsid w:val="444255B6"/>
    <w:rsid w:val="449223F5"/>
    <w:rsid w:val="449818C5"/>
    <w:rsid w:val="45581B00"/>
    <w:rsid w:val="45DD3C47"/>
    <w:rsid w:val="45F36B68"/>
    <w:rsid w:val="461E5517"/>
    <w:rsid w:val="46C253B3"/>
    <w:rsid w:val="473C5A42"/>
    <w:rsid w:val="478234F8"/>
    <w:rsid w:val="481E3C44"/>
    <w:rsid w:val="4830703F"/>
    <w:rsid w:val="484C6A03"/>
    <w:rsid w:val="486F44A0"/>
    <w:rsid w:val="487D096B"/>
    <w:rsid w:val="49B455E9"/>
    <w:rsid w:val="49EF7646"/>
    <w:rsid w:val="4A286DF8"/>
    <w:rsid w:val="4A6F69D9"/>
    <w:rsid w:val="4AC87E5D"/>
    <w:rsid w:val="4AEA1DAD"/>
    <w:rsid w:val="4AEF4D63"/>
    <w:rsid w:val="4B5A284C"/>
    <w:rsid w:val="4B5F25AA"/>
    <w:rsid w:val="4C0118B3"/>
    <w:rsid w:val="4C04492D"/>
    <w:rsid w:val="4C2863E2"/>
    <w:rsid w:val="4C2F01CE"/>
    <w:rsid w:val="4D111FCA"/>
    <w:rsid w:val="4D46134F"/>
    <w:rsid w:val="4D6552A8"/>
    <w:rsid w:val="4D7E6F91"/>
    <w:rsid w:val="4DAD0C10"/>
    <w:rsid w:val="4DD36A95"/>
    <w:rsid w:val="4E481DBB"/>
    <w:rsid w:val="4E6B6C6D"/>
    <w:rsid w:val="4E94501B"/>
    <w:rsid w:val="4E9D50B4"/>
    <w:rsid w:val="4F640468"/>
    <w:rsid w:val="4F9E5AC1"/>
    <w:rsid w:val="4FE5027A"/>
    <w:rsid w:val="50421C0E"/>
    <w:rsid w:val="504D156B"/>
    <w:rsid w:val="50531B3F"/>
    <w:rsid w:val="511333F0"/>
    <w:rsid w:val="527A189A"/>
    <w:rsid w:val="52AD62F0"/>
    <w:rsid w:val="532755D2"/>
    <w:rsid w:val="53A72D40"/>
    <w:rsid w:val="53EE4E13"/>
    <w:rsid w:val="54DC74AC"/>
    <w:rsid w:val="54DE28E3"/>
    <w:rsid w:val="54FB77E7"/>
    <w:rsid w:val="5503264A"/>
    <w:rsid w:val="555C20BA"/>
    <w:rsid w:val="55B318A1"/>
    <w:rsid w:val="55BE5768"/>
    <w:rsid w:val="55E262B1"/>
    <w:rsid w:val="560F21B3"/>
    <w:rsid w:val="5751259D"/>
    <w:rsid w:val="579402D5"/>
    <w:rsid w:val="580E5A83"/>
    <w:rsid w:val="587309F1"/>
    <w:rsid w:val="5909638E"/>
    <w:rsid w:val="59146777"/>
    <w:rsid w:val="591A5BE0"/>
    <w:rsid w:val="59451AAD"/>
    <w:rsid w:val="59E454CC"/>
    <w:rsid w:val="59E83CD5"/>
    <w:rsid w:val="5A494550"/>
    <w:rsid w:val="5B1F58B2"/>
    <w:rsid w:val="5BB93F58"/>
    <w:rsid w:val="5C07726A"/>
    <w:rsid w:val="5C60638B"/>
    <w:rsid w:val="5D05124A"/>
    <w:rsid w:val="5E4C4C10"/>
    <w:rsid w:val="5E501EFA"/>
    <w:rsid w:val="5EA93E10"/>
    <w:rsid w:val="5F5A7716"/>
    <w:rsid w:val="5F6A32F3"/>
    <w:rsid w:val="5FA5591B"/>
    <w:rsid w:val="5FB93EA8"/>
    <w:rsid w:val="5FE5356E"/>
    <w:rsid w:val="609B179A"/>
    <w:rsid w:val="616F73F2"/>
    <w:rsid w:val="618B1EF3"/>
    <w:rsid w:val="61F01D56"/>
    <w:rsid w:val="621311F0"/>
    <w:rsid w:val="62145B9F"/>
    <w:rsid w:val="62162102"/>
    <w:rsid w:val="627222A2"/>
    <w:rsid w:val="62744735"/>
    <w:rsid w:val="632A60FE"/>
    <w:rsid w:val="63691DC0"/>
    <w:rsid w:val="63790C5F"/>
    <w:rsid w:val="63932F86"/>
    <w:rsid w:val="63BF675C"/>
    <w:rsid w:val="649D72CC"/>
    <w:rsid w:val="64C162A6"/>
    <w:rsid w:val="654E5711"/>
    <w:rsid w:val="655D4EB1"/>
    <w:rsid w:val="65894D08"/>
    <w:rsid w:val="661E79C9"/>
    <w:rsid w:val="663A283E"/>
    <w:rsid w:val="668B64F1"/>
    <w:rsid w:val="673646AF"/>
    <w:rsid w:val="6778563E"/>
    <w:rsid w:val="67B55F2A"/>
    <w:rsid w:val="69083E29"/>
    <w:rsid w:val="691E5B11"/>
    <w:rsid w:val="696A4CCE"/>
    <w:rsid w:val="69735746"/>
    <w:rsid w:val="69F765FE"/>
    <w:rsid w:val="69FA3040"/>
    <w:rsid w:val="6A070A8D"/>
    <w:rsid w:val="6A3E431C"/>
    <w:rsid w:val="6AA82728"/>
    <w:rsid w:val="6B197532"/>
    <w:rsid w:val="6B8E2D0B"/>
    <w:rsid w:val="6B970455"/>
    <w:rsid w:val="6C5B2D8B"/>
    <w:rsid w:val="6CBC7956"/>
    <w:rsid w:val="6D6DF1D2"/>
    <w:rsid w:val="6DDF1117"/>
    <w:rsid w:val="6E245283"/>
    <w:rsid w:val="6EEE586F"/>
    <w:rsid w:val="6EF58054"/>
    <w:rsid w:val="6F06348D"/>
    <w:rsid w:val="6F244A55"/>
    <w:rsid w:val="6FDE468C"/>
    <w:rsid w:val="70057314"/>
    <w:rsid w:val="70F93FAD"/>
    <w:rsid w:val="71656F9F"/>
    <w:rsid w:val="71A16BC9"/>
    <w:rsid w:val="726723EB"/>
    <w:rsid w:val="73E641AE"/>
    <w:rsid w:val="748A428C"/>
    <w:rsid w:val="74EE27CF"/>
    <w:rsid w:val="75660855"/>
    <w:rsid w:val="75C5155A"/>
    <w:rsid w:val="765E2666"/>
    <w:rsid w:val="768A40CF"/>
    <w:rsid w:val="77215F99"/>
    <w:rsid w:val="772F479D"/>
    <w:rsid w:val="77D25D2E"/>
    <w:rsid w:val="787F328F"/>
    <w:rsid w:val="78F758EA"/>
    <w:rsid w:val="79404F19"/>
    <w:rsid w:val="79524313"/>
    <w:rsid w:val="796E5F2A"/>
    <w:rsid w:val="797572B9"/>
    <w:rsid w:val="797A5C2B"/>
    <w:rsid w:val="79974C6D"/>
    <w:rsid w:val="79A2247A"/>
    <w:rsid w:val="79ED319F"/>
    <w:rsid w:val="7A2D7B93"/>
    <w:rsid w:val="7A352261"/>
    <w:rsid w:val="7ABE58A9"/>
    <w:rsid w:val="7AC303C2"/>
    <w:rsid w:val="7ADB5320"/>
    <w:rsid w:val="7AE06072"/>
    <w:rsid w:val="7B2F3093"/>
    <w:rsid w:val="7B327FE6"/>
    <w:rsid w:val="7BA615A2"/>
    <w:rsid w:val="7BD130BE"/>
    <w:rsid w:val="7BE60A4F"/>
    <w:rsid w:val="7BFE52D4"/>
    <w:rsid w:val="7C644C26"/>
    <w:rsid w:val="7CE54755"/>
    <w:rsid w:val="7CE73665"/>
    <w:rsid w:val="7CF624BE"/>
    <w:rsid w:val="7CFD0ECC"/>
    <w:rsid w:val="7D146342"/>
    <w:rsid w:val="7D4266D0"/>
    <w:rsid w:val="7D5A37F2"/>
    <w:rsid w:val="7DBF7830"/>
    <w:rsid w:val="7E6E2528"/>
    <w:rsid w:val="7EE10109"/>
    <w:rsid w:val="7F4734A5"/>
    <w:rsid w:val="7F5E5495"/>
    <w:rsid w:val="7F863192"/>
    <w:rsid w:val="7F8F7C89"/>
    <w:rsid w:val="7FAC50B6"/>
    <w:rsid w:val="7FB65C06"/>
    <w:rsid w:val="BDF5359F"/>
    <w:rsid w:val="BFF557D7"/>
    <w:rsid w:val="C7B956BB"/>
    <w:rsid w:val="DEF8E510"/>
    <w:rsid w:val="EEDFB37C"/>
    <w:rsid w:val="FAE9714D"/>
    <w:rsid w:val="FAFD1AE7"/>
    <w:rsid w:val="FD297A5F"/>
    <w:rsid w:val="FEC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after="120"/>
      <w:ind w:firstLine="200" w:firstLineChars="200"/>
      <w:jc w:val="both"/>
    </w:pPr>
    <w:rPr>
      <w:rFonts w:ascii="Times New Roman" w:hAnsi="Times New Roman" w:eastAsia="楷体_GB2312" w:cs="Times New Roman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2303</Words>
  <Characters>2379</Characters>
  <Lines>0</Lines>
  <Paragraphs>0</Paragraphs>
  <TotalTime>20</TotalTime>
  <ScaleCrop>false</ScaleCrop>
  <LinksUpToDate>false</LinksUpToDate>
  <CharactersWithSpaces>2421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2021-06-18T08:26:00Z</dcterms:created>
  <dc:creator>秋水伊人</dc:creator>
  <cp:lastModifiedBy>Administrator</cp:lastModifiedBy>
  <cp:lastPrinted>2022-12-13T03:11:08Z</cp:lastPrinted>
  <dcterms:modified xsi:type="dcterms:W3CDTF">2022-12-13T03:11:13Z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EFB58BE462E0414F8D854494D4719FAA</vt:lpwstr>
  </property>
</Properties>
</file>