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 w:val="left" w:pos="8100"/>
        </w:tabs>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olor w:val="auto"/>
          <w:sz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olor w:val="auto"/>
          <w:w w:val="50"/>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880" w:lineRule="exact"/>
        <w:jc w:val="both"/>
        <w:textAlignment w:val="auto"/>
        <w:rPr>
          <w:rFonts w:hint="eastAsia" w:ascii="华文中宋" w:hAnsi="华文中宋" w:eastAsia="华文中宋"/>
          <w:color w:val="auto"/>
          <w:w w:val="5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olor w:val="auto"/>
          <w:w w:val="50"/>
          <w:sz w:val="32"/>
          <w:szCs w:val="32"/>
        </w:rPr>
      </w:pPr>
      <w:r>
        <w:rPr>
          <w:rFonts w:hint="eastAsia" w:ascii="仿宋_GB2312" w:hAnsi="华文中宋" w:eastAsia="仿宋_GB2312"/>
          <w:color w:val="auto"/>
          <w:sz w:val="32"/>
          <w:szCs w:val="32"/>
          <w:lang w:val="en-US" w:eastAsia="zh-CN"/>
        </w:rPr>
        <w:t>眉</w:t>
      </w:r>
      <w:r>
        <w:rPr>
          <w:rFonts w:hint="eastAsia" w:ascii="仿宋_GB2312" w:hAnsi="华文中宋" w:eastAsia="仿宋_GB2312"/>
          <w:color w:val="auto"/>
          <w:sz w:val="32"/>
          <w:szCs w:val="32"/>
        </w:rPr>
        <w:t>政办发〔2023〕</w:t>
      </w:r>
      <w:r>
        <w:rPr>
          <w:rFonts w:hint="eastAsia" w:ascii="仿宋_GB2312" w:hAnsi="华文中宋" w:eastAsia="仿宋_GB2312"/>
          <w:color w:val="auto"/>
          <w:sz w:val="32"/>
          <w:szCs w:val="32"/>
          <w:lang w:val="en-US" w:eastAsia="zh-CN"/>
        </w:rPr>
        <w:t>59</w:t>
      </w:r>
      <w:r>
        <w:rPr>
          <w:rFonts w:hint="eastAsia" w:ascii="仿宋_GB2312" w:hAnsi="华文中宋" w:eastAsia="仿宋_GB2312"/>
          <w:color w:val="auto"/>
          <w:sz w:val="32"/>
          <w:szCs w:val="32"/>
        </w:rPr>
        <w:t>号</w:t>
      </w:r>
    </w:p>
    <w:p>
      <w:pPr>
        <w:pStyle w:val="8"/>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snapToGrid w:val="0"/>
          <w:color w:val="auto"/>
          <w:spacing w:val="2"/>
          <w:sz w:val="44"/>
          <w:szCs w:val="44"/>
          <w:lang w:val="en-US" w:eastAsia="zh-CN"/>
        </w:rPr>
      </w:pP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napToGrid w:val="0"/>
          <w:color w:val="auto"/>
          <w:spacing w:val="2"/>
          <w:sz w:val="44"/>
          <w:szCs w:val="44"/>
        </w:rPr>
      </w:pPr>
      <w:r>
        <w:rPr>
          <w:rFonts w:hint="eastAsia" w:ascii="方正小标宋简体" w:hAnsi="方正小标宋简体" w:eastAsia="方正小标宋简体" w:cs="方正小标宋简体"/>
          <w:snapToGrid w:val="0"/>
          <w:color w:val="auto"/>
          <w:spacing w:val="2"/>
          <w:sz w:val="44"/>
          <w:szCs w:val="44"/>
          <w:lang w:val="en-US" w:eastAsia="zh-CN"/>
        </w:rPr>
        <w:t>眉县</w:t>
      </w:r>
      <w:r>
        <w:rPr>
          <w:rFonts w:hint="eastAsia" w:ascii="方正小标宋简体" w:hAnsi="方正小标宋简体" w:eastAsia="方正小标宋简体" w:cs="方正小标宋简体"/>
          <w:snapToGrid w:val="0"/>
          <w:color w:val="auto"/>
          <w:spacing w:val="2"/>
          <w:sz w:val="44"/>
          <w:szCs w:val="44"/>
        </w:rPr>
        <w:t>人民政府办公室</w:t>
      </w:r>
    </w:p>
    <w:p>
      <w:pPr>
        <w:snapToGrid w:val="0"/>
        <w:spacing w:line="520" w:lineRule="exact"/>
        <w:contextualSpacing/>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关于印发《眉县政务信息化项目建设管理</w:t>
      </w:r>
    </w:p>
    <w:p>
      <w:pPr>
        <w:snapToGrid w:val="0"/>
        <w:spacing w:line="520" w:lineRule="exact"/>
        <w:contextualSpacing/>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办法》的通知</w:t>
      </w:r>
    </w:p>
    <w:p>
      <w:pPr>
        <w:snapToGrid w:val="0"/>
        <w:spacing w:line="520" w:lineRule="exact"/>
        <w:contextualSpacing/>
        <w:rPr>
          <w:rFonts w:ascii="仿宋_GB2312" w:eastAsia="仿宋_GB2312"/>
          <w:color w:val="000000"/>
          <w:sz w:val="32"/>
          <w:szCs w:val="32"/>
        </w:rPr>
      </w:pPr>
    </w:p>
    <w:p>
      <w:pPr>
        <w:snapToGrid w:val="0"/>
        <w:spacing w:line="520" w:lineRule="exact"/>
        <w:contextualSpacing/>
        <w:rPr>
          <w:rFonts w:ascii="仿宋_GB2312" w:eastAsia="仿宋_GB2312"/>
          <w:color w:val="000000"/>
          <w:sz w:val="32"/>
          <w:szCs w:val="32"/>
        </w:rPr>
      </w:pPr>
      <w:r>
        <w:rPr>
          <w:rFonts w:ascii="仿宋_GB2312" w:eastAsia="仿宋_GB2312"/>
          <w:color w:val="000000"/>
          <w:sz w:val="32"/>
          <w:szCs w:val="32"/>
        </w:rPr>
        <w:t>各镇人民政府、街道办事处，县政府各工作部门、各直属机构：</w:t>
      </w:r>
    </w:p>
    <w:p>
      <w:pPr>
        <w:snapToGrid w:val="0"/>
        <w:spacing w:line="52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《眉县政务信息化项目</w:t>
      </w:r>
      <w:r>
        <w:rPr>
          <w:rFonts w:hint="eastAsia" w:ascii="仿宋_GB2312" w:eastAsia="仿宋_GB2312"/>
          <w:color w:val="000000"/>
          <w:spacing w:val="-6"/>
          <w:sz w:val="32"/>
          <w:szCs w:val="32"/>
        </w:rPr>
        <w:t>建设管理办法》已经县政府同意，现印发你们，请</w:t>
      </w:r>
      <w:r>
        <w:rPr>
          <w:rFonts w:hint="eastAsia" w:ascii="仿宋_GB2312" w:eastAsia="仿宋_GB2312"/>
          <w:color w:val="000000"/>
          <w:spacing w:val="-6"/>
          <w:sz w:val="32"/>
          <w:szCs w:val="32"/>
          <w:lang w:eastAsia="zh-CN"/>
        </w:rPr>
        <w:t>遵照执行</w:t>
      </w:r>
      <w:r>
        <w:rPr>
          <w:rFonts w:hint="eastAsia" w:ascii="仿宋_GB2312" w:eastAsia="仿宋_GB2312"/>
          <w:color w:val="000000"/>
          <w:spacing w:val="-6"/>
          <w:sz w:val="32"/>
          <w:szCs w:val="32"/>
        </w:rPr>
        <w:t>。</w:t>
      </w:r>
    </w:p>
    <w:p>
      <w:pPr>
        <w:snapToGrid w:val="0"/>
        <w:spacing w:line="520" w:lineRule="exact"/>
        <w:ind w:firstLine="640" w:firstLineChars="200"/>
        <w:contextualSpacing/>
        <w:rPr>
          <w:rFonts w:hint="eastAsia" w:ascii="仿宋_GB2312" w:eastAsia="仿宋_GB2312"/>
          <w:color w:val="000000"/>
          <w:sz w:val="32"/>
          <w:szCs w:val="32"/>
        </w:rPr>
      </w:pPr>
    </w:p>
    <w:p>
      <w:pPr>
        <w:pStyle w:val="2"/>
        <w:rPr>
          <w:rFonts w:hint="eastAsia"/>
        </w:rPr>
      </w:pPr>
    </w:p>
    <w:p>
      <w:pPr>
        <w:pStyle w:val="12"/>
        <w:spacing w:line="520" w:lineRule="exact"/>
        <w:rPr>
          <w:rFonts w:eastAsia="仿宋_GB2312"/>
        </w:rPr>
      </w:pPr>
    </w:p>
    <w:p>
      <w:pPr>
        <w:snapToGrid w:val="0"/>
        <w:spacing w:line="52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 xml:space="preserve">                        眉县人民政府办公室</w:t>
      </w:r>
    </w:p>
    <w:p>
      <w:pPr>
        <w:snapToGrid w:val="0"/>
        <w:spacing w:line="52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2023年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日</w:t>
      </w:r>
    </w:p>
    <w:p>
      <w:pPr>
        <w:pStyle w:val="2"/>
        <w:rPr>
          <w:rFonts w:hint="eastAsia" w:ascii="仿宋_GB2312" w:eastAsia="仿宋_GB2312"/>
          <w:color w:val="000000"/>
          <w:sz w:val="32"/>
          <w:szCs w:val="32"/>
        </w:rPr>
      </w:pPr>
    </w:p>
    <w:p>
      <w:pPr>
        <w:pStyle w:val="3"/>
        <w:rPr>
          <w:rFonts w:hint="eastAsia" w:ascii="仿宋_GB2312" w:eastAsia="仿宋_GB2312"/>
          <w:color w:val="000000"/>
          <w:sz w:val="32"/>
          <w:szCs w:val="32"/>
        </w:rPr>
      </w:pPr>
    </w:p>
    <w:p>
      <w:pPr>
        <w:rPr>
          <w:rFonts w:hint="eastAsia" w:ascii="仿宋_GB2312" w:eastAsia="仿宋_GB2312"/>
          <w:color w:val="000000"/>
          <w:sz w:val="32"/>
          <w:szCs w:val="32"/>
        </w:rPr>
      </w:pPr>
    </w:p>
    <w:p>
      <w:pPr>
        <w:pStyle w:val="2"/>
        <w:rPr>
          <w:rFonts w:hint="eastAsia"/>
        </w:rPr>
      </w:pPr>
    </w:p>
    <w:p>
      <w:pPr>
        <w:keepNext w:val="0"/>
        <w:keepLines w:val="0"/>
        <w:pageBreakBefore w:val="0"/>
        <w:widowControl w:val="0"/>
        <w:kinsoku/>
        <w:wordWrap/>
        <w:overflowPunct w:val="0"/>
        <w:topLinePunct w:val="0"/>
        <w:autoSpaceDE/>
        <w:autoSpaceDN/>
        <w:bidi w:val="0"/>
        <w:snapToGrid w:val="0"/>
        <w:spacing w:line="560" w:lineRule="exact"/>
        <w:contextualSpacing/>
        <w:jc w:val="center"/>
        <w:textAlignment w:val="auto"/>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眉县政务信息化项目建设管理办法</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p>
    <w:p>
      <w:pPr>
        <w:keepNext w:val="0"/>
        <w:keepLines w:val="0"/>
        <w:pageBreakBefore w:val="0"/>
        <w:widowControl w:val="0"/>
        <w:numPr>
          <w:ilvl w:val="0"/>
          <w:numId w:val="1"/>
        </w:numPr>
        <w:kinsoku/>
        <w:wordWrap/>
        <w:overflowPunct w:val="0"/>
        <w:topLinePunct w:val="0"/>
        <w:autoSpaceDE/>
        <w:autoSpaceDN/>
        <w:bidi w:val="0"/>
        <w:snapToGrid w:val="0"/>
        <w:spacing w:line="560" w:lineRule="exact"/>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总则</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第一条</w:t>
      </w:r>
      <w:r>
        <w:rPr>
          <w:rFonts w:hint="eastAsia" w:ascii="黑体" w:hAnsi="黑体" w:eastAsia="黑体"/>
          <w:color w:val="000000"/>
          <w:sz w:val="32"/>
          <w:szCs w:val="32"/>
        </w:rPr>
        <w:t xml:space="preserve">  </w:t>
      </w:r>
      <w:r>
        <w:rPr>
          <w:rFonts w:hint="eastAsia" w:ascii="仿宋_GB2312" w:eastAsia="仿宋_GB2312"/>
          <w:color w:val="000000"/>
          <w:sz w:val="32"/>
          <w:szCs w:val="32"/>
        </w:rPr>
        <w:t>为进一步规范我县政务信息化项目建设管理，促进互联互通、共建共享、资源整合、业务协同，节约财政资金，避免重复建设，根据国务院办公厅《关于印发国家政务信息化项目建设管理办法的通知》(国办发〔2019〕57号)、《宝鸡市市级政务项目建设管理办法》（宝数建办发</w:t>
      </w:r>
      <w:r>
        <w:rPr>
          <w:rFonts w:hint="eastAsia" w:ascii="仿宋_GB2312" w:hAnsi="仿宋_GB2312" w:eastAsia="仿宋_GB2312" w:cs="仿宋_GB2312"/>
          <w:sz w:val="32"/>
          <w:szCs w:val="32"/>
        </w:rPr>
        <w:t>〔2023〕</w:t>
      </w:r>
      <w:r>
        <w:rPr>
          <w:rFonts w:hint="eastAsia" w:ascii="仿宋_GB2312" w:eastAsia="仿宋_GB2312"/>
          <w:color w:val="000000"/>
          <w:sz w:val="32"/>
          <w:szCs w:val="32"/>
        </w:rPr>
        <w:t>4号）等有关规定要求，结合实际，制定本办法。</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第二条 </w:t>
      </w:r>
      <w:r>
        <w:rPr>
          <w:rFonts w:hint="eastAsia" w:ascii="黑体" w:hAnsi="黑体" w:eastAsia="黑体"/>
          <w:color w:val="000000"/>
          <w:sz w:val="32"/>
          <w:szCs w:val="32"/>
        </w:rPr>
        <w:t xml:space="preserve"> </w:t>
      </w:r>
      <w:r>
        <w:rPr>
          <w:rFonts w:hint="eastAsia" w:ascii="仿宋_GB2312" w:eastAsia="仿宋_GB2312"/>
          <w:color w:val="000000"/>
          <w:sz w:val="32"/>
          <w:szCs w:val="32"/>
        </w:rPr>
        <w:t>本办法适用的政务信息化项目主要包括:县级电子政务网络平台、重点业务信息系统、数据资源库、网络安全基础设施、电子政务基础设施(政务云、数据中心等)、行业智慧应用建设有关项目、数字政府标准化体系以及相关支撑体系等符合《政务信息系统定义和范围》规定的项目。</w:t>
      </w:r>
    </w:p>
    <w:p>
      <w:pPr>
        <w:pStyle w:val="12"/>
        <w:keepNext w:val="0"/>
        <w:keepLines w:val="0"/>
        <w:pageBreakBefore w:val="0"/>
        <w:widowControl w:val="0"/>
        <w:kinsoku/>
        <w:wordWrap/>
        <w:overflowPunct w:val="0"/>
        <w:topLinePunct w:val="0"/>
        <w:autoSpaceDE/>
        <w:autoSpaceDN/>
        <w:bidi w:val="0"/>
        <w:spacing w:line="560" w:lineRule="exact"/>
        <w:jc w:val="both"/>
        <w:textAlignment w:val="auto"/>
        <w:rPr>
          <w:rFonts w:eastAsia="仿宋_GB2312"/>
        </w:rPr>
      </w:pPr>
    </w:p>
    <w:p>
      <w:pPr>
        <w:keepNext w:val="0"/>
        <w:keepLines w:val="0"/>
        <w:pageBreakBefore w:val="0"/>
        <w:widowControl w:val="0"/>
        <w:kinsoku/>
        <w:wordWrap/>
        <w:overflowPunct w:val="0"/>
        <w:topLinePunct w:val="0"/>
        <w:autoSpaceDE/>
        <w:autoSpaceDN/>
        <w:bidi w:val="0"/>
        <w:snapToGrid w:val="0"/>
        <w:spacing w:line="560" w:lineRule="exact"/>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第二章  组织管理</w:t>
      </w:r>
    </w:p>
    <w:p>
      <w:pPr>
        <w:keepNext w:val="0"/>
        <w:keepLines w:val="0"/>
        <w:pageBreakBefore w:val="0"/>
        <w:widowControl w:val="0"/>
        <w:kinsoku/>
        <w:wordWrap/>
        <w:overflowPunct w:val="0"/>
        <w:topLinePunct w:val="0"/>
        <w:autoSpaceDE/>
        <w:autoSpaceDN/>
        <w:bidi w:val="0"/>
        <w:snapToGrid w:val="0"/>
        <w:spacing w:line="560" w:lineRule="exact"/>
        <w:ind w:firstLine="599" w:firstLineChars="200"/>
        <w:contextualSpacing/>
        <w:textAlignment w:val="auto"/>
        <w:rPr>
          <w:rFonts w:ascii="仿宋_GB2312" w:eastAsia="仿宋_GB2312"/>
          <w:color w:val="000000"/>
          <w:spacing w:val="-11"/>
          <w:sz w:val="32"/>
          <w:szCs w:val="32"/>
        </w:rPr>
      </w:pPr>
      <w:r>
        <w:rPr>
          <w:rFonts w:hint="eastAsia" w:ascii="楷体_GB2312" w:hAnsi="楷体_GB2312" w:eastAsia="楷体_GB2312" w:cs="楷体_GB2312"/>
          <w:b/>
          <w:bCs/>
          <w:color w:val="000000"/>
          <w:spacing w:val="-11"/>
          <w:sz w:val="32"/>
          <w:szCs w:val="32"/>
        </w:rPr>
        <w:t xml:space="preserve">第三条  </w:t>
      </w:r>
      <w:r>
        <w:rPr>
          <w:rFonts w:hint="eastAsia" w:ascii="仿宋_GB2312" w:eastAsia="仿宋_GB2312"/>
          <w:color w:val="000000"/>
          <w:spacing w:val="-11"/>
          <w:sz w:val="32"/>
          <w:szCs w:val="32"/>
          <w:lang w:eastAsia="zh-CN"/>
        </w:rPr>
        <w:t>数字政府智慧眉县建设工作领导小组</w:t>
      </w:r>
      <w:r>
        <w:rPr>
          <w:rFonts w:hint="eastAsia" w:ascii="仿宋_GB2312" w:eastAsia="仿宋_GB2312"/>
          <w:color w:val="000000"/>
          <w:spacing w:val="-11"/>
          <w:sz w:val="32"/>
          <w:szCs w:val="32"/>
        </w:rPr>
        <w:t>(以下简称领导小组)是全县政务信息化项目管理工作的领导机构。领导小组下设办公室，办公室设在县数字化信息服务中心(以下统一称:县信息中心)。</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在</w:t>
      </w:r>
      <w:r>
        <w:rPr>
          <w:rFonts w:hint="eastAsia" w:ascii="仿宋_GB2312" w:eastAsia="仿宋_GB2312"/>
          <w:color w:val="000000"/>
          <w:sz w:val="32"/>
          <w:szCs w:val="32"/>
          <w:lang w:eastAsia="zh-CN"/>
        </w:rPr>
        <w:t>数字政府智慧眉县建设工作领导小组</w:t>
      </w:r>
      <w:r>
        <w:rPr>
          <w:rFonts w:hint="eastAsia" w:ascii="仿宋_GB2312" w:eastAsia="仿宋_GB2312"/>
          <w:color w:val="000000"/>
          <w:sz w:val="32"/>
          <w:szCs w:val="32"/>
        </w:rPr>
        <w:t>统一领导下，县信</w:t>
      </w:r>
      <w:r>
        <w:rPr>
          <w:rFonts w:hint="eastAsia" w:ascii="仿宋_GB2312" w:eastAsia="仿宋_GB2312"/>
          <w:color w:val="000000"/>
          <w:spacing w:val="-6"/>
          <w:sz w:val="32"/>
          <w:szCs w:val="32"/>
        </w:rPr>
        <w:t>息中心会同县发改局、</w:t>
      </w:r>
      <w:r>
        <w:rPr>
          <w:rFonts w:hint="eastAsia" w:ascii="仿宋_GB2312" w:eastAsia="仿宋_GB2312"/>
          <w:color w:val="000000"/>
          <w:spacing w:val="-6"/>
          <w:sz w:val="32"/>
          <w:szCs w:val="32"/>
          <w:lang w:eastAsia="zh-CN"/>
        </w:rPr>
        <w:t>商务和工业信息化局、</w:t>
      </w:r>
      <w:r>
        <w:rPr>
          <w:rFonts w:hint="eastAsia" w:ascii="仿宋_GB2312" w:eastAsia="仿宋_GB2312"/>
          <w:color w:val="000000"/>
          <w:spacing w:val="-6"/>
          <w:sz w:val="32"/>
          <w:szCs w:val="32"/>
        </w:rPr>
        <w:t>财政局、审计局、项目建设单位等有关部门(单位)建立县级政务信息化项目管理协商机制，开展政务信息化项目审批、监管、验收，强化统筹协调和监督管理，按照各自职责协同做好政务信息化项目管理相关工作。</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县信息中心负责全县政务信息化项目规划建设管理工作，组织开展全县政务信息化建设规划(计划)、县级项目建设方案评审，牵头编制年度政务信息化项目建设计划，统筹推进阶段、年度政务信息化项目建设、数据共享、安全检查等工作。</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hint="eastAsia" w:ascii="仿宋_GB2312" w:eastAsia="仿宋_GB2312"/>
          <w:color w:val="000000"/>
          <w:sz w:val="32"/>
          <w:szCs w:val="32"/>
        </w:rPr>
      </w:pPr>
      <w:r>
        <w:rPr>
          <w:rFonts w:hint="eastAsia" w:ascii="仿宋_GB2312" w:eastAsia="仿宋_GB2312"/>
          <w:color w:val="000000"/>
          <w:sz w:val="32"/>
          <w:szCs w:val="32"/>
        </w:rPr>
        <w:t>县发改局负责政务信息化项目立项审批工作；配合县级部门积极争取国家、省、市政务信息化类项目建设资金。</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县商务和工业信息化局负责企业转型升级及技改类信息化项目的审核，配合企业积极争取国家、省、市技改信息化类目建设资金及县财政奖补资金。</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县财政局负责县级政务信息化项目年度专项资金预算列支，做好资金的监管工作;负责政务信息化项目事前预算评审、绩效评估和政府采购监管。</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县审计局负责政务信息化项目审计监督工作。</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项目建设单位负责本部门(本行业)政务信息化项目体系化管理，并按照陕西省公共资源交易有关法规政策要求，到公共资源交易平台开展交易。项目建设单位法人为项目建设的第一责任人，对项目立项、进度实施、建设质量及资金管理等工作总负责。项目建设单位要负责项目规划(计划)申报、建设管理、竣工验收、安全保密，以及数据资源共享等工作。</w:t>
      </w:r>
    </w:p>
    <w:p>
      <w:pPr>
        <w:keepNext w:val="0"/>
        <w:keepLines w:val="0"/>
        <w:pageBreakBefore w:val="0"/>
        <w:widowControl w:val="0"/>
        <w:kinsoku/>
        <w:wordWrap/>
        <w:overflowPunct w:val="0"/>
        <w:topLinePunct w:val="0"/>
        <w:autoSpaceDE/>
        <w:autoSpaceDN/>
        <w:bidi w:val="0"/>
        <w:snapToGrid w:val="0"/>
        <w:spacing w:line="560" w:lineRule="exact"/>
        <w:contextualSpacing/>
        <w:textAlignment w:val="auto"/>
        <w:rPr>
          <w:rFonts w:ascii="黑体" w:hAnsi="黑体" w:eastAsia="黑体"/>
          <w:color w:val="000000"/>
          <w:sz w:val="32"/>
          <w:szCs w:val="32"/>
        </w:rPr>
      </w:pPr>
    </w:p>
    <w:p>
      <w:pPr>
        <w:keepNext w:val="0"/>
        <w:keepLines w:val="0"/>
        <w:pageBreakBefore w:val="0"/>
        <w:widowControl w:val="0"/>
        <w:kinsoku/>
        <w:wordWrap/>
        <w:overflowPunct w:val="0"/>
        <w:topLinePunct w:val="0"/>
        <w:autoSpaceDE/>
        <w:autoSpaceDN/>
        <w:bidi w:val="0"/>
        <w:snapToGrid w:val="0"/>
        <w:spacing w:line="560" w:lineRule="exact"/>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第三章  统筹共享</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第四条 </w:t>
      </w:r>
      <w:r>
        <w:rPr>
          <w:rFonts w:hint="eastAsia" w:ascii="仿宋_GB2312" w:eastAsia="仿宋_GB2312"/>
          <w:color w:val="000000"/>
          <w:sz w:val="32"/>
          <w:szCs w:val="32"/>
        </w:rPr>
        <w:t>县级政务信息化项目建设遵循“统筹规划、共建共享、业务协同、安全可靠”的要求，严格落实“不规划不建设、不计划(备案)不审核、不审批不列资金、不共享不验收”的原则，须依托全县统一的政务云、电子政务外网、互联网、数眉运营管理中心平台、公共应用支撑体系等开展非涉密政务信息化项目集约化建设。</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第五条 </w:t>
      </w:r>
      <w:r>
        <w:rPr>
          <w:rFonts w:hint="eastAsia" w:ascii="仿宋_GB2312" w:eastAsia="仿宋_GB2312"/>
          <w:color w:val="000000"/>
          <w:sz w:val="32"/>
          <w:szCs w:val="32"/>
        </w:rPr>
        <w:t>各镇街、部门(单位)编制行业发展规划(计划)涉及数字政府建设、政务信息化的，应当与国家、省、市、县级政务信息化建设规划相符合、相衔接。实施的升级政务信息化项目应符合国家政务信息化规划、省市县数字政府建设规划要求，以及国家、行业及规定的强制性标准规范、规章。</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第六条 </w:t>
      </w:r>
      <w:r>
        <w:rPr>
          <w:rFonts w:hint="eastAsia" w:ascii="仿宋_GB2312" w:eastAsia="仿宋_GB2312"/>
          <w:color w:val="000000"/>
          <w:sz w:val="32"/>
          <w:szCs w:val="32"/>
        </w:rPr>
        <w:t>除法律法规有明确规定外，严格遵循“共享为原则、不共享为例外”，政务信息化项目应进行数据共享，接入数字眉县运营管理平台。强化政务数据的规划、开发共享和利用，建立政务数据共享长效机制和共享数据使用情况反馈机制，确保政务数据共享，不得将应普遍共享的政务数据仅向特定单位或组织开放。</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涉及国家秘密和安全的政务数据共享，提供和使用部门(单位)应当遵守相关法律法规规定。</w:t>
      </w:r>
    </w:p>
    <w:p>
      <w:pPr>
        <w:pStyle w:val="12"/>
        <w:keepNext w:val="0"/>
        <w:keepLines w:val="0"/>
        <w:pageBreakBefore w:val="0"/>
        <w:widowControl w:val="0"/>
        <w:kinsoku/>
        <w:wordWrap/>
        <w:overflowPunct w:val="0"/>
        <w:topLinePunct w:val="0"/>
        <w:autoSpaceDE/>
        <w:autoSpaceDN/>
        <w:bidi w:val="0"/>
        <w:spacing w:line="560" w:lineRule="exact"/>
        <w:textAlignment w:val="auto"/>
        <w:rPr>
          <w:rFonts w:eastAsia="仿宋_GB2312"/>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第四章  项目申报</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第七条</w:t>
      </w:r>
      <w:r>
        <w:rPr>
          <w:rFonts w:hint="eastAsia" w:ascii="黑体" w:hAnsi="黑体" w:eastAsia="黑体"/>
          <w:color w:val="000000"/>
          <w:sz w:val="32"/>
          <w:szCs w:val="32"/>
        </w:rPr>
        <w:t xml:space="preserve">  </w:t>
      </w:r>
      <w:r>
        <w:rPr>
          <w:rFonts w:hint="eastAsia" w:ascii="仿宋_GB2312" w:eastAsia="仿宋_GB2312"/>
          <w:color w:val="000000"/>
          <w:sz w:val="32"/>
          <w:szCs w:val="32"/>
        </w:rPr>
        <w:t>各镇街、部门(单位)根据政务信息化有关规划、单位需求实际，提出项目年度计划、申报材料; 拟实施的建设类政务信息化项目计划预算金额不超过20万元的(含20万元)，报县信息中心，由县信息中心会同县发改局、财政局进行联合审核，提出审核意见，报领导小组审定，经领导小组审定后，</w:t>
      </w:r>
      <w:r>
        <w:rPr>
          <w:rFonts w:hint="eastAsia" w:ascii="仿宋_GB2312" w:eastAsia="仿宋_GB2312"/>
          <w:color w:val="000000"/>
          <w:spacing w:val="-6"/>
          <w:sz w:val="32"/>
          <w:szCs w:val="32"/>
        </w:rPr>
        <w:t>由县财政局下达预算指标，项目建设单位按程序报县发改局办理立项手续，完成后组织实施。超过20万元的，由县信息中心提交市数字经济局审核指导，经审核后提出建设意见，再按照县上的项目审核程序执行。涉密项目管理按照国家有关保密规定执行。</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已在国家、省级完成项目申报和审批的全额上级拨款政务信息化项目，依据县政府项目决策程序办理，并向县信息中心进行申报备案，纳入数据资产平台、技术支撑等保障体系。</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第八条</w:t>
      </w:r>
      <w:r>
        <w:rPr>
          <w:rFonts w:hint="eastAsia" w:ascii="黑体" w:hAnsi="黑体" w:eastAsia="黑体"/>
          <w:color w:val="000000"/>
          <w:sz w:val="32"/>
          <w:szCs w:val="32"/>
        </w:rPr>
        <w:t xml:space="preserve"> </w:t>
      </w:r>
      <w:r>
        <w:rPr>
          <w:rFonts w:hint="eastAsia" w:ascii="仿宋_GB2312" w:eastAsia="仿宋_GB2312"/>
          <w:color w:val="000000"/>
          <w:sz w:val="32"/>
          <w:szCs w:val="32"/>
        </w:rPr>
        <w:t>项目申报材料主要包括以下内容:</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(一) 基本情况。包括项目名称、项目单位、主要任务、建设地点、项目建设依据和必要性、项目绩效目标，拟采用实施方式 (自行建设或购买服务)及主要原因等。</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(二) 技术方案。建设类项目提交项目可行性研究报告、初</w:t>
      </w:r>
      <w:r>
        <w:rPr>
          <w:rFonts w:hint="eastAsia" w:ascii="仿宋_GB2312" w:eastAsia="仿宋_GB2312"/>
          <w:color w:val="000000"/>
          <w:spacing w:val="-6"/>
          <w:sz w:val="32"/>
          <w:szCs w:val="32"/>
        </w:rPr>
        <w:t>步设计、建设方案(详细设计)。初步设计用于项目立项审批，申报时只提交可行性研究报告、建设方案(详细设计)，需包括集约化建设、数据资源共享分析、等级保护或分级保护、密码应用、软硬件产品的安全可靠情况等内容</w:t>
      </w:r>
      <w:r>
        <w:rPr>
          <w:rFonts w:hint="eastAsia" w:ascii="仿宋_GB2312" w:eastAsia="仿宋_GB2312"/>
          <w:color w:val="000000"/>
          <w:spacing w:val="-6"/>
          <w:sz w:val="32"/>
          <w:szCs w:val="32"/>
          <w:lang w:eastAsia="zh-CN"/>
        </w:rPr>
        <w:t>；</w:t>
      </w:r>
      <w:r>
        <w:rPr>
          <w:rFonts w:hint="eastAsia" w:ascii="仿宋_GB2312" w:eastAsia="仿宋_GB2312"/>
          <w:color w:val="000000"/>
          <w:spacing w:val="-6"/>
          <w:sz w:val="32"/>
          <w:szCs w:val="32"/>
        </w:rPr>
        <w:t>运维类项目提交运维实施方案。</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第九条</w:t>
      </w:r>
      <w:r>
        <w:rPr>
          <w:rFonts w:hint="eastAsia" w:ascii="仿宋_GB2312" w:eastAsia="仿宋_GB2312"/>
          <w:color w:val="000000"/>
          <w:sz w:val="32"/>
          <w:szCs w:val="32"/>
        </w:rPr>
        <w:t xml:space="preserve"> 原则上不予支持的项目: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(一)新建或扩建非涉密机房、数据中心、私有云平台等硬件设施采购的项目;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(二)互联网出口的线路租赁项目和未整合到电子政务外网的专网租赁项目;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(三)新建或扩建非共建共享共用的基础设施、公共支撑、数据资源等基础支撑类项目;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(四)不接入数字眉县运营管理平台的政务服务、公共服务、决策分析、社会治理、政府监管、环境保护、市场调节类项目;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(五)不应用安全可靠产品的政务信息系统;</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(六)不符合密码应用和网络安全要求，或者存在重大安全隐患的政务信息系统;</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(七)需求或绩效目标不明确、内部系统整合不到位、数据共享要求落实不到位的项目;</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(九)原项目尚未竣工验收的升级改造类项目。</w:t>
      </w:r>
    </w:p>
    <w:p>
      <w:pPr>
        <w:keepNext w:val="0"/>
        <w:keepLines w:val="0"/>
        <w:pageBreakBefore w:val="0"/>
        <w:widowControl w:val="0"/>
        <w:kinsoku/>
        <w:wordWrap/>
        <w:overflowPunct w:val="0"/>
        <w:topLinePunct w:val="0"/>
        <w:autoSpaceDE/>
        <w:autoSpaceDN/>
        <w:bidi w:val="0"/>
        <w:snapToGrid w:val="0"/>
        <w:spacing w:line="560" w:lineRule="exact"/>
        <w:ind w:firstLine="619" w:firstLineChars="200"/>
        <w:contextualSpacing/>
        <w:textAlignment w:val="auto"/>
        <w:rPr>
          <w:rFonts w:ascii="仿宋_GB2312" w:eastAsia="仿宋_GB2312"/>
          <w:color w:val="000000"/>
          <w:spacing w:val="-6"/>
          <w:sz w:val="32"/>
          <w:szCs w:val="32"/>
        </w:rPr>
      </w:pPr>
      <w:r>
        <w:rPr>
          <w:rFonts w:hint="eastAsia" w:ascii="楷体_GB2312" w:hAnsi="楷体_GB2312" w:eastAsia="楷体_GB2312" w:cs="楷体_GB2312"/>
          <w:b/>
          <w:bCs/>
          <w:color w:val="000000"/>
          <w:spacing w:val="-6"/>
          <w:sz w:val="32"/>
          <w:szCs w:val="32"/>
        </w:rPr>
        <w:t xml:space="preserve">第十条 </w:t>
      </w:r>
      <w:r>
        <w:rPr>
          <w:rFonts w:hint="eastAsia" w:ascii="仿宋_GB2312" w:eastAsia="仿宋_GB2312"/>
          <w:color w:val="000000"/>
          <w:spacing w:val="-6"/>
          <w:sz w:val="32"/>
          <w:szCs w:val="32"/>
        </w:rPr>
        <w:t>县级政务信息化项目原则上不再进行节能评估、规划选址、用地预审等审批，涉及新建土建工程、高能耗项目的除外。</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第十一条</w:t>
      </w:r>
      <w:r>
        <w:rPr>
          <w:rFonts w:hint="eastAsia" w:ascii="黑体" w:hAnsi="黑体" w:eastAsia="黑体"/>
          <w:color w:val="000000"/>
          <w:sz w:val="32"/>
          <w:szCs w:val="32"/>
        </w:rPr>
        <w:t xml:space="preserve"> </w:t>
      </w:r>
      <w:r>
        <w:rPr>
          <w:rFonts w:hint="eastAsia" w:ascii="仿宋_GB2312" w:eastAsia="仿宋_GB2312"/>
          <w:color w:val="000000"/>
          <w:sz w:val="32"/>
          <w:szCs w:val="32"/>
        </w:rPr>
        <w:t>符合政府购买服务的政务信息化项目可按照《中华人民共和国政府采购法》《政府购买服务管理办法》等相关要求执行。鼓励项目建设单位探索使用代建制，参照《陕西省省直政府投资项目代建制管理办法(试行)》相关规定执行。</w:t>
      </w:r>
    </w:p>
    <w:p>
      <w:pPr>
        <w:pStyle w:val="12"/>
        <w:keepNext w:val="0"/>
        <w:keepLines w:val="0"/>
        <w:pageBreakBefore w:val="0"/>
        <w:widowControl w:val="0"/>
        <w:kinsoku/>
        <w:wordWrap/>
        <w:overflowPunct w:val="0"/>
        <w:topLinePunct w:val="0"/>
        <w:autoSpaceDE/>
        <w:autoSpaceDN/>
        <w:bidi w:val="0"/>
        <w:spacing w:line="560" w:lineRule="exact"/>
        <w:textAlignment w:val="auto"/>
        <w:rPr>
          <w:rFonts w:eastAsia="仿宋_GB2312"/>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第五章  项目建设</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第十二条 </w:t>
      </w:r>
      <w:r>
        <w:rPr>
          <w:rFonts w:hint="eastAsia" w:ascii="仿宋_GB2312" w:eastAsia="仿宋_GB2312"/>
          <w:color w:val="000000"/>
          <w:sz w:val="32"/>
          <w:szCs w:val="32"/>
        </w:rPr>
        <w:t>政务信息化项目建设单位应加强对项目全过程管理，确定项目实施机构和项目责任人，建立健全项目管理制度，严格执行招标投标、政府采购、工程监理、合同管理、档案管理、安全管理等制度；建设单位与承建单位应当签订安全保密协议，明确落实数据、技术、网络等安全责任；政务信息化项目承建单位应当具备相应的资质认证</w:t>
      </w:r>
      <w:r>
        <w:rPr>
          <w:rFonts w:hint="eastAsia" w:ascii="仿宋_GB2312" w:eastAsia="仿宋_GB2312"/>
          <w:color w:val="000000"/>
          <w:sz w:val="32"/>
          <w:szCs w:val="32"/>
          <w:lang w:eastAsia="zh-CN"/>
        </w:rPr>
        <w:t>，</w:t>
      </w:r>
      <w:r>
        <w:rPr>
          <w:rFonts w:hint="eastAsia" w:ascii="仿宋_GB2312" w:eastAsia="仿宋_GB2312"/>
          <w:color w:val="000000"/>
          <w:sz w:val="32"/>
          <w:szCs w:val="32"/>
        </w:rPr>
        <w:t>建设单位不得将信息化项目发包给不具备相关资质等级的单位。</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涉密信息系统，应执行国家保密有关法律法规规定。</w:t>
      </w:r>
    </w:p>
    <w:p>
      <w:pPr>
        <w:keepNext w:val="0"/>
        <w:keepLines w:val="0"/>
        <w:pageBreakBefore w:val="0"/>
        <w:widowControl w:val="0"/>
        <w:kinsoku/>
        <w:wordWrap/>
        <w:overflowPunct w:val="0"/>
        <w:topLinePunct w:val="0"/>
        <w:autoSpaceDE/>
        <w:autoSpaceDN/>
        <w:bidi w:val="0"/>
        <w:snapToGrid w:val="0"/>
        <w:spacing w:line="560" w:lineRule="exact"/>
        <w:ind w:firstLine="599" w:firstLineChars="200"/>
        <w:contextualSpacing/>
        <w:textAlignment w:val="auto"/>
        <w:rPr>
          <w:rFonts w:ascii="仿宋_GB2312" w:eastAsia="仿宋_GB2312"/>
          <w:color w:val="000000"/>
          <w:spacing w:val="-11"/>
          <w:sz w:val="32"/>
          <w:szCs w:val="32"/>
        </w:rPr>
      </w:pPr>
      <w:r>
        <w:rPr>
          <w:rFonts w:hint="eastAsia" w:ascii="楷体_GB2312" w:hAnsi="楷体_GB2312" w:eastAsia="楷体_GB2312" w:cs="楷体_GB2312"/>
          <w:b/>
          <w:bCs/>
          <w:color w:val="000000"/>
          <w:spacing w:val="-11"/>
          <w:sz w:val="32"/>
          <w:szCs w:val="32"/>
        </w:rPr>
        <w:t>第十三条</w:t>
      </w:r>
      <w:r>
        <w:rPr>
          <w:rFonts w:hint="eastAsia" w:ascii="黑体" w:hAnsi="黑体" w:eastAsia="黑体"/>
          <w:color w:val="000000"/>
          <w:spacing w:val="-11"/>
          <w:sz w:val="32"/>
          <w:szCs w:val="32"/>
        </w:rPr>
        <w:t xml:space="preserve"> </w:t>
      </w:r>
      <w:r>
        <w:rPr>
          <w:rFonts w:hint="eastAsia" w:ascii="仿宋_GB2312" w:eastAsia="仿宋_GB2312"/>
          <w:color w:val="000000"/>
          <w:spacing w:val="-11"/>
          <w:sz w:val="32"/>
          <w:szCs w:val="32"/>
        </w:rPr>
        <w:t>项目建设过程中出现工程严重逾期、投资重大损失等问题的,项目建设单位应及时向县信息中心、发改局、财政局报告。</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第十四条 </w:t>
      </w:r>
      <w:r>
        <w:rPr>
          <w:rFonts w:hint="eastAsia" w:ascii="仿宋_GB2312" w:eastAsia="仿宋_GB2312"/>
          <w:color w:val="000000"/>
          <w:sz w:val="32"/>
          <w:szCs w:val="32"/>
        </w:rPr>
        <w:t>项目建设单位应严格按照项目批复开展项目建设。严格遵守执行国家、省、市、县相关法律法规和要求。</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第十五条 </w:t>
      </w:r>
      <w:r>
        <w:rPr>
          <w:rFonts w:hint="eastAsia" w:ascii="仿宋_GB2312" w:eastAsia="仿宋_GB2312"/>
          <w:color w:val="000000"/>
          <w:sz w:val="32"/>
          <w:szCs w:val="32"/>
        </w:rPr>
        <w:t>对未经批准实施变更或先变更后报批的，一律不予受理，并追究相关责任人的责任。</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第十六条</w:t>
      </w:r>
      <w:r>
        <w:rPr>
          <w:rFonts w:hint="eastAsia" w:ascii="仿宋_GB2312" w:eastAsia="仿宋_GB2312"/>
          <w:color w:val="000000"/>
          <w:sz w:val="32"/>
          <w:szCs w:val="32"/>
        </w:rPr>
        <w:t xml:space="preserve"> 县级政务信息化建设项目实施过程中有下列情况之一的，县领导小组有权终止项目实施:</w:t>
      </w:r>
    </w:p>
    <w:p>
      <w:pPr>
        <w:keepNext w:val="0"/>
        <w:keepLines w:val="0"/>
        <w:pageBreakBefore w:val="0"/>
        <w:widowControl w:val="0"/>
        <w:kinsoku/>
        <w:wordWrap/>
        <w:overflowPunct w:val="0"/>
        <w:topLinePunct w:val="0"/>
        <w:autoSpaceDE/>
        <w:autoSpaceDN/>
        <w:bidi w:val="0"/>
        <w:snapToGrid w:val="0"/>
        <w:spacing w:line="560" w:lineRule="exact"/>
        <w:ind w:firstLine="616" w:firstLineChars="200"/>
        <w:contextualSpacing/>
        <w:textAlignment w:val="auto"/>
        <w:rPr>
          <w:rFonts w:ascii="仿宋_GB2312" w:eastAsia="仿宋_GB2312"/>
          <w:color w:val="000000"/>
          <w:spacing w:val="-6"/>
          <w:sz w:val="32"/>
          <w:szCs w:val="32"/>
        </w:rPr>
      </w:pPr>
      <w:r>
        <w:rPr>
          <w:rFonts w:hint="eastAsia" w:ascii="仿宋_GB2312" w:eastAsia="仿宋_GB2312"/>
          <w:color w:val="000000"/>
          <w:spacing w:val="-6"/>
          <w:sz w:val="32"/>
          <w:szCs w:val="32"/>
        </w:rPr>
        <w:t>(一)由于不可抗拒因素，造成项目无法完成的;(二)建设内容发生重大变化，原初步设计方案不能适用的;(三)项目实施不力，无法继续进行或预期目标不能实现的;(四)项目建设单位不按初步设计、建设方案(详细设计)批复和合同执行，拒不接受监督检查的。</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因上述原因终止项目的，项目建设单位应及时将终止原因以书面形式报县信息中心。县信息中心提出处理意见，县财政局收回剩余资金，处置已形成资产。</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第十七条</w:t>
      </w:r>
      <w:r>
        <w:rPr>
          <w:rFonts w:hint="eastAsia" w:ascii="黑体" w:hAnsi="黑体" w:eastAsia="黑体"/>
          <w:color w:val="000000"/>
          <w:sz w:val="32"/>
          <w:szCs w:val="32"/>
        </w:rPr>
        <w:t xml:space="preserve"> </w:t>
      </w:r>
      <w:r>
        <w:rPr>
          <w:rFonts w:hint="eastAsia" w:ascii="仿宋_GB2312" w:eastAsia="仿宋_GB2312"/>
          <w:color w:val="000000"/>
          <w:sz w:val="32"/>
          <w:szCs w:val="32"/>
        </w:rPr>
        <w:t>项目建设单位应依法定程序，委托工程监理单位对项目建设进行工程监理。监理费用、第三方评测费用统一纳入项目投资概算。</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第十八条</w:t>
      </w:r>
      <w:r>
        <w:rPr>
          <w:rFonts w:hint="eastAsia" w:ascii="仿宋_GB2312" w:eastAsia="仿宋_GB2312"/>
          <w:color w:val="000000"/>
          <w:sz w:val="32"/>
          <w:szCs w:val="32"/>
        </w:rPr>
        <w:t xml:space="preserve"> 按照“谁主管谁负责、谁建设谁负责、谁使用谁负责”原则，压实信息安全主体责任，相关安全责任的主体不因委托承包单位而改变。项目建设单位应当根据《中华人民共和国网络安全法》等法律法规以及党政机关安全管理等有关规定，建立网络安全管理制度，做到信息安全保障系统与政务信息化项目同步规划、同步建设、同步验收、同步运行，建立信息系统安全响应机制，科学设定应急预案，定期不定期开展网络安全检测与风险评估，保障信息系统安全稳定运行。</w:t>
      </w:r>
    </w:p>
    <w:p>
      <w:pPr>
        <w:pStyle w:val="12"/>
        <w:keepNext w:val="0"/>
        <w:keepLines w:val="0"/>
        <w:pageBreakBefore w:val="0"/>
        <w:widowControl w:val="0"/>
        <w:kinsoku/>
        <w:wordWrap/>
        <w:overflowPunct w:val="0"/>
        <w:topLinePunct w:val="0"/>
        <w:autoSpaceDE/>
        <w:autoSpaceDN/>
        <w:bidi w:val="0"/>
        <w:spacing w:line="560" w:lineRule="exact"/>
        <w:textAlignment w:val="auto"/>
        <w:rPr>
          <w:rFonts w:eastAsia="仿宋_GB2312"/>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第六章 项目验收</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第十九条</w:t>
      </w:r>
      <w:r>
        <w:rPr>
          <w:rFonts w:hint="eastAsia" w:ascii="黑体" w:hAnsi="黑体" w:eastAsia="黑体"/>
          <w:sz w:val="32"/>
          <w:szCs w:val="32"/>
        </w:rPr>
        <w:t xml:space="preserve"> </w:t>
      </w:r>
      <w:r>
        <w:rPr>
          <w:rFonts w:hint="eastAsia" w:ascii="仿宋_GB2312" w:eastAsia="仿宋_GB2312"/>
          <w:color w:val="000000"/>
          <w:sz w:val="32"/>
          <w:szCs w:val="32"/>
        </w:rPr>
        <w:t>政务信息化项目的验收分为初步验收和竣工验收。初步验收:项目完成所有建设内容，完成项目功能性能测评、安全测评合格后，由承建单位提出初步验收申请，由监理单位组织，建设、承建、设计、监理、用户、质检机构和勘察(涉</w:t>
      </w:r>
      <w:r>
        <w:rPr>
          <w:rFonts w:hint="eastAsia" w:ascii="仿宋_GB2312" w:eastAsia="仿宋_GB2312"/>
          <w:color w:val="000000"/>
          <w:spacing w:val="-6"/>
          <w:sz w:val="32"/>
          <w:szCs w:val="32"/>
        </w:rPr>
        <w:t>及基建工程) 等单位参加，进行项目初步验收，验收小组可形成初步验收意见，有关人员签字，</w:t>
      </w:r>
      <w:r>
        <w:rPr>
          <w:rFonts w:hint="eastAsia" w:ascii="仿宋_GB2312" w:eastAsia="仿宋_GB2312"/>
          <w:color w:val="000000"/>
          <w:spacing w:val="-6"/>
          <w:sz w:val="32"/>
          <w:szCs w:val="32"/>
          <w:lang w:eastAsia="zh-CN"/>
        </w:rPr>
        <w:t>项目</w:t>
      </w:r>
      <w:r>
        <w:rPr>
          <w:rFonts w:hint="eastAsia" w:ascii="仿宋_GB2312" w:eastAsia="仿宋_GB2312"/>
          <w:color w:val="000000"/>
          <w:spacing w:val="-6"/>
          <w:sz w:val="32"/>
          <w:szCs w:val="32"/>
        </w:rPr>
        <w:t>建设单位加盖公章，以书面资料保存。竣工验收: 初步验收合格后，项目进入为期不少于3个月试运行阶段，初步验收发现的问题整改完成，自检合格，承建单位形成项目竣工报告，提出竣工申请，由</w:t>
      </w:r>
      <w:r>
        <w:rPr>
          <w:rFonts w:hint="eastAsia" w:ascii="仿宋_GB2312" w:eastAsia="仿宋_GB2312"/>
          <w:color w:val="000000"/>
          <w:spacing w:val="-6"/>
          <w:sz w:val="32"/>
          <w:szCs w:val="32"/>
          <w:lang w:eastAsia="zh-CN"/>
        </w:rPr>
        <w:t>项目</w:t>
      </w:r>
      <w:r>
        <w:rPr>
          <w:rFonts w:hint="eastAsia" w:ascii="仿宋_GB2312" w:eastAsia="仿宋_GB2312"/>
          <w:color w:val="000000"/>
          <w:spacing w:val="-6"/>
          <w:sz w:val="32"/>
          <w:szCs w:val="32"/>
        </w:rPr>
        <w:t>建设单位组织，建设、承建、设计、监理、质检机构和勘察(工程)、专家等参加组成验收小组，对项目的建设内容、质量情况、投资情况、试运行、安全测评以及密码应用安全性、项目档案等方面，进行竣工验收并形成竣工验收意见，</w:t>
      </w:r>
      <w:r>
        <w:rPr>
          <w:rFonts w:hint="eastAsia" w:ascii="仿宋_GB2312" w:eastAsia="仿宋_GB2312"/>
          <w:color w:val="000000"/>
          <w:spacing w:val="-6"/>
          <w:sz w:val="32"/>
          <w:szCs w:val="32"/>
          <w:lang w:eastAsia="zh-CN"/>
        </w:rPr>
        <w:t>项目承建</w:t>
      </w:r>
      <w:r>
        <w:rPr>
          <w:rFonts w:hint="eastAsia" w:ascii="仿宋_GB2312" w:eastAsia="仿宋_GB2312"/>
          <w:color w:val="000000"/>
          <w:spacing w:val="-6"/>
          <w:sz w:val="32"/>
          <w:szCs w:val="32"/>
        </w:rPr>
        <w:t>单位</w:t>
      </w:r>
      <w:r>
        <w:rPr>
          <w:rFonts w:hint="eastAsia" w:ascii="仿宋_GB2312" w:eastAsia="仿宋_GB2312"/>
          <w:color w:val="000000"/>
          <w:spacing w:val="-6"/>
          <w:sz w:val="32"/>
          <w:szCs w:val="32"/>
          <w:lang w:eastAsia="zh-CN"/>
        </w:rPr>
        <w:t>对存在的问题继续进行整改，形成整改报告，报项目建设单位。</w:t>
      </w:r>
      <w:r>
        <w:rPr>
          <w:rFonts w:hint="eastAsia" w:ascii="仿宋_GB2312" w:eastAsia="仿宋_GB2312"/>
          <w:color w:val="000000"/>
          <w:spacing w:val="-6"/>
          <w:sz w:val="32"/>
          <w:szCs w:val="32"/>
        </w:rPr>
        <w:t xml:space="preserve">竣工验收合格后，项目建设单位应及时向县信息中心报送竣工验收报告; 不能按期竣工验收的，书面提出延期申请。未实现数据共享的政务信息化项目不得验收。初步验收、竣工验收属项目建设正式验收行为，以竣工验收为主。 </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contextualSpacing/>
        <w:textAlignment w:val="auto"/>
        <w:rPr>
          <w:rFonts w:ascii="仿宋_GB2312" w:eastAsia="仿宋_GB2312"/>
          <w:color w:val="000000"/>
          <w:sz w:val="32"/>
          <w:szCs w:val="32"/>
        </w:rPr>
      </w:pPr>
      <w:r>
        <w:rPr>
          <w:rFonts w:hint="eastAsia" w:ascii="仿宋_GB2312" w:eastAsia="仿宋_GB2312"/>
          <w:color w:val="000000"/>
          <w:sz w:val="32"/>
          <w:szCs w:val="32"/>
        </w:rPr>
        <w:t>竣工验收报告包括项目建设总结、专家验收意见、项目验收单、数据资源共享报告(包括数据资源目录、共享平台接入、数据共享情况等)、软硬件产品的安全可靠情况、财务决算、第三方审计报告、第三方测评报告(包括功能和性能测评报告)、安全风险评估报告(非涉密信息系统网络安全等级保护测评</w:t>
      </w:r>
      <w:r>
        <w:rPr>
          <w:rFonts w:hint="eastAsia" w:ascii="仿宋_GB2312" w:eastAsia="仿宋_GB2312"/>
          <w:color w:val="000000"/>
          <w:spacing w:val="-6"/>
          <w:sz w:val="32"/>
          <w:szCs w:val="32"/>
        </w:rPr>
        <w:t>报告等)、密码应用安全性评估报告，档案专项验收情况等材料。</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第二十条</w:t>
      </w:r>
      <w:r>
        <w:rPr>
          <w:rFonts w:hint="eastAsia" w:ascii="仿宋_GB2312" w:eastAsia="仿宋_GB2312"/>
          <w:color w:val="000000"/>
          <w:sz w:val="32"/>
          <w:szCs w:val="32"/>
        </w:rPr>
        <w:t xml:space="preserve">  政府购买服务类项目由项目建设单位组织，按建设类项目验收有关要求组织验收，验收结果报县信息中心。</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hint="eastAsia"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第二十一条 </w:t>
      </w:r>
      <w:r>
        <w:rPr>
          <w:rFonts w:hint="eastAsia" w:ascii="仿宋_GB2312" w:eastAsia="仿宋_GB2312"/>
          <w:color w:val="000000"/>
          <w:sz w:val="32"/>
          <w:szCs w:val="32"/>
        </w:rPr>
        <w:t xml:space="preserve"> 项目建设单位做好对项目计划、审批、立项、招标、建设、验收全过程的资料管理，并按照档案管理有关要求，形成规范档案资料，存档备查。</w:t>
      </w:r>
    </w:p>
    <w:p>
      <w:pPr>
        <w:keepNext w:val="0"/>
        <w:keepLines w:val="0"/>
        <w:pageBreakBefore w:val="0"/>
        <w:widowControl w:val="0"/>
        <w:kinsoku/>
        <w:wordWrap/>
        <w:overflowPunct w:val="0"/>
        <w:topLinePunct w:val="0"/>
        <w:autoSpaceDE/>
        <w:autoSpaceDN/>
        <w:bidi w:val="0"/>
        <w:snapToGrid w:val="0"/>
        <w:spacing w:line="560" w:lineRule="exact"/>
        <w:contextualSpacing/>
        <w:jc w:val="center"/>
        <w:textAlignment w:val="auto"/>
        <w:rPr>
          <w:rFonts w:ascii="黑体" w:hAnsi="黑体" w:eastAsia="黑体"/>
          <w:sz w:val="32"/>
          <w:szCs w:val="32"/>
        </w:rPr>
      </w:pPr>
      <w:r>
        <w:rPr>
          <w:rFonts w:hint="eastAsia" w:ascii="黑体" w:hAnsi="黑体" w:eastAsia="黑体"/>
          <w:sz w:val="32"/>
          <w:szCs w:val="32"/>
        </w:rPr>
        <w:t>第七章 项目资金使用及监管</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第二十二条</w:t>
      </w:r>
      <w:r>
        <w:rPr>
          <w:rFonts w:hint="eastAsia" w:ascii="黑体" w:hAnsi="黑体" w:eastAsia="黑体"/>
          <w:sz w:val="32"/>
          <w:szCs w:val="32"/>
        </w:rPr>
        <w:t xml:space="preserve"> </w:t>
      </w:r>
      <w:r>
        <w:rPr>
          <w:rFonts w:hint="eastAsia" w:ascii="仿宋_GB2312" w:eastAsia="仿宋_GB2312"/>
          <w:color w:val="000000"/>
          <w:sz w:val="32"/>
          <w:szCs w:val="32"/>
        </w:rPr>
        <w:t xml:space="preserve"> 政务信息化建设项目资金的使用应突出重点、基础优先。项目实施单位应严格按照县财政局下达的资金用途实施项目建设，不得随意调整。 </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第二十三条 </w:t>
      </w:r>
      <w:r>
        <w:rPr>
          <w:rFonts w:hint="eastAsia" w:ascii="黑体" w:hAnsi="黑体" w:eastAsia="黑体"/>
          <w:color w:val="000000"/>
          <w:sz w:val="32"/>
          <w:szCs w:val="32"/>
        </w:rPr>
        <w:t xml:space="preserve"> </w:t>
      </w:r>
      <w:r>
        <w:rPr>
          <w:rFonts w:hint="eastAsia" w:ascii="仿宋_GB2312" w:eastAsia="仿宋_GB2312"/>
          <w:color w:val="000000"/>
          <w:sz w:val="32"/>
          <w:szCs w:val="32"/>
        </w:rPr>
        <w:t>政务信息化建设项目资金的使用，由项目建设单位依据项目合同，按照项目建设进度，向县财政局提出资金使用申请，由县财政局据实拨付资金，项目实施单位要合理节约使用项目资金。</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第二十四条 </w:t>
      </w:r>
      <w:r>
        <w:rPr>
          <w:rFonts w:hint="eastAsia" w:ascii="黑体" w:hAnsi="黑体" w:eastAsia="黑体"/>
          <w:color w:val="000000"/>
          <w:sz w:val="32"/>
          <w:szCs w:val="32"/>
        </w:rPr>
        <w:t xml:space="preserve"> </w:t>
      </w:r>
      <w:r>
        <w:rPr>
          <w:rFonts w:hint="eastAsia" w:ascii="仿宋_GB2312" w:eastAsia="仿宋_GB2312"/>
          <w:color w:val="000000"/>
          <w:sz w:val="32"/>
          <w:szCs w:val="32"/>
        </w:rPr>
        <w:t>县财政局对纳入政府采购的信息化建设项目进行监督管理；县审计局依法对项目进行审计监督。</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第二十五条</w:t>
      </w:r>
      <w:r>
        <w:rPr>
          <w:rFonts w:hint="eastAsia" w:ascii="仿宋_GB2312" w:eastAsia="仿宋_GB2312"/>
          <w:color w:val="000000"/>
          <w:sz w:val="32"/>
          <w:szCs w:val="32"/>
        </w:rPr>
        <w:t xml:space="preserve">  政务信息化建设项目实行保修制度。信息化项目建设单位应当与施工单位签订合同，对信息化项目履行保修责任，保修期自项目竣工验收合格之日起不得少于三年。</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第二十六条 </w:t>
      </w:r>
      <w:r>
        <w:rPr>
          <w:rFonts w:hint="eastAsia" w:ascii="黑体" w:hAnsi="黑体" w:eastAsia="黑体"/>
          <w:color w:val="000000"/>
          <w:sz w:val="32"/>
          <w:szCs w:val="32"/>
        </w:rPr>
        <w:t xml:space="preserve"> </w:t>
      </w:r>
      <w:r>
        <w:rPr>
          <w:rFonts w:hint="eastAsia" w:ascii="仿宋_GB2312" w:eastAsia="仿宋_GB2312"/>
          <w:color w:val="000000"/>
          <w:sz w:val="32"/>
          <w:szCs w:val="32"/>
        </w:rPr>
        <w:t>政务信息化建设项目专项资金的安排、拨付、使用和管理按有关规定公开，主动接受社会监督。</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第二十七条 </w:t>
      </w:r>
      <w:r>
        <w:rPr>
          <w:rFonts w:hint="eastAsia" w:ascii="楷体_GB2312" w:hAnsi="楷体_GB2312" w:eastAsia="楷体_GB2312" w:cs="楷体_GB2312"/>
          <w:b/>
          <w:bCs/>
          <w:color w:val="000000"/>
          <w:sz w:val="32"/>
          <w:szCs w:val="32"/>
          <w:lang w:val="en-US" w:eastAsia="zh-CN"/>
        </w:rPr>
        <w:t xml:space="preserve"> </w:t>
      </w:r>
      <w:r>
        <w:rPr>
          <w:rFonts w:hint="eastAsia" w:ascii="仿宋_GB2312" w:eastAsia="仿宋_GB2312"/>
          <w:color w:val="000000"/>
          <w:sz w:val="32"/>
          <w:szCs w:val="32"/>
        </w:rPr>
        <w:t>对达到投资限额未审批自行实施的信息化项目，将按有关规定追究项目建设单位主要负责人的责任。</w:t>
      </w:r>
    </w:p>
    <w:p>
      <w:pPr>
        <w:pStyle w:val="12"/>
        <w:keepNext w:val="0"/>
        <w:keepLines w:val="0"/>
        <w:pageBreakBefore w:val="0"/>
        <w:widowControl w:val="0"/>
        <w:kinsoku/>
        <w:wordWrap/>
        <w:overflowPunct w:val="0"/>
        <w:topLinePunct w:val="0"/>
        <w:autoSpaceDE/>
        <w:autoSpaceDN/>
        <w:bidi w:val="0"/>
        <w:spacing w:line="560" w:lineRule="exact"/>
        <w:textAlignment w:val="auto"/>
        <w:rPr>
          <w:rFonts w:eastAsia="仿宋_GB2312"/>
        </w:rPr>
      </w:pPr>
    </w:p>
    <w:p>
      <w:pPr>
        <w:keepNext w:val="0"/>
        <w:keepLines w:val="0"/>
        <w:pageBreakBefore w:val="0"/>
        <w:widowControl w:val="0"/>
        <w:kinsoku/>
        <w:wordWrap/>
        <w:overflowPunct w:val="0"/>
        <w:topLinePunct w:val="0"/>
        <w:autoSpaceDE/>
        <w:autoSpaceDN/>
        <w:bidi w:val="0"/>
        <w:snapToGrid w:val="0"/>
        <w:spacing w:line="560" w:lineRule="exact"/>
        <w:contextualSpacing/>
        <w:jc w:val="center"/>
        <w:textAlignment w:val="auto"/>
        <w:rPr>
          <w:rFonts w:ascii="黑体" w:hAnsi="黑体" w:eastAsia="黑体"/>
          <w:color w:val="000000"/>
          <w:sz w:val="32"/>
          <w:szCs w:val="32"/>
        </w:rPr>
      </w:pPr>
      <w:r>
        <w:rPr>
          <w:rFonts w:hint="eastAsia" w:ascii="黑体" w:hAnsi="黑体" w:eastAsia="黑体"/>
          <w:color w:val="000000"/>
          <w:sz w:val="32"/>
          <w:szCs w:val="32"/>
        </w:rPr>
        <w:t xml:space="preserve">第八章  </w:t>
      </w:r>
      <w:r>
        <w:rPr>
          <w:rFonts w:hint="eastAsia" w:ascii="黑体" w:hAnsi="黑体" w:eastAsia="黑体"/>
          <w:sz w:val="32"/>
          <w:szCs w:val="32"/>
        </w:rPr>
        <w:t>附则</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ascii="仿宋_GB2312" w:eastAsia="仿宋_GB2312"/>
          <w:color w:val="000000"/>
          <w:sz w:val="32"/>
          <w:szCs w:val="32"/>
        </w:rPr>
      </w:pPr>
      <w:r>
        <w:rPr>
          <w:rFonts w:hint="eastAsia" w:ascii="楷体_GB2312" w:hAnsi="楷体_GB2312" w:eastAsia="楷体_GB2312" w:cs="楷体_GB2312"/>
          <w:b/>
          <w:bCs/>
          <w:color w:val="000000"/>
          <w:sz w:val="32"/>
          <w:szCs w:val="32"/>
        </w:rPr>
        <w:t>第二十八条</w:t>
      </w:r>
      <w:r>
        <w:rPr>
          <w:rFonts w:hint="eastAsia" w:ascii="黑体" w:hAnsi="黑体" w:eastAsia="黑体"/>
          <w:color w:val="000000"/>
          <w:sz w:val="32"/>
          <w:szCs w:val="32"/>
        </w:rPr>
        <w:t xml:space="preserve">  </w:t>
      </w:r>
      <w:r>
        <w:rPr>
          <w:rFonts w:hint="eastAsia" w:ascii="仿宋_GB2312" w:eastAsia="仿宋_GB2312"/>
          <w:color w:val="000000"/>
          <w:sz w:val="32"/>
          <w:szCs w:val="32"/>
        </w:rPr>
        <w:t>本办法由县信息中心会同县发改局、财政局负责解释。</w:t>
      </w:r>
    </w:p>
    <w:p>
      <w:pPr>
        <w:keepNext w:val="0"/>
        <w:keepLines w:val="0"/>
        <w:pageBreakBefore w:val="0"/>
        <w:widowControl w:val="0"/>
        <w:kinsoku/>
        <w:wordWrap/>
        <w:overflowPunct w:val="0"/>
        <w:topLinePunct w:val="0"/>
        <w:autoSpaceDE/>
        <w:autoSpaceDN/>
        <w:bidi w:val="0"/>
        <w:snapToGrid w:val="0"/>
        <w:spacing w:line="560" w:lineRule="exact"/>
        <w:ind w:firstLine="643" w:firstLineChars="200"/>
        <w:contextualSpacing/>
        <w:textAlignment w:val="auto"/>
        <w:rPr>
          <w:rFonts w:hint="eastAsia" w:ascii="仿宋_GB2312" w:eastAsia="仿宋_GB2312"/>
          <w:color w:val="000000"/>
          <w:sz w:val="32"/>
          <w:szCs w:val="32"/>
        </w:rPr>
      </w:pPr>
      <w:r>
        <w:rPr>
          <w:rFonts w:hint="eastAsia" w:ascii="楷体_GB2312" w:hAnsi="楷体_GB2312" w:eastAsia="楷体_GB2312" w:cs="楷体_GB2312"/>
          <w:b/>
          <w:bCs/>
          <w:color w:val="000000"/>
          <w:sz w:val="32"/>
          <w:szCs w:val="32"/>
        </w:rPr>
        <w:t xml:space="preserve">第二十九条 </w:t>
      </w:r>
      <w:r>
        <w:rPr>
          <w:rFonts w:hint="eastAsia" w:ascii="黑体" w:hAnsi="黑体" w:eastAsia="黑体"/>
          <w:sz w:val="32"/>
          <w:szCs w:val="32"/>
        </w:rPr>
        <w:t xml:space="preserve"> </w:t>
      </w:r>
      <w:r>
        <w:rPr>
          <w:rFonts w:hint="eastAsia" w:ascii="仿宋_GB2312" w:eastAsia="仿宋_GB2312"/>
          <w:color w:val="000000"/>
          <w:sz w:val="32"/>
          <w:szCs w:val="32"/>
        </w:rPr>
        <w:t>本办法自发布之日起施行。2022年1月10日下发的眉县人民政府办公室</w:t>
      </w:r>
      <w:r>
        <w:rPr>
          <w:rFonts w:hint="eastAsia" w:ascii="仿宋_GB2312" w:eastAsia="仿宋_GB2312"/>
          <w:color w:val="000000"/>
          <w:sz w:val="32"/>
          <w:szCs w:val="32"/>
          <w:lang w:eastAsia="zh-CN"/>
        </w:rPr>
        <w:t>《</w:t>
      </w:r>
      <w:r>
        <w:rPr>
          <w:rFonts w:hint="eastAsia" w:ascii="仿宋_GB2312" w:eastAsia="仿宋_GB2312"/>
          <w:color w:val="000000"/>
          <w:sz w:val="32"/>
          <w:szCs w:val="32"/>
        </w:rPr>
        <w:t>关于印发</w:t>
      </w:r>
      <w:r>
        <w:rPr>
          <w:rFonts w:hint="eastAsia" w:ascii="仿宋_GB2312" w:eastAsia="仿宋_GB2312"/>
          <w:color w:val="000000"/>
          <w:sz w:val="32"/>
          <w:szCs w:val="32"/>
          <w:lang w:eastAsia="zh-CN"/>
        </w:rPr>
        <w:t>〈</w:t>
      </w:r>
      <w:r>
        <w:rPr>
          <w:rFonts w:hint="eastAsia" w:ascii="仿宋_GB2312" w:eastAsia="仿宋_GB2312"/>
          <w:color w:val="000000"/>
          <w:sz w:val="32"/>
          <w:szCs w:val="32"/>
        </w:rPr>
        <w:t>眉县信息化（新型智慧城市）项目建设管理办法</w:t>
      </w:r>
      <w:r>
        <w:rPr>
          <w:rFonts w:hint="eastAsia" w:ascii="仿宋_GB2312" w:eastAsia="仿宋_GB2312"/>
          <w:color w:val="000000"/>
          <w:sz w:val="32"/>
          <w:szCs w:val="32"/>
          <w:lang w:eastAsia="zh-CN"/>
        </w:rPr>
        <w:t>〉</w:t>
      </w:r>
      <w:r>
        <w:rPr>
          <w:rFonts w:hint="eastAsia" w:ascii="仿宋_GB2312" w:eastAsia="仿宋_GB2312"/>
          <w:color w:val="000000"/>
          <w:sz w:val="32"/>
          <w:szCs w:val="32"/>
        </w:rPr>
        <w:t>的通知</w:t>
      </w:r>
      <w:r>
        <w:rPr>
          <w:rFonts w:hint="eastAsia" w:ascii="仿宋_GB2312" w:eastAsia="仿宋_GB2312"/>
          <w:color w:val="000000"/>
          <w:sz w:val="32"/>
          <w:szCs w:val="32"/>
          <w:lang w:eastAsia="zh-CN"/>
        </w:rPr>
        <w:t>》</w:t>
      </w:r>
      <w:r>
        <w:rPr>
          <w:rFonts w:hint="eastAsia" w:ascii="仿宋_GB2312" w:eastAsia="仿宋_GB2312"/>
          <w:color w:val="000000"/>
          <w:sz w:val="32"/>
          <w:szCs w:val="32"/>
        </w:rPr>
        <w:t>同时废止。</w:t>
      </w:r>
    </w:p>
    <w:p>
      <w:pPr>
        <w:pStyle w:val="2"/>
      </w:pPr>
    </w:p>
    <w:p>
      <w:pPr>
        <w:widowControl/>
        <w:shd w:val="clear" w:color="auto" w:fill="FFFFFF"/>
        <w:spacing w:line="520" w:lineRule="exact"/>
        <w:ind w:left="1918" w:leftChars="304" w:hanging="1280" w:hangingChars="400"/>
        <w:rPr>
          <w:rFonts w:hint="eastAsia" w:ascii="仿宋_GB2312" w:eastAsia="仿宋_GB2312"/>
          <w:color w:val="000000"/>
          <w:sz w:val="32"/>
          <w:szCs w:val="32"/>
        </w:rPr>
      </w:pPr>
      <w:r>
        <w:rPr>
          <w:rFonts w:hint="eastAsia" w:ascii="仿宋_GB2312" w:eastAsia="仿宋_GB2312"/>
          <w:color w:val="000000"/>
          <w:sz w:val="32"/>
          <w:szCs w:val="32"/>
        </w:rPr>
        <w:t>附件：眉县政务信息化项目审批表</w:t>
      </w:r>
    </w:p>
    <w:p>
      <w:pPr>
        <w:widowControl/>
        <w:shd w:val="clear" w:color="auto" w:fill="FFFFFF"/>
        <w:spacing w:line="52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widowControl/>
        <w:shd w:val="clear" w:color="auto" w:fill="FFFFFF"/>
        <w:spacing w:line="52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眉县政务信息化项目审批表</w:t>
      </w:r>
    </w:p>
    <w:p>
      <w:pPr>
        <w:widowControl/>
        <w:shd w:val="clear" w:color="auto" w:fill="FFFFFF"/>
        <w:spacing w:line="520" w:lineRule="exact"/>
        <w:rPr>
          <w:rFonts w:ascii="方正小标宋简体" w:hAnsi="微软雅黑" w:eastAsia="方正小标宋简体" w:cs="宋体"/>
          <w:color w:val="000000"/>
          <w:kern w:val="0"/>
          <w:sz w:val="44"/>
          <w:szCs w:val="44"/>
        </w:rPr>
      </w:pPr>
    </w:p>
    <w:p>
      <w:pPr>
        <w:widowControl/>
        <w:shd w:val="clear" w:color="auto" w:fill="FFFFFF"/>
        <w:spacing w:line="520" w:lineRule="exac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申报单位（盖章）：                        年  月  日</w:t>
      </w:r>
    </w:p>
    <w:tbl>
      <w:tblPr>
        <w:tblStyle w:val="9"/>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693"/>
        <w:gridCol w:w="1701"/>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2093" w:type="dxa"/>
            <w:vAlign w:val="center"/>
          </w:tcPr>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项目名称</w:t>
            </w:r>
          </w:p>
        </w:tc>
        <w:tc>
          <w:tcPr>
            <w:tcW w:w="7194" w:type="dxa"/>
            <w:gridSpan w:val="3"/>
          </w:tcPr>
          <w:p>
            <w:pPr>
              <w:widowControl/>
              <w:spacing w:line="520" w:lineRule="exact"/>
              <w:rPr>
                <w:rFonts w:ascii="宋体" w:hAnsi="宋体"/>
                <w:color w:val="00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2093" w:type="dxa"/>
            <w:vAlign w:val="center"/>
          </w:tcPr>
          <w:p>
            <w:pPr>
              <w:widowControl/>
              <w:spacing w:line="520" w:lineRule="exact"/>
              <w:jc w:val="center"/>
              <w:rPr>
                <w:rFonts w:ascii="黑体" w:hAnsi="黑体" w:eastAsia="黑体"/>
                <w:color w:val="000000"/>
                <w:sz w:val="44"/>
                <w:szCs w:val="44"/>
              </w:rPr>
            </w:pPr>
            <w:r>
              <w:rPr>
                <w:rFonts w:hint="eastAsia" w:ascii="黑体" w:hAnsi="黑体" w:eastAsia="黑体"/>
                <w:color w:val="000000"/>
                <w:sz w:val="28"/>
                <w:szCs w:val="28"/>
              </w:rPr>
              <w:t>建设内容</w:t>
            </w:r>
          </w:p>
        </w:tc>
        <w:tc>
          <w:tcPr>
            <w:tcW w:w="7194" w:type="dxa"/>
            <w:gridSpan w:val="3"/>
          </w:tcPr>
          <w:p>
            <w:pPr>
              <w:widowControl/>
              <w:spacing w:line="520" w:lineRule="exact"/>
              <w:rPr>
                <w:rFonts w:ascii="宋体" w:hAnsi="宋体"/>
                <w:color w:val="00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2093" w:type="dxa"/>
            <w:vAlign w:val="center"/>
          </w:tcPr>
          <w:p>
            <w:pPr>
              <w:widowControl/>
              <w:spacing w:line="520" w:lineRule="exact"/>
              <w:jc w:val="center"/>
              <w:rPr>
                <w:rFonts w:hint="eastAsia" w:ascii="黑体" w:hAnsi="黑体" w:eastAsia="黑体"/>
                <w:color w:val="000000"/>
                <w:sz w:val="28"/>
                <w:szCs w:val="28"/>
              </w:rPr>
            </w:pPr>
            <w:r>
              <w:rPr>
                <w:rFonts w:hint="eastAsia" w:ascii="黑体" w:hAnsi="黑体" w:eastAsia="黑体"/>
                <w:color w:val="000000"/>
                <w:sz w:val="28"/>
                <w:szCs w:val="28"/>
              </w:rPr>
              <w:t>建设周期及</w:t>
            </w:r>
          </w:p>
          <w:p>
            <w:pPr>
              <w:widowControl/>
              <w:spacing w:line="520" w:lineRule="exact"/>
              <w:jc w:val="center"/>
              <w:rPr>
                <w:rFonts w:ascii="黑体" w:hAnsi="黑体" w:eastAsia="黑体"/>
                <w:color w:val="000000"/>
                <w:sz w:val="44"/>
                <w:szCs w:val="44"/>
              </w:rPr>
            </w:pPr>
            <w:r>
              <w:rPr>
                <w:rFonts w:hint="eastAsia" w:ascii="黑体" w:hAnsi="黑体" w:eastAsia="黑体"/>
                <w:color w:val="000000"/>
                <w:sz w:val="28"/>
                <w:szCs w:val="28"/>
              </w:rPr>
              <w:t>前期进展</w:t>
            </w:r>
          </w:p>
        </w:tc>
        <w:tc>
          <w:tcPr>
            <w:tcW w:w="7194" w:type="dxa"/>
            <w:gridSpan w:val="3"/>
          </w:tcPr>
          <w:p>
            <w:pPr>
              <w:widowControl/>
              <w:spacing w:line="520" w:lineRule="exact"/>
              <w:rPr>
                <w:rFonts w:ascii="宋体" w:hAnsi="宋体"/>
                <w:color w:val="00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2093" w:type="dxa"/>
            <w:vAlign w:val="center"/>
          </w:tcPr>
          <w:p>
            <w:pPr>
              <w:widowControl/>
              <w:spacing w:line="520" w:lineRule="exact"/>
              <w:jc w:val="center"/>
              <w:rPr>
                <w:rFonts w:ascii="黑体" w:hAnsi="黑体" w:eastAsia="黑体"/>
                <w:color w:val="000000"/>
                <w:sz w:val="44"/>
                <w:szCs w:val="44"/>
              </w:rPr>
            </w:pPr>
            <w:r>
              <w:rPr>
                <w:rFonts w:hint="eastAsia" w:ascii="黑体" w:hAnsi="黑体" w:eastAsia="黑体"/>
                <w:color w:val="000000"/>
                <w:sz w:val="28"/>
                <w:szCs w:val="28"/>
              </w:rPr>
              <w:t>项目总预算</w:t>
            </w:r>
          </w:p>
        </w:tc>
        <w:tc>
          <w:tcPr>
            <w:tcW w:w="2693" w:type="dxa"/>
            <w:vAlign w:val="center"/>
          </w:tcPr>
          <w:p>
            <w:pPr>
              <w:widowControl/>
              <w:spacing w:line="520" w:lineRule="exact"/>
              <w:rPr>
                <w:rFonts w:ascii="宋体" w:hAnsi="宋体"/>
                <w:color w:val="000000"/>
                <w:sz w:val="44"/>
                <w:szCs w:val="44"/>
              </w:rPr>
            </w:pPr>
          </w:p>
        </w:tc>
        <w:tc>
          <w:tcPr>
            <w:tcW w:w="1701" w:type="dxa"/>
            <w:vAlign w:val="center"/>
          </w:tcPr>
          <w:p>
            <w:pPr>
              <w:widowControl/>
              <w:spacing w:line="520" w:lineRule="exact"/>
              <w:rPr>
                <w:rFonts w:ascii="宋体" w:hAnsi="宋体"/>
                <w:b/>
                <w:color w:val="000000"/>
                <w:sz w:val="44"/>
                <w:szCs w:val="44"/>
              </w:rPr>
            </w:pPr>
            <w:r>
              <w:rPr>
                <w:rFonts w:hint="eastAsia" w:ascii="黑体" w:hAnsi="黑体" w:eastAsia="黑体"/>
                <w:color w:val="000000"/>
                <w:sz w:val="28"/>
                <w:szCs w:val="28"/>
              </w:rPr>
              <w:t>资金来源</w:t>
            </w:r>
          </w:p>
        </w:tc>
        <w:tc>
          <w:tcPr>
            <w:tcW w:w="2800" w:type="dxa"/>
          </w:tcPr>
          <w:p>
            <w:pPr>
              <w:widowControl/>
              <w:spacing w:line="520" w:lineRule="exact"/>
              <w:rPr>
                <w:rFonts w:ascii="方正小标宋简体" w:eastAsia="方正小标宋简体"/>
                <w:color w:val="000000"/>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2093" w:type="dxa"/>
            <w:vAlign w:val="center"/>
          </w:tcPr>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信息中心</w:t>
            </w:r>
          </w:p>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初审意见</w:t>
            </w:r>
          </w:p>
        </w:tc>
        <w:tc>
          <w:tcPr>
            <w:tcW w:w="7194" w:type="dxa"/>
            <w:gridSpan w:val="3"/>
          </w:tcPr>
          <w:p>
            <w:pPr>
              <w:widowControl/>
              <w:spacing w:line="520" w:lineRule="exact"/>
              <w:rPr>
                <w:rFonts w:ascii="楷体_GB2312" w:hAnsi="宋体" w:eastAsia="楷体_GB2312"/>
                <w:color w:val="000000"/>
                <w:sz w:val="28"/>
                <w:szCs w:val="28"/>
              </w:rPr>
            </w:pPr>
          </w:p>
          <w:p>
            <w:pPr>
              <w:widowControl/>
              <w:spacing w:line="520" w:lineRule="exact"/>
              <w:rPr>
                <w:rFonts w:ascii="楷体_GB2312" w:hAnsi="宋体" w:eastAsia="楷体_GB2312"/>
                <w:color w:val="000000"/>
                <w:sz w:val="28"/>
                <w:szCs w:val="28"/>
              </w:rPr>
            </w:pPr>
            <w:r>
              <w:rPr>
                <w:rFonts w:hint="eastAsia" w:ascii="楷体_GB2312" w:hAnsi="宋体" w:eastAsia="楷体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2093" w:type="dxa"/>
            <w:vAlign w:val="center"/>
          </w:tcPr>
          <w:p>
            <w:pPr>
              <w:widowControl/>
              <w:spacing w:line="520" w:lineRule="exact"/>
              <w:jc w:val="center"/>
              <w:rPr>
                <w:rFonts w:ascii="黑体" w:hAnsi="黑体" w:eastAsia="黑体"/>
                <w:color w:val="000000"/>
                <w:sz w:val="44"/>
                <w:szCs w:val="44"/>
              </w:rPr>
            </w:pPr>
            <w:r>
              <w:rPr>
                <w:rFonts w:ascii="黑体" w:hAnsi="黑体" w:eastAsia="黑体"/>
                <w:color w:val="000000"/>
                <w:sz w:val="28"/>
                <w:szCs w:val="28"/>
              </w:rPr>
              <w:t>发改局意见</w:t>
            </w:r>
          </w:p>
        </w:tc>
        <w:tc>
          <w:tcPr>
            <w:tcW w:w="7194" w:type="dxa"/>
            <w:gridSpan w:val="3"/>
          </w:tcPr>
          <w:p>
            <w:pPr>
              <w:widowControl/>
              <w:spacing w:line="520" w:lineRule="exact"/>
              <w:rPr>
                <w:rFonts w:ascii="楷体_GB2312" w:hAnsi="宋体" w:eastAsia="楷体_GB2312"/>
                <w:color w:val="000000"/>
                <w:sz w:val="28"/>
                <w:szCs w:val="28"/>
              </w:rPr>
            </w:pPr>
          </w:p>
          <w:p>
            <w:pPr>
              <w:widowControl/>
              <w:spacing w:line="520" w:lineRule="exact"/>
              <w:rPr>
                <w:rFonts w:ascii="方正小标宋简体" w:eastAsia="方正小标宋简体"/>
                <w:color w:val="000000"/>
                <w:sz w:val="44"/>
                <w:szCs w:val="44"/>
              </w:rPr>
            </w:pPr>
            <w:r>
              <w:rPr>
                <w:rFonts w:hint="eastAsia" w:ascii="楷体_GB2312" w:hAnsi="宋体" w:eastAsia="楷体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2093" w:type="dxa"/>
            <w:vAlign w:val="center"/>
          </w:tcPr>
          <w:p>
            <w:pPr>
              <w:widowControl/>
              <w:spacing w:line="520" w:lineRule="exact"/>
              <w:jc w:val="center"/>
              <w:rPr>
                <w:rFonts w:ascii="黑体" w:hAnsi="黑体" w:eastAsia="黑体"/>
                <w:color w:val="000000"/>
                <w:sz w:val="44"/>
                <w:szCs w:val="44"/>
              </w:rPr>
            </w:pPr>
            <w:r>
              <w:rPr>
                <w:rFonts w:ascii="黑体" w:hAnsi="黑体" w:eastAsia="黑体"/>
                <w:color w:val="000000"/>
                <w:sz w:val="28"/>
                <w:szCs w:val="28"/>
              </w:rPr>
              <w:t>财政局意见</w:t>
            </w:r>
          </w:p>
        </w:tc>
        <w:tc>
          <w:tcPr>
            <w:tcW w:w="7194" w:type="dxa"/>
            <w:gridSpan w:val="3"/>
          </w:tcPr>
          <w:p>
            <w:pPr>
              <w:widowControl/>
              <w:spacing w:line="520" w:lineRule="exact"/>
              <w:rPr>
                <w:rFonts w:ascii="楷体_GB2312" w:hAnsi="宋体" w:eastAsia="楷体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2093" w:type="dxa"/>
            <w:vAlign w:val="center"/>
          </w:tcPr>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信息化项目</w:t>
            </w:r>
          </w:p>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建设领导小组</w:t>
            </w:r>
          </w:p>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意见</w:t>
            </w:r>
          </w:p>
        </w:tc>
        <w:tc>
          <w:tcPr>
            <w:tcW w:w="7194" w:type="dxa"/>
            <w:gridSpan w:val="3"/>
          </w:tcPr>
          <w:p>
            <w:pPr>
              <w:widowControl/>
              <w:spacing w:line="520" w:lineRule="exact"/>
              <w:rPr>
                <w:rFonts w:ascii="楷体_GB2312" w:hAnsi="宋体" w:eastAsia="楷体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2093" w:type="dxa"/>
            <w:vAlign w:val="center"/>
          </w:tcPr>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县政府审定</w:t>
            </w:r>
          </w:p>
          <w:p>
            <w:pPr>
              <w:widowControl/>
              <w:spacing w:line="520" w:lineRule="exact"/>
              <w:jc w:val="center"/>
              <w:rPr>
                <w:rFonts w:ascii="黑体" w:hAnsi="黑体" w:eastAsia="黑体"/>
                <w:color w:val="000000"/>
                <w:sz w:val="28"/>
                <w:szCs w:val="28"/>
              </w:rPr>
            </w:pPr>
            <w:r>
              <w:rPr>
                <w:rFonts w:hint="eastAsia" w:ascii="黑体" w:hAnsi="黑体" w:eastAsia="黑体"/>
                <w:color w:val="000000"/>
                <w:sz w:val="28"/>
                <w:szCs w:val="28"/>
              </w:rPr>
              <w:t>意见</w:t>
            </w:r>
          </w:p>
        </w:tc>
        <w:tc>
          <w:tcPr>
            <w:tcW w:w="7194" w:type="dxa"/>
            <w:gridSpan w:val="3"/>
          </w:tcPr>
          <w:p>
            <w:pPr>
              <w:widowControl/>
              <w:spacing w:line="520" w:lineRule="exact"/>
              <w:rPr>
                <w:rFonts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widowControl/>
              <w:spacing w:line="520" w:lineRule="exact"/>
              <w:rPr>
                <w:rFonts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widowControl/>
              <w:spacing w:line="520" w:lineRule="exact"/>
              <w:rPr>
                <w:rFonts w:ascii="方正小标宋简体" w:eastAsia="方正小标宋简体"/>
                <w:color w:val="000000"/>
                <w:sz w:val="44"/>
                <w:szCs w:val="44"/>
              </w:rPr>
            </w:pPr>
            <w:r>
              <w:rPr>
                <w:rFonts w:hint="eastAsia" w:ascii="楷体_GB2312" w:hAnsi="宋体" w:eastAsia="楷体_GB2312"/>
                <w:color w:val="000000"/>
                <w:sz w:val="28"/>
                <w:szCs w:val="28"/>
              </w:rPr>
              <w:t xml:space="preserve">                              </w:t>
            </w:r>
          </w:p>
        </w:tc>
      </w:tr>
    </w:tbl>
    <w:p>
      <w:pPr>
        <w:pStyle w:val="12"/>
        <w:spacing w:line="520" w:lineRule="exact"/>
        <w:jc w:val="both"/>
        <w:rPr>
          <w:rFonts w:ascii="仿宋_GB2312" w:hAnsi="仿宋_GB2312" w:eastAsia="仿宋_GB2312" w:cs="仿宋_GB2312"/>
        </w:rPr>
      </w:pPr>
    </w:p>
    <w:p>
      <w:pPr>
        <w:pStyle w:val="12"/>
        <w:keepNext w:val="0"/>
        <w:keepLines w:val="0"/>
        <w:pageBreakBefore w:val="0"/>
        <w:widowControl w:val="0"/>
        <w:kinsoku/>
        <w:wordWrap/>
        <w:overflowPunct/>
        <w:topLinePunct w:val="0"/>
        <w:autoSpaceDE w:val="0"/>
        <w:autoSpaceDN w:val="0"/>
        <w:bidi w:val="0"/>
        <w:adjustRightInd w:val="0"/>
        <w:snapToGrid/>
        <w:spacing w:line="60" w:lineRule="exact"/>
        <w:jc w:val="both"/>
        <w:textAlignment w:val="auto"/>
        <w:rPr>
          <w:rFonts w:ascii="仿宋_GB2312" w:hAnsi="仿宋_GB2312" w:eastAsia="仿宋_GB2312" w:cs="仿宋_GB2312"/>
        </w:rPr>
      </w:pPr>
    </w:p>
    <w:p>
      <w:pPr>
        <w:pBdr>
          <w:bottom w:val="single" w:color="auto" w:sz="4" w:space="0"/>
        </w:pBdr>
        <w:spacing w:line="520" w:lineRule="exact"/>
        <w:rPr>
          <w:rFonts w:ascii="仿宋_GB2312" w:hAnsi="宋体" w:eastAsia="仿宋_GB2312" w:cs="宋体"/>
          <w:kern w:val="0"/>
          <w:sz w:val="28"/>
          <w:szCs w:val="28"/>
        </w:rPr>
      </w:pPr>
    </w:p>
    <w:p>
      <w:pPr>
        <w:keepNext w:val="0"/>
        <w:keepLines w:val="0"/>
        <w:pageBreakBefore w:val="0"/>
        <w:widowControl w:val="0"/>
        <w:pBdr>
          <w:top w:val="single" w:color="auto" w:sz="4" w:space="0"/>
          <w:bottom w:val="none" w:color="auto" w:sz="0" w:space="0"/>
        </w:pBdr>
        <w:kinsoku/>
        <w:wordWrap/>
        <w:overflowPunct/>
        <w:topLinePunct w:val="0"/>
        <w:autoSpaceDE/>
        <w:autoSpaceDN/>
        <w:bidi w:val="0"/>
        <w:adjustRightInd/>
        <w:snapToGrid/>
        <w:spacing w:line="560" w:lineRule="exact"/>
        <w:ind w:firstLine="280" w:firstLineChars="1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眉县人民政府办公室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bookmarkStart w:id="0" w:name="_GoBack"/>
      <w:bookmarkEnd w:id="0"/>
      <w:r>
        <w:rPr>
          <w:rFonts w:hint="eastAsia" w:ascii="仿宋_GB2312" w:hAnsi="宋体" w:eastAsia="仿宋_GB2312" w:cs="宋体"/>
          <w:kern w:val="0"/>
          <w:sz w:val="28"/>
          <w:szCs w:val="28"/>
        </w:rPr>
        <w:t xml:space="preserve">     2023年1</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22</w:t>
      </w:r>
      <w:r>
        <w:rPr>
          <w:rFonts w:hint="eastAsia" w:ascii="仿宋_GB2312" w:hAnsi="宋体" w:eastAsia="仿宋_GB2312" w:cs="宋体"/>
          <w:kern w:val="0"/>
          <w:sz w:val="28"/>
          <w:szCs w:val="28"/>
        </w:rPr>
        <w:t>日印发</w:t>
      </w:r>
    </w:p>
    <w:p>
      <w:pPr>
        <w:pStyle w:val="2"/>
        <w:keepNext w:val="0"/>
        <w:keepLines w:val="0"/>
        <w:pageBreakBefore w:val="0"/>
        <w:widowControl w:val="0"/>
        <w:pBdr>
          <w:bottom w:val="single" w:color="auto" w:sz="4" w:space="0"/>
        </w:pBdr>
        <w:kinsoku/>
        <w:wordWrap/>
        <w:overflowPunct/>
        <w:topLinePunct w:val="0"/>
        <w:autoSpaceDE/>
        <w:autoSpaceDN/>
        <w:bidi w:val="0"/>
        <w:adjustRightInd/>
        <w:snapToGrid/>
        <w:spacing w:after="0" w:line="60" w:lineRule="exact"/>
        <w:textAlignment w:val="auto"/>
        <w:rPr>
          <w:rFonts w:hint="eastAsia"/>
        </w:rPr>
      </w:pPr>
    </w:p>
    <w:sectPr>
      <w:footerReference r:id="rId3" w:type="default"/>
      <w:pgSz w:w="11906" w:h="16838"/>
      <w:pgMar w:top="1417" w:right="1418" w:bottom="1417" w:left="1701" w:header="851" w:footer="992"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_GB2312">
    <w:altName w:val="RomanS"/>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DF6AF"/>
    <w:multiLevelType w:val="singleLevel"/>
    <w:tmpl w:val="8A1DF6AF"/>
    <w:lvl w:ilvl="0" w:tentative="0">
      <w:start w:val="1"/>
      <w:numFmt w:val="chineseCounting"/>
      <w:suff w:val="space"/>
      <w:lvlText w:val="第%1章"/>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98"/>
    <w:rsid w:val="000034FB"/>
    <w:rsid w:val="0001706B"/>
    <w:rsid w:val="00037E29"/>
    <w:rsid w:val="0004501C"/>
    <w:rsid w:val="00046B9C"/>
    <w:rsid w:val="00051A80"/>
    <w:rsid w:val="000530C2"/>
    <w:rsid w:val="00053EB0"/>
    <w:rsid w:val="0007010B"/>
    <w:rsid w:val="0009316D"/>
    <w:rsid w:val="000A328D"/>
    <w:rsid w:val="000B0BD5"/>
    <w:rsid w:val="000B172F"/>
    <w:rsid w:val="000B302B"/>
    <w:rsid w:val="000B4CE8"/>
    <w:rsid w:val="000C396A"/>
    <w:rsid w:val="000D0351"/>
    <w:rsid w:val="000D2BD3"/>
    <w:rsid w:val="000D75A6"/>
    <w:rsid w:val="000D7B68"/>
    <w:rsid w:val="000E0991"/>
    <w:rsid w:val="000E2192"/>
    <w:rsid w:val="000F5901"/>
    <w:rsid w:val="001022E5"/>
    <w:rsid w:val="001035D6"/>
    <w:rsid w:val="00104AAC"/>
    <w:rsid w:val="00107EAB"/>
    <w:rsid w:val="0011259E"/>
    <w:rsid w:val="00113D56"/>
    <w:rsid w:val="00116056"/>
    <w:rsid w:val="00124146"/>
    <w:rsid w:val="00125D10"/>
    <w:rsid w:val="0013026E"/>
    <w:rsid w:val="001412F8"/>
    <w:rsid w:val="00141BBE"/>
    <w:rsid w:val="001478CF"/>
    <w:rsid w:val="00176077"/>
    <w:rsid w:val="001849BF"/>
    <w:rsid w:val="0019108B"/>
    <w:rsid w:val="00192B82"/>
    <w:rsid w:val="00194115"/>
    <w:rsid w:val="0019446D"/>
    <w:rsid w:val="001944F9"/>
    <w:rsid w:val="00194990"/>
    <w:rsid w:val="001A0EC8"/>
    <w:rsid w:val="001A38E4"/>
    <w:rsid w:val="001A3DD3"/>
    <w:rsid w:val="001B36D1"/>
    <w:rsid w:val="001B4CA8"/>
    <w:rsid w:val="001B673B"/>
    <w:rsid w:val="001C10D3"/>
    <w:rsid w:val="001D153D"/>
    <w:rsid w:val="001D5C37"/>
    <w:rsid w:val="001E6F8A"/>
    <w:rsid w:val="00207A87"/>
    <w:rsid w:val="00213B6C"/>
    <w:rsid w:val="0022325C"/>
    <w:rsid w:val="00230B77"/>
    <w:rsid w:val="00230C9F"/>
    <w:rsid w:val="00236766"/>
    <w:rsid w:val="00243654"/>
    <w:rsid w:val="00244B4B"/>
    <w:rsid w:val="00250C76"/>
    <w:rsid w:val="00256AC5"/>
    <w:rsid w:val="00257C31"/>
    <w:rsid w:val="00257C7A"/>
    <w:rsid w:val="00265ADA"/>
    <w:rsid w:val="00283B92"/>
    <w:rsid w:val="00297C7B"/>
    <w:rsid w:val="002A142E"/>
    <w:rsid w:val="002A5EE7"/>
    <w:rsid w:val="002A77AA"/>
    <w:rsid w:val="002B544C"/>
    <w:rsid w:val="002B63B2"/>
    <w:rsid w:val="002B696F"/>
    <w:rsid w:val="002B7399"/>
    <w:rsid w:val="002C194E"/>
    <w:rsid w:val="002C234E"/>
    <w:rsid w:val="002C75C8"/>
    <w:rsid w:val="002D5E37"/>
    <w:rsid w:val="002E0575"/>
    <w:rsid w:val="002F226D"/>
    <w:rsid w:val="002F2784"/>
    <w:rsid w:val="002F32AE"/>
    <w:rsid w:val="00300916"/>
    <w:rsid w:val="00304798"/>
    <w:rsid w:val="00315D48"/>
    <w:rsid w:val="00323329"/>
    <w:rsid w:val="0032352D"/>
    <w:rsid w:val="00323840"/>
    <w:rsid w:val="00330B4B"/>
    <w:rsid w:val="00340956"/>
    <w:rsid w:val="0034178B"/>
    <w:rsid w:val="003448F4"/>
    <w:rsid w:val="00344EB9"/>
    <w:rsid w:val="003456C2"/>
    <w:rsid w:val="00350553"/>
    <w:rsid w:val="00352506"/>
    <w:rsid w:val="003605BE"/>
    <w:rsid w:val="00362EA7"/>
    <w:rsid w:val="00363113"/>
    <w:rsid w:val="00364B8A"/>
    <w:rsid w:val="00364F06"/>
    <w:rsid w:val="00376CA0"/>
    <w:rsid w:val="00377271"/>
    <w:rsid w:val="003842A2"/>
    <w:rsid w:val="003844D9"/>
    <w:rsid w:val="003873D6"/>
    <w:rsid w:val="00392127"/>
    <w:rsid w:val="00395348"/>
    <w:rsid w:val="00396430"/>
    <w:rsid w:val="003976C4"/>
    <w:rsid w:val="003A76AF"/>
    <w:rsid w:val="003B1BB2"/>
    <w:rsid w:val="003B2777"/>
    <w:rsid w:val="003C496B"/>
    <w:rsid w:val="003C6E1D"/>
    <w:rsid w:val="003C7F37"/>
    <w:rsid w:val="003D397E"/>
    <w:rsid w:val="003D6B91"/>
    <w:rsid w:val="003E0F83"/>
    <w:rsid w:val="003E175C"/>
    <w:rsid w:val="003E318C"/>
    <w:rsid w:val="003F05C7"/>
    <w:rsid w:val="003F509C"/>
    <w:rsid w:val="00412B6B"/>
    <w:rsid w:val="004133A2"/>
    <w:rsid w:val="00426782"/>
    <w:rsid w:val="0042777B"/>
    <w:rsid w:val="00427B8E"/>
    <w:rsid w:val="0043000F"/>
    <w:rsid w:val="00443B13"/>
    <w:rsid w:val="004462F4"/>
    <w:rsid w:val="00451F35"/>
    <w:rsid w:val="00455218"/>
    <w:rsid w:val="00455E35"/>
    <w:rsid w:val="00457B1B"/>
    <w:rsid w:val="00460660"/>
    <w:rsid w:val="00467D9A"/>
    <w:rsid w:val="00471AE5"/>
    <w:rsid w:val="00474449"/>
    <w:rsid w:val="00483A0B"/>
    <w:rsid w:val="004917E7"/>
    <w:rsid w:val="00493666"/>
    <w:rsid w:val="00495F0F"/>
    <w:rsid w:val="00497E76"/>
    <w:rsid w:val="004A28B1"/>
    <w:rsid w:val="004B75BB"/>
    <w:rsid w:val="004C082B"/>
    <w:rsid w:val="004C314B"/>
    <w:rsid w:val="004D1898"/>
    <w:rsid w:val="004E619E"/>
    <w:rsid w:val="004E72E6"/>
    <w:rsid w:val="004E782C"/>
    <w:rsid w:val="00501317"/>
    <w:rsid w:val="00503B6C"/>
    <w:rsid w:val="00505469"/>
    <w:rsid w:val="00507074"/>
    <w:rsid w:val="0051186C"/>
    <w:rsid w:val="00526546"/>
    <w:rsid w:val="00534416"/>
    <w:rsid w:val="00537234"/>
    <w:rsid w:val="005404C8"/>
    <w:rsid w:val="005521E7"/>
    <w:rsid w:val="0055572F"/>
    <w:rsid w:val="00555D03"/>
    <w:rsid w:val="0056126E"/>
    <w:rsid w:val="00572A0A"/>
    <w:rsid w:val="00574193"/>
    <w:rsid w:val="00577BB8"/>
    <w:rsid w:val="00592C8F"/>
    <w:rsid w:val="005A69DB"/>
    <w:rsid w:val="005A6BFA"/>
    <w:rsid w:val="005C55C3"/>
    <w:rsid w:val="005C69A8"/>
    <w:rsid w:val="005C7E65"/>
    <w:rsid w:val="005D10A8"/>
    <w:rsid w:val="005D5C40"/>
    <w:rsid w:val="005E1F82"/>
    <w:rsid w:val="005E5BA8"/>
    <w:rsid w:val="005F4691"/>
    <w:rsid w:val="005F743E"/>
    <w:rsid w:val="0061075F"/>
    <w:rsid w:val="00615AC2"/>
    <w:rsid w:val="00621143"/>
    <w:rsid w:val="00625291"/>
    <w:rsid w:val="006273CA"/>
    <w:rsid w:val="00643239"/>
    <w:rsid w:val="006566AC"/>
    <w:rsid w:val="0066119D"/>
    <w:rsid w:val="006643A3"/>
    <w:rsid w:val="006670A7"/>
    <w:rsid w:val="006812FB"/>
    <w:rsid w:val="00682309"/>
    <w:rsid w:val="00683E71"/>
    <w:rsid w:val="00686ED6"/>
    <w:rsid w:val="006A24B4"/>
    <w:rsid w:val="006A5191"/>
    <w:rsid w:val="006B41E9"/>
    <w:rsid w:val="006B6E30"/>
    <w:rsid w:val="006B7634"/>
    <w:rsid w:val="006D0410"/>
    <w:rsid w:val="006D7888"/>
    <w:rsid w:val="006E5D20"/>
    <w:rsid w:val="006F39E7"/>
    <w:rsid w:val="007121A9"/>
    <w:rsid w:val="007278C9"/>
    <w:rsid w:val="00730B8C"/>
    <w:rsid w:val="0073355B"/>
    <w:rsid w:val="00737872"/>
    <w:rsid w:val="00740D29"/>
    <w:rsid w:val="007456AF"/>
    <w:rsid w:val="0075790C"/>
    <w:rsid w:val="0076087D"/>
    <w:rsid w:val="007641EB"/>
    <w:rsid w:val="00770AEF"/>
    <w:rsid w:val="00772365"/>
    <w:rsid w:val="00772D66"/>
    <w:rsid w:val="00774D02"/>
    <w:rsid w:val="007758A2"/>
    <w:rsid w:val="007818C8"/>
    <w:rsid w:val="00787CEC"/>
    <w:rsid w:val="007A0713"/>
    <w:rsid w:val="007A6CE9"/>
    <w:rsid w:val="007C1844"/>
    <w:rsid w:val="007E030B"/>
    <w:rsid w:val="007E034E"/>
    <w:rsid w:val="007E23F5"/>
    <w:rsid w:val="007F1C06"/>
    <w:rsid w:val="007F50B6"/>
    <w:rsid w:val="00804859"/>
    <w:rsid w:val="00815CC7"/>
    <w:rsid w:val="00823DA7"/>
    <w:rsid w:val="00826658"/>
    <w:rsid w:val="00831577"/>
    <w:rsid w:val="00835AEC"/>
    <w:rsid w:val="008459AB"/>
    <w:rsid w:val="00880553"/>
    <w:rsid w:val="008874F1"/>
    <w:rsid w:val="00892197"/>
    <w:rsid w:val="008921A6"/>
    <w:rsid w:val="008921E7"/>
    <w:rsid w:val="00892566"/>
    <w:rsid w:val="008A0CA3"/>
    <w:rsid w:val="008B1823"/>
    <w:rsid w:val="008C0AF6"/>
    <w:rsid w:val="008C1C94"/>
    <w:rsid w:val="008D15B8"/>
    <w:rsid w:val="008D40BB"/>
    <w:rsid w:val="008E00D3"/>
    <w:rsid w:val="008E1F12"/>
    <w:rsid w:val="008E4D6F"/>
    <w:rsid w:val="008E54FE"/>
    <w:rsid w:val="008E790B"/>
    <w:rsid w:val="00912CCC"/>
    <w:rsid w:val="00920C99"/>
    <w:rsid w:val="00921F59"/>
    <w:rsid w:val="00930544"/>
    <w:rsid w:val="0093180D"/>
    <w:rsid w:val="009318C8"/>
    <w:rsid w:val="00935E1B"/>
    <w:rsid w:val="0093775F"/>
    <w:rsid w:val="00945570"/>
    <w:rsid w:val="00945A48"/>
    <w:rsid w:val="00951609"/>
    <w:rsid w:val="00952A9B"/>
    <w:rsid w:val="00954A68"/>
    <w:rsid w:val="0095607A"/>
    <w:rsid w:val="00961F78"/>
    <w:rsid w:val="0096200E"/>
    <w:rsid w:val="00962C32"/>
    <w:rsid w:val="00985C3F"/>
    <w:rsid w:val="0098787A"/>
    <w:rsid w:val="009900ED"/>
    <w:rsid w:val="00994514"/>
    <w:rsid w:val="00997979"/>
    <w:rsid w:val="009A00F5"/>
    <w:rsid w:val="009B0F77"/>
    <w:rsid w:val="009B3AAE"/>
    <w:rsid w:val="009C76D8"/>
    <w:rsid w:val="009D4F00"/>
    <w:rsid w:val="009E20B6"/>
    <w:rsid w:val="009E236C"/>
    <w:rsid w:val="009F0102"/>
    <w:rsid w:val="009F0EC5"/>
    <w:rsid w:val="009F1FF3"/>
    <w:rsid w:val="009F7C48"/>
    <w:rsid w:val="00A01AC1"/>
    <w:rsid w:val="00A03B4E"/>
    <w:rsid w:val="00A0495E"/>
    <w:rsid w:val="00A06468"/>
    <w:rsid w:val="00A06DF1"/>
    <w:rsid w:val="00A1617F"/>
    <w:rsid w:val="00A16E4F"/>
    <w:rsid w:val="00A2315B"/>
    <w:rsid w:val="00A310D8"/>
    <w:rsid w:val="00A40032"/>
    <w:rsid w:val="00A43250"/>
    <w:rsid w:val="00A52630"/>
    <w:rsid w:val="00A53F62"/>
    <w:rsid w:val="00A57C71"/>
    <w:rsid w:val="00A57CCD"/>
    <w:rsid w:val="00A61AEB"/>
    <w:rsid w:val="00A651F4"/>
    <w:rsid w:val="00A704B2"/>
    <w:rsid w:val="00A7102D"/>
    <w:rsid w:val="00A71041"/>
    <w:rsid w:val="00A72F46"/>
    <w:rsid w:val="00A74ECF"/>
    <w:rsid w:val="00A86396"/>
    <w:rsid w:val="00A97D3E"/>
    <w:rsid w:val="00AA276F"/>
    <w:rsid w:val="00AA589B"/>
    <w:rsid w:val="00AA6808"/>
    <w:rsid w:val="00AB1CBC"/>
    <w:rsid w:val="00AB233D"/>
    <w:rsid w:val="00AC206F"/>
    <w:rsid w:val="00AC2104"/>
    <w:rsid w:val="00AC2F3C"/>
    <w:rsid w:val="00AD7D2F"/>
    <w:rsid w:val="00AE3949"/>
    <w:rsid w:val="00AF0BA4"/>
    <w:rsid w:val="00AF7B9A"/>
    <w:rsid w:val="00B04FBD"/>
    <w:rsid w:val="00B07A2D"/>
    <w:rsid w:val="00B34AE6"/>
    <w:rsid w:val="00B40354"/>
    <w:rsid w:val="00B43BAC"/>
    <w:rsid w:val="00B45C47"/>
    <w:rsid w:val="00B46958"/>
    <w:rsid w:val="00B51675"/>
    <w:rsid w:val="00B51897"/>
    <w:rsid w:val="00B535C5"/>
    <w:rsid w:val="00B838C7"/>
    <w:rsid w:val="00B91938"/>
    <w:rsid w:val="00B92B84"/>
    <w:rsid w:val="00B95251"/>
    <w:rsid w:val="00B974A9"/>
    <w:rsid w:val="00BA0FF3"/>
    <w:rsid w:val="00BA51B1"/>
    <w:rsid w:val="00BA577D"/>
    <w:rsid w:val="00BA6AC2"/>
    <w:rsid w:val="00BA6E12"/>
    <w:rsid w:val="00BB4D1B"/>
    <w:rsid w:val="00BD1F5F"/>
    <w:rsid w:val="00BD6709"/>
    <w:rsid w:val="00BE1C2F"/>
    <w:rsid w:val="00BE78DD"/>
    <w:rsid w:val="00BF0665"/>
    <w:rsid w:val="00BF0A23"/>
    <w:rsid w:val="00BF3F9F"/>
    <w:rsid w:val="00BF7ADA"/>
    <w:rsid w:val="00C006F3"/>
    <w:rsid w:val="00C00A6F"/>
    <w:rsid w:val="00C02786"/>
    <w:rsid w:val="00C05855"/>
    <w:rsid w:val="00C1188C"/>
    <w:rsid w:val="00C3704D"/>
    <w:rsid w:val="00C3790C"/>
    <w:rsid w:val="00C4694A"/>
    <w:rsid w:val="00C568EE"/>
    <w:rsid w:val="00C600BF"/>
    <w:rsid w:val="00C61D21"/>
    <w:rsid w:val="00C653EC"/>
    <w:rsid w:val="00C67BB8"/>
    <w:rsid w:val="00C727B1"/>
    <w:rsid w:val="00C8197F"/>
    <w:rsid w:val="00C87CC2"/>
    <w:rsid w:val="00CA0F77"/>
    <w:rsid w:val="00CB54C9"/>
    <w:rsid w:val="00CB7638"/>
    <w:rsid w:val="00CC250D"/>
    <w:rsid w:val="00CC487B"/>
    <w:rsid w:val="00CC67DE"/>
    <w:rsid w:val="00CD3314"/>
    <w:rsid w:val="00CD38F6"/>
    <w:rsid w:val="00CD413D"/>
    <w:rsid w:val="00CD7F54"/>
    <w:rsid w:val="00CE1C64"/>
    <w:rsid w:val="00CE27E1"/>
    <w:rsid w:val="00CE4638"/>
    <w:rsid w:val="00CF2EB4"/>
    <w:rsid w:val="00D04BB9"/>
    <w:rsid w:val="00D056A8"/>
    <w:rsid w:val="00D07DCD"/>
    <w:rsid w:val="00D25E83"/>
    <w:rsid w:val="00D26F59"/>
    <w:rsid w:val="00D36CD4"/>
    <w:rsid w:val="00D37731"/>
    <w:rsid w:val="00D40741"/>
    <w:rsid w:val="00D4465D"/>
    <w:rsid w:val="00D47B3C"/>
    <w:rsid w:val="00D5444E"/>
    <w:rsid w:val="00D62E75"/>
    <w:rsid w:val="00D659D2"/>
    <w:rsid w:val="00D67E58"/>
    <w:rsid w:val="00D72E13"/>
    <w:rsid w:val="00D7310B"/>
    <w:rsid w:val="00D811CF"/>
    <w:rsid w:val="00D82427"/>
    <w:rsid w:val="00D83B34"/>
    <w:rsid w:val="00D862F5"/>
    <w:rsid w:val="00D9461E"/>
    <w:rsid w:val="00D953EC"/>
    <w:rsid w:val="00DA42E0"/>
    <w:rsid w:val="00DA61D8"/>
    <w:rsid w:val="00DA6B3A"/>
    <w:rsid w:val="00DB151D"/>
    <w:rsid w:val="00DB336F"/>
    <w:rsid w:val="00DB58F3"/>
    <w:rsid w:val="00DC52CE"/>
    <w:rsid w:val="00DD36B8"/>
    <w:rsid w:val="00DD3C6C"/>
    <w:rsid w:val="00DE7BBB"/>
    <w:rsid w:val="00DF0F7D"/>
    <w:rsid w:val="00E0209F"/>
    <w:rsid w:val="00E047E5"/>
    <w:rsid w:val="00E05EC3"/>
    <w:rsid w:val="00E0662F"/>
    <w:rsid w:val="00E13A7E"/>
    <w:rsid w:val="00E20E46"/>
    <w:rsid w:val="00E2350C"/>
    <w:rsid w:val="00E31D6B"/>
    <w:rsid w:val="00E34F7D"/>
    <w:rsid w:val="00E35678"/>
    <w:rsid w:val="00E40014"/>
    <w:rsid w:val="00E46174"/>
    <w:rsid w:val="00E46430"/>
    <w:rsid w:val="00E46A71"/>
    <w:rsid w:val="00E534AA"/>
    <w:rsid w:val="00E549AF"/>
    <w:rsid w:val="00E56E50"/>
    <w:rsid w:val="00E718FC"/>
    <w:rsid w:val="00E73F31"/>
    <w:rsid w:val="00E76110"/>
    <w:rsid w:val="00E824E0"/>
    <w:rsid w:val="00E86049"/>
    <w:rsid w:val="00E90159"/>
    <w:rsid w:val="00E96AAE"/>
    <w:rsid w:val="00EA040C"/>
    <w:rsid w:val="00EA79CC"/>
    <w:rsid w:val="00EB5290"/>
    <w:rsid w:val="00EC3187"/>
    <w:rsid w:val="00EC696A"/>
    <w:rsid w:val="00EE0CF2"/>
    <w:rsid w:val="00EE1EF3"/>
    <w:rsid w:val="00EE2A41"/>
    <w:rsid w:val="00EE3BC9"/>
    <w:rsid w:val="00EF1F50"/>
    <w:rsid w:val="00EF7D5B"/>
    <w:rsid w:val="00F017B6"/>
    <w:rsid w:val="00F10E27"/>
    <w:rsid w:val="00F12707"/>
    <w:rsid w:val="00F13279"/>
    <w:rsid w:val="00F147EB"/>
    <w:rsid w:val="00F30858"/>
    <w:rsid w:val="00F321E8"/>
    <w:rsid w:val="00F330D5"/>
    <w:rsid w:val="00F34369"/>
    <w:rsid w:val="00F356B9"/>
    <w:rsid w:val="00F36CFF"/>
    <w:rsid w:val="00F402D8"/>
    <w:rsid w:val="00F40598"/>
    <w:rsid w:val="00F40A0A"/>
    <w:rsid w:val="00F55BF5"/>
    <w:rsid w:val="00F736E2"/>
    <w:rsid w:val="00F7418A"/>
    <w:rsid w:val="00F75BA8"/>
    <w:rsid w:val="00F80A1F"/>
    <w:rsid w:val="00F915CE"/>
    <w:rsid w:val="00F92D21"/>
    <w:rsid w:val="00F97B12"/>
    <w:rsid w:val="00FA1B99"/>
    <w:rsid w:val="00FA39F6"/>
    <w:rsid w:val="00FA668A"/>
    <w:rsid w:val="00FB7903"/>
    <w:rsid w:val="00FC6727"/>
    <w:rsid w:val="00FE521E"/>
    <w:rsid w:val="00FF02D6"/>
    <w:rsid w:val="00FF1590"/>
    <w:rsid w:val="00FF7F88"/>
    <w:rsid w:val="01064CDB"/>
    <w:rsid w:val="010C319E"/>
    <w:rsid w:val="01353B83"/>
    <w:rsid w:val="01BC31F3"/>
    <w:rsid w:val="01D238F1"/>
    <w:rsid w:val="02423388"/>
    <w:rsid w:val="02966B06"/>
    <w:rsid w:val="02D36A34"/>
    <w:rsid w:val="030C3BCA"/>
    <w:rsid w:val="03771E4E"/>
    <w:rsid w:val="037C36F4"/>
    <w:rsid w:val="039053A2"/>
    <w:rsid w:val="03A26DA5"/>
    <w:rsid w:val="040F6614"/>
    <w:rsid w:val="042E6970"/>
    <w:rsid w:val="04910925"/>
    <w:rsid w:val="04A44401"/>
    <w:rsid w:val="04BD7698"/>
    <w:rsid w:val="052E2180"/>
    <w:rsid w:val="053C4E9B"/>
    <w:rsid w:val="05724892"/>
    <w:rsid w:val="05C5468D"/>
    <w:rsid w:val="05C6189D"/>
    <w:rsid w:val="06DC0621"/>
    <w:rsid w:val="0702276C"/>
    <w:rsid w:val="07357052"/>
    <w:rsid w:val="075F5C8E"/>
    <w:rsid w:val="076A3AC8"/>
    <w:rsid w:val="079603C8"/>
    <w:rsid w:val="07E11E89"/>
    <w:rsid w:val="082D17D8"/>
    <w:rsid w:val="08553797"/>
    <w:rsid w:val="094617FE"/>
    <w:rsid w:val="096865DC"/>
    <w:rsid w:val="099D3168"/>
    <w:rsid w:val="09D521B8"/>
    <w:rsid w:val="09D55B9C"/>
    <w:rsid w:val="09DE4F12"/>
    <w:rsid w:val="0A236F8E"/>
    <w:rsid w:val="0A4B13A4"/>
    <w:rsid w:val="0A833D20"/>
    <w:rsid w:val="0A980383"/>
    <w:rsid w:val="0AB45767"/>
    <w:rsid w:val="0AF10A72"/>
    <w:rsid w:val="0B2C71AC"/>
    <w:rsid w:val="0B333B2E"/>
    <w:rsid w:val="0B6C5132"/>
    <w:rsid w:val="0B8370EB"/>
    <w:rsid w:val="0C843CB2"/>
    <w:rsid w:val="0D1C71A2"/>
    <w:rsid w:val="0D3879AA"/>
    <w:rsid w:val="0D4F0D0D"/>
    <w:rsid w:val="0D7D6374"/>
    <w:rsid w:val="0E225B1C"/>
    <w:rsid w:val="0E4A4A95"/>
    <w:rsid w:val="0EA12FAF"/>
    <w:rsid w:val="0EB6227D"/>
    <w:rsid w:val="0ECE66CD"/>
    <w:rsid w:val="0EEC0022"/>
    <w:rsid w:val="0F0F4DA3"/>
    <w:rsid w:val="0F1A6A15"/>
    <w:rsid w:val="0F5B0E46"/>
    <w:rsid w:val="0FB668D0"/>
    <w:rsid w:val="0FBD3F18"/>
    <w:rsid w:val="0FC941A9"/>
    <w:rsid w:val="0FDC2A59"/>
    <w:rsid w:val="0FDD2E42"/>
    <w:rsid w:val="0FDF3F48"/>
    <w:rsid w:val="0FED2749"/>
    <w:rsid w:val="101E14B7"/>
    <w:rsid w:val="1046034B"/>
    <w:rsid w:val="10B61F47"/>
    <w:rsid w:val="10B75B4E"/>
    <w:rsid w:val="10EC445A"/>
    <w:rsid w:val="10EE24F9"/>
    <w:rsid w:val="11306FFB"/>
    <w:rsid w:val="113B3A0C"/>
    <w:rsid w:val="11676ED0"/>
    <w:rsid w:val="117E1DB1"/>
    <w:rsid w:val="11B21C09"/>
    <w:rsid w:val="11E271FE"/>
    <w:rsid w:val="126B46C6"/>
    <w:rsid w:val="129D1DC2"/>
    <w:rsid w:val="12B41205"/>
    <w:rsid w:val="12CB539D"/>
    <w:rsid w:val="12FC32E0"/>
    <w:rsid w:val="13687A7C"/>
    <w:rsid w:val="13B10A95"/>
    <w:rsid w:val="13BD56CB"/>
    <w:rsid w:val="14113D1D"/>
    <w:rsid w:val="14253B8C"/>
    <w:rsid w:val="14F82827"/>
    <w:rsid w:val="15526B60"/>
    <w:rsid w:val="1553656A"/>
    <w:rsid w:val="15A5214F"/>
    <w:rsid w:val="16247727"/>
    <w:rsid w:val="16BA6B13"/>
    <w:rsid w:val="16C91BE2"/>
    <w:rsid w:val="16F02752"/>
    <w:rsid w:val="17371DAE"/>
    <w:rsid w:val="178B717D"/>
    <w:rsid w:val="17A76277"/>
    <w:rsid w:val="17AA5851"/>
    <w:rsid w:val="18184DAD"/>
    <w:rsid w:val="181B14AA"/>
    <w:rsid w:val="1829592C"/>
    <w:rsid w:val="184C5984"/>
    <w:rsid w:val="18AD7ABD"/>
    <w:rsid w:val="18D17C57"/>
    <w:rsid w:val="18D82E68"/>
    <w:rsid w:val="18DD2F82"/>
    <w:rsid w:val="190450CD"/>
    <w:rsid w:val="192D0BBE"/>
    <w:rsid w:val="193D5204"/>
    <w:rsid w:val="19536812"/>
    <w:rsid w:val="19573B77"/>
    <w:rsid w:val="196F66F7"/>
    <w:rsid w:val="19BC1800"/>
    <w:rsid w:val="19D06BEA"/>
    <w:rsid w:val="19DE20C4"/>
    <w:rsid w:val="19E4428B"/>
    <w:rsid w:val="19F25B97"/>
    <w:rsid w:val="1A0E682A"/>
    <w:rsid w:val="1A1C52BD"/>
    <w:rsid w:val="1A453D30"/>
    <w:rsid w:val="1AAD328F"/>
    <w:rsid w:val="1ADC78AD"/>
    <w:rsid w:val="1AE04387"/>
    <w:rsid w:val="1AED317B"/>
    <w:rsid w:val="1B033054"/>
    <w:rsid w:val="1B2E2B45"/>
    <w:rsid w:val="1B3118FB"/>
    <w:rsid w:val="1C522FA5"/>
    <w:rsid w:val="1C556FE6"/>
    <w:rsid w:val="1C915395"/>
    <w:rsid w:val="1CB07A59"/>
    <w:rsid w:val="1CC86C88"/>
    <w:rsid w:val="1CF46F9E"/>
    <w:rsid w:val="1D28343D"/>
    <w:rsid w:val="1D6C4A18"/>
    <w:rsid w:val="1D702E9C"/>
    <w:rsid w:val="1D8D256A"/>
    <w:rsid w:val="1D9B01AC"/>
    <w:rsid w:val="1E30508C"/>
    <w:rsid w:val="1E645DFD"/>
    <w:rsid w:val="1E787990"/>
    <w:rsid w:val="1E9B3F7F"/>
    <w:rsid w:val="1EEB014F"/>
    <w:rsid w:val="1F1C30E6"/>
    <w:rsid w:val="1F1C501D"/>
    <w:rsid w:val="1F220800"/>
    <w:rsid w:val="1F274743"/>
    <w:rsid w:val="1F3A5DDD"/>
    <w:rsid w:val="1F503EE1"/>
    <w:rsid w:val="1F7E0777"/>
    <w:rsid w:val="1FB8747B"/>
    <w:rsid w:val="2058532B"/>
    <w:rsid w:val="20E478C3"/>
    <w:rsid w:val="21103C08"/>
    <w:rsid w:val="215B2132"/>
    <w:rsid w:val="216F3B19"/>
    <w:rsid w:val="21B05901"/>
    <w:rsid w:val="223913A3"/>
    <w:rsid w:val="225309E6"/>
    <w:rsid w:val="23606FA6"/>
    <w:rsid w:val="236402AE"/>
    <w:rsid w:val="238C5263"/>
    <w:rsid w:val="239A7FF1"/>
    <w:rsid w:val="23AD462C"/>
    <w:rsid w:val="24021B98"/>
    <w:rsid w:val="2431171D"/>
    <w:rsid w:val="244A7FF7"/>
    <w:rsid w:val="24713EC6"/>
    <w:rsid w:val="24C961D7"/>
    <w:rsid w:val="254E6D71"/>
    <w:rsid w:val="25751614"/>
    <w:rsid w:val="26323B1D"/>
    <w:rsid w:val="264D169D"/>
    <w:rsid w:val="26821B88"/>
    <w:rsid w:val="26D61DC1"/>
    <w:rsid w:val="27282822"/>
    <w:rsid w:val="27596CFC"/>
    <w:rsid w:val="276B4CFF"/>
    <w:rsid w:val="28693E0A"/>
    <w:rsid w:val="286D3690"/>
    <w:rsid w:val="28B840D7"/>
    <w:rsid w:val="28D5255B"/>
    <w:rsid w:val="2989417A"/>
    <w:rsid w:val="29AD13C0"/>
    <w:rsid w:val="29C139E0"/>
    <w:rsid w:val="29D440E5"/>
    <w:rsid w:val="29EF6F5E"/>
    <w:rsid w:val="2A0E657B"/>
    <w:rsid w:val="2A1B36BD"/>
    <w:rsid w:val="2A311FAF"/>
    <w:rsid w:val="2A3350C7"/>
    <w:rsid w:val="2A7B32F9"/>
    <w:rsid w:val="2A9322C7"/>
    <w:rsid w:val="2A9D2874"/>
    <w:rsid w:val="2AB64414"/>
    <w:rsid w:val="2ABA2805"/>
    <w:rsid w:val="2B4059FE"/>
    <w:rsid w:val="2BD162D8"/>
    <w:rsid w:val="2C9B6657"/>
    <w:rsid w:val="2CAC58A2"/>
    <w:rsid w:val="2D3F05F2"/>
    <w:rsid w:val="2D4E5DBF"/>
    <w:rsid w:val="2D4E6CCB"/>
    <w:rsid w:val="2DC1469E"/>
    <w:rsid w:val="2E267ED4"/>
    <w:rsid w:val="2EBF4B6D"/>
    <w:rsid w:val="2F131241"/>
    <w:rsid w:val="2F7D446E"/>
    <w:rsid w:val="2F820608"/>
    <w:rsid w:val="306C536B"/>
    <w:rsid w:val="30F606AA"/>
    <w:rsid w:val="30FF3AD7"/>
    <w:rsid w:val="31073155"/>
    <w:rsid w:val="313B0D84"/>
    <w:rsid w:val="31B11C51"/>
    <w:rsid w:val="31B24659"/>
    <w:rsid w:val="32053B2A"/>
    <w:rsid w:val="32274F81"/>
    <w:rsid w:val="32476C61"/>
    <w:rsid w:val="329754F4"/>
    <w:rsid w:val="32EB443B"/>
    <w:rsid w:val="333E6CCD"/>
    <w:rsid w:val="33991833"/>
    <w:rsid w:val="339F2001"/>
    <w:rsid w:val="33D01EA0"/>
    <w:rsid w:val="342D19C4"/>
    <w:rsid w:val="3435474E"/>
    <w:rsid w:val="347D776C"/>
    <w:rsid w:val="34DC1D82"/>
    <w:rsid w:val="34F40C56"/>
    <w:rsid w:val="350B46D4"/>
    <w:rsid w:val="3510411F"/>
    <w:rsid w:val="35256552"/>
    <w:rsid w:val="352D5526"/>
    <w:rsid w:val="35445654"/>
    <w:rsid w:val="357709F2"/>
    <w:rsid w:val="36AC24F3"/>
    <w:rsid w:val="372956AE"/>
    <w:rsid w:val="37722A01"/>
    <w:rsid w:val="37BE0438"/>
    <w:rsid w:val="38526D80"/>
    <w:rsid w:val="387C7375"/>
    <w:rsid w:val="389F4848"/>
    <w:rsid w:val="38BB6EB1"/>
    <w:rsid w:val="38FB2BB6"/>
    <w:rsid w:val="39014F7B"/>
    <w:rsid w:val="392D4C83"/>
    <w:rsid w:val="399C02CA"/>
    <w:rsid w:val="399E6A75"/>
    <w:rsid w:val="39BB08E2"/>
    <w:rsid w:val="39D53B0F"/>
    <w:rsid w:val="39D64AB6"/>
    <w:rsid w:val="39E538F8"/>
    <w:rsid w:val="39EA78AE"/>
    <w:rsid w:val="3A483BD4"/>
    <w:rsid w:val="3ABC785C"/>
    <w:rsid w:val="3AF04F86"/>
    <w:rsid w:val="3B2353B2"/>
    <w:rsid w:val="3B5C7EB3"/>
    <w:rsid w:val="3B6C1753"/>
    <w:rsid w:val="3BA24E54"/>
    <w:rsid w:val="3C082944"/>
    <w:rsid w:val="3C4D5D4B"/>
    <w:rsid w:val="3C6D0D4E"/>
    <w:rsid w:val="3CB74262"/>
    <w:rsid w:val="3CFB49E1"/>
    <w:rsid w:val="3CFF7E6D"/>
    <w:rsid w:val="3DCF25A2"/>
    <w:rsid w:val="3DD42ED5"/>
    <w:rsid w:val="3E180F56"/>
    <w:rsid w:val="3E4453CE"/>
    <w:rsid w:val="403D1469"/>
    <w:rsid w:val="407A71AC"/>
    <w:rsid w:val="40931C3E"/>
    <w:rsid w:val="40FD7597"/>
    <w:rsid w:val="41524E79"/>
    <w:rsid w:val="415F2CFF"/>
    <w:rsid w:val="418D3B6A"/>
    <w:rsid w:val="41AE3F3E"/>
    <w:rsid w:val="41BF6B9F"/>
    <w:rsid w:val="41C01F57"/>
    <w:rsid w:val="41E11F84"/>
    <w:rsid w:val="42A058B2"/>
    <w:rsid w:val="42AA64E3"/>
    <w:rsid w:val="42E61424"/>
    <w:rsid w:val="434128F7"/>
    <w:rsid w:val="43BF0D0F"/>
    <w:rsid w:val="43C90148"/>
    <w:rsid w:val="440601F7"/>
    <w:rsid w:val="440B0C28"/>
    <w:rsid w:val="44121136"/>
    <w:rsid w:val="445446A7"/>
    <w:rsid w:val="446B4338"/>
    <w:rsid w:val="44752B19"/>
    <w:rsid w:val="44BE28A0"/>
    <w:rsid w:val="44F3670D"/>
    <w:rsid w:val="45232B6E"/>
    <w:rsid w:val="452D2ACF"/>
    <w:rsid w:val="45616811"/>
    <w:rsid w:val="459567CD"/>
    <w:rsid w:val="460F5C04"/>
    <w:rsid w:val="46143189"/>
    <w:rsid w:val="46292A6E"/>
    <w:rsid w:val="46787DD9"/>
    <w:rsid w:val="46BA19DA"/>
    <w:rsid w:val="470B2902"/>
    <w:rsid w:val="470D1B70"/>
    <w:rsid w:val="470D1E33"/>
    <w:rsid w:val="4795768C"/>
    <w:rsid w:val="47AD1255"/>
    <w:rsid w:val="47FB335B"/>
    <w:rsid w:val="486920BB"/>
    <w:rsid w:val="48790507"/>
    <w:rsid w:val="488C1197"/>
    <w:rsid w:val="48952DB6"/>
    <w:rsid w:val="48BB3A9E"/>
    <w:rsid w:val="48BC0913"/>
    <w:rsid w:val="491F426C"/>
    <w:rsid w:val="49214937"/>
    <w:rsid w:val="496A4C8A"/>
    <w:rsid w:val="496C46D8"/>
    <w:rsid w:val="49A947C9"/>
    <w:rsid w:val="49E50904"/>
    <w:rsid w:val="4A382ED0"/>
    <w:rsid w:val="4AB73535"/>
    <w:rsid w:val="4B276D08"/>
    <w:rsid w:val="4BB26FBF"/>
    <w:rsid w:val="4BB8076E"/>
    <w:rsid w:val="4BE31A33"/>
    <w:rsid w:val="4C572BDA"/>
    <w:rsid w:val="4D003931"/>
    <w:rsid w:val="4D10009A"/>
    <w:rsid w:val="4D1156D4"/>
    <w:rsid w:val="4D396A06"/>
    <w:rsid w:val="4D784DA1"/>
    <w:rsid w:val="4DA50709"/>
    <w:rsid w:val="4DDD311B"/>
    <w:rsid w:val="4E01624C"/>
    <w:rsid w:val="4E0E4737"/>
    <w:rsid w:val="4E7C0554"/>
    <w:rsid w:val="4ED56A4D"/>
    <w:rsid w:val="4F003454"/>
    <w:rsid w:val="4F146E80"/>
    <w:rsid w:val="4F477A9F"/>
    <w:rsid w:val="4FE62FA6"/>
    <w:rsid w:val="4FF50295"/>
    <w:rsid w:val="4FFD08DC"/>
    <w:rsid w:val="501C5233"/>
    <w:rsid w:val="509C595F"/>
    <w:rsid w:val="50C451F7"/>
    <w:rsid w:val="50D6342F"/>
    <w:rsid w:val="512004CC"/>
    <w:rsid w:val="51390927"/>
    <w:rsid w:val="5158614A"/>
    <w:rsid w:val="5176064D"/>
    <w:rsid w:val="51A445E6"/>
    <w:rsid w:val="520D1B28"/>
    <w:rsid w:val="521F3F17"/>
    <w:rsid w:val="52213E53"/>
    <w:rsid w:val="52497954"/>
    <w:rsid w:val="52887FDD"/>
    <w:rsid w:val="529F7E94"/>
    <w:rsid w:val="52E14B6F"/>
    <w:rsid w:val="52F94832"/>
    <w:rsid w:val="533C578C"/>
    <w:rsid w:val="534A525B"/>
    <w:rsid w:val="536332E7"/>
    <w:rsid w:val="53701644"/>
    <w:rsid w:val="53EC10AA"/>
    <w:rsid w:val="53F01384"/>
    <w:rsid w:val="54612F60"/>
    <w:rsid w:val="548C7E52"/>
    <w:rsid w:val="54B97659"/>
    <w:rsid w:val="54C7347A"/>
    <w:rsid w:val="559473B7"/>
    <w:rsid w:val="55FD2BB1"/>
    <w:rsid w:val="5613733C"/>
    <w:rsid w:val="5614381D"/>
    <w:rsid w:val="566D7BC9"/>
    <w:rsid w:val="56722493"/>
    <w:rsid w:val="568A65B1"/>
    <w:rsid w:val="569C064E"/>
    <w:rsid w:val="56EA631A"/>
    <w:rsid w:val="5737743C"/>
    <w:rsid w:val="5757387D"/>
    <w:rsid w:val="575B050A"/>
    <w:rsid w:val="575E173A"/>
    <w:rsid w:val="576C59C3"/>
    <w:rsid w:val="57DE2658"/>
    <w:rsid w:val="58246DF6"/>
    <w:rsid w:val="5828197A"/>
    <w:rsid w:val="58883D18"/>
    <w:rsid w:val="5953274E"/>
    <w:rsid w:val="59683CB0"/>
    <w:rsid w:val="59B91643"/>
    <w:rsid w:val="59C903DE"/>
    <w:rsid w:val="59CA727D"/>
    <w:rsid w:val="5A06193D"/>
    <w:rsid w:val="5A0A46DB"/>
    <w:rsid w:val="5A5A092E"/>
    <w:rsid w:val="5A830696"/>
    <w:rsid w:val="5AA81CBC"/>
    <w:rsid w:val="5AAD4A77"/>
    <w:rsid w:val="5AF35835"/>
    <w:rsid w:val="5AF55B0D"/>
    <w:rsid w:val="5B0179B9"/>
    <w:rsid w:val="5B0D5B7E"/>
    <w:rsid w:val="5B403FFF"/>
    <w:rsid w:val="5B453B0E"/>
    <w:rsid w:val="5B6169CC"/>
    <w:rsid w:val="5B8524B6"/>
    <w:rsid w:val="5B906A86"/>
    <w:rsid w:val="5BA47D79"/>
    <w:rsid w:val="5BC3646D"/>
    <w:rsid w:val="5BD466C9"/>
    <w:rsid w:val="5BE41EA8"/>
    <w:rsid w:val="5C113076"/>
    <w:rsid w:val="5C25064C"/>
    <w:rsid w:val="5C4B54BF"/>
    <w:rsid w:val="5CBC1940"/>
    <w:rsid w:val="5D3518A9"/>
    <w:rsid w:val="5D580FAA"/>
    <w:rsid w:val="5D772C8A"/>
    <w:rsid w:val="5DAC6F45"/>
    <w:rsid w:val="5DC92D9C"/>
    <w:rsid w:val="5DDE06DF"/>
    <w:rsid w:val="5E124B8C"/>
    <w:rsid w:val="5E51367A"/>
    <w:rsid w:val="5E866CC2"/>
    <w:rsid w:val="5ECA672C"/>
    <w:rsid w:val="5ED12AD4"/>
    <w:rsid w:val="5EE32896"/>
    <w:rsid w:val="5F1341AF"/>
    <w:rsid w:val="5F613845"/>
    <w:rsid w:val="5F7C6DF6"/>
    <w:rsid w:val="5F847E4D"/>
    <w:rsid w:val="600F093A"/>
    <w:rsid w:val="604F4E92"/>
    <w:rsid w:val="605C5FC3"/>
    <w:rsid w:val="607B619B"/>
    <w:rsid w:val="60BA37F3"/>
    <w:rsid w:val="60CB0086"/>
    <w:rsid w:val="615F361A"/>
    <w:rsid w:val="6164478B"/>
    <w:rsid w:val="6261044E"/>
    <w:rsid w:val="62824A07"/>
    <w:rsid w:val="62825CE2"/>
    <w:rsid w:val="628F77A4"/>
    <w:rsid w:val="62AE77F1"/>
    <w:rsid w:val="62F06D51"/>
    <w:rsid w:val="63184C11"/>
    <w:rsid w:val="637330FB"/>
    <w:rsid w:val="637D58C5"/>
    <w:rsid w:val="640567E0"/>
    <w:rsid w:val="647F6D61"/>
    <w:rsid w:val="64D47FEF"/>
    <w:rsid w:val="64E71EB1"/>
    <w:rsid w:val="650C2982"/>
    <w:rsid w:val="6548470F"/>
    <w:rsid w:val="657E3B90"/>
    <w:rsid w:val="65977255"/>
    <w:rsid w:val="662B35B5"/>
    <w:rsid w:val="679631BA"/>
    <w:rsid w:val="67BD5529"/>
    <w:rsid w:val="67C45B98"/>
    <w:rsid w:val="67D94E85"/>
    <w:rsid w:val="685C61D8"/>
    <w:rsid w:val="685D52EC"/>
    <w:rsid w:val="686B1DD4"/>
    <w:rsid w:val="68D62341"/>
    <w:rsid w:val="68F34E19"/>
    <w:rsid w:val="69021313"/>
    <w:rsid w:val="69B74BFE"/>
    <w:rsid w:val="69E04D55"/>
    <w:rsid w:val="6A916188"/>
    <w:rsid w:val="6AB07982"/>
    <w:rsid w:val="6AC1562F"/>
    <w:rsid w:val="6AD675C8"/>
    <w:rsid w:val="6AFF07A8"/>
    <w:rsid w:val="6AFF4074"/>
    <w:rsid w:val="6B4B624F"/>
    <w:rsid w:val="6B576CDE"/>
    <w:rsid w:val="6B67406B"/>
    <w:rsid w:val="6B7C73F9"/>
    <w:rsid w:val="6B807CC3"/>
    <w:rsid w:val="6B9C6F2C"/>
    <w:rsid w:val="6B9F376A"/>
    <w:rsid w:val="6BAF5F55"/>
    <w:rsid w:val="6C03213D"/>
    <w:rsid w:val="6C7611D6"/>
    <w:rsid w:val="6CAA7722"/>
    <w:rsid w:val="6CCA6AC0"/>
    <w:rsid w:val="6D0E78AE"/>
    <w:rsid w:val="6D9644A4"/>
    <w:rsid w:val="6DC22342"/>
    <w:rsid w:val="6DFB45E6"/>
    <w:rsid w:val="6E043303"/>
    <w:rsid w:val="6E367E90"/>
    <w:rsid w:val="6E5A3AFF"/>
    <w:rsid w:val="6E7569CD"/>
    <w:rsid w:val="6EEF260E"/>
    <w:rsid w:val="6F140707"/>
    <w:rsid w:val="6F250FA5"/>
    <w:rsid w:val="6F383AB7"/>
    <w:rsid w:val="6F6C5302"/>
    <w:rsid w:val="6FCA52B8"/>
    <w:rsid w:val="6FDA5668"/>
    <w:rsid w:val="6FF33077"/>
    <w:rsid w:val="6FF7BA20"/>
    <w:rsid w:val="6FFC0894"/>
    <w:rsid w:val="702276B4"/>
    <w:rsid w:val="70587702"/>
    <w:rsid w:val="70631941"/>
    <w:rsid w:val="70AB5184"/>
    <w:rsid w:val="70D92CC0"/>
    <w:rsid w:val="71094C5F"/>
    <w:rsid w:val="713112F6"/>
    <w:rsid w:val="713B0A5D"/>
    <w:rsid w:val="716521F9"/>
    <w:rsid w:val="717E145E"/>
    <w:rsid w:val="722D193E"/>
    <w:rsid w:val="72951C08"/>
    <w:rsid w:val="72CA3A7B"/>
    <w:rsid w:val="72D669BD"/>
    <w:rsid w:val="72E01A38"/>
    <w:rsid w:val="72F11115"/>
    <w:rsid w:val="73243EAC"/>
    <w:rsid w:val="73274602"/>
    <w:rsid w:val="73933194"/>
    <w:rsid w:val="73C9724B"/>
    <w:rsid w:val="745902EC"/>
    <w:rsid w:val="745B0BBA"/>
    <w:rsid w:val="75046426"/>
    <w:rsid w:val="75774F6B"/>
    <w:rsid w:val="75D36750"/>
    <w:rsid w:val="75F45F29"/>
    <w:rsid w:val="765911CF"/>
    <w:rsid w:val="766F68E5"/>
    <w:rsid w:val="76885BFC"/>
    <w:rsid w:val="76C313F5"/>
    <w:rsid w:val="76DD428A"/>
    <w:rsid w:val="76E3226B"/>
    <w:rsid w:val="776A341E"/>
    <w:rsid w:val="77950F9C"/>
    <w:rsid w:val="77EF5C0E"/>
    <w:rsid w:val="784F1D49"/>
    <w:rsid w:val="78AF1553"/>
    <w:rsid w:val="78D43F03"/>
    <w:rsid w:val="795264C2"/>
    <w:rsid w:val="79E125B8"/>
    <w:rsid w:val="7A2A5862"/>
    <w:rsid w:val="7AB11146"/>
    <w:rsid w:val="7AE40683"/>
    <w:rsid w:val="7AFA09A3"/>
    <w:rsid w:val="7B1519E7"/>
    <w:rsid w:val="7B195CD3"/>
    <w:rsid w:val="7B52010F"/>
    <w:rsid w:val="7B77D4C9"/>
    <w:rsid w:val="7BBA43EA"/>
    <w:rsid w:val="7BBC242C"/>
    <w:rsid w:val="7C5F4552"/>
    <w:rsid w:val="7C6D33DE"/>
    <w:rsid w:val="7C6F3F21"/>
    <w:rsid w:val="7C7F25F9"/>
    <w:rsid w:val="7C8E7BBD"/>
    <w:rsid w:val="7CAE15A2"/>
    <w:rsid w:val="7CBF5142"/>
    <w:rsid w:val="7CE12B0C"/>
    <w:rsid w:val="7CE67E85"/>
    <w:rsid w:val="7D35A5E9"/>
    <w:rsid w:val="7D436D0B"/>
    <w:rsid w:val="7D4804D0"/>
    <w:rsid w:val="7D8A225A"/>
    <w:rsid w:val="7D98555B"/>
    <w:rsid w:val="7DAB0B19"/>
    <w:rsid w:val="7DDE1B98"/>
    <w:rsid w:val="7DE33CFA"/>
    <w:rsid w:val="7DEB607B"/>
    <w:rsid w:val="7E4D6BEE"/>
    <w:rsid w:val="7ECD0579"/>
    <w:rsid w:val="7ED91044"/>
    <w:rsid w:val="7F2A2414"/>
    <w:rsid w:val="7FD04767"/>
    <w:rsid w:val="BEEF4878"/>
    <w:rsid w:val="CD7F1EFB"/>
    <w:rsid w:val="CF7F7CE2"/>
    <w:rsid w:val="D3F3C25F"/>
    <w:rsid w:val="DD97EFF9"/>
    <w:rsid w:val="DFDFEA9A"/>
    <w:rsid w:val="E982A548"/>
    <w:rsid w:val="EFDAD0B7"/>
    <w:rsid w:val="EFF43343"/>
    <w:rsid w:val="FD7F3E2B"/>
    <w:rsid w:val="FEF9E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hint="eastAsia"/>
      <w:szCs w:val="22"/>
    </w:rPr>
  </w:style>
  <w:style w:type="paragraph" w:customStyle="1" w:styleId="3">
    <w:name w:val="列表段落1"/>
    <w:next w:val="1"/>
    <w:qFormat/>
    <w:uiPriority w:val="0"/>
    <w:pPr>
      <w:wordWrap w:val="0"/>
      <w:ind w:left="850"/>
      <w:jc w:val="both"/>
    </w:pPr>
    <w:rPr>
      <w:rFonts w:ascii="Calibri" w:hAnsi="Calibri" w:eastAsia="方正小标宋简体" w:cs="Calibri"/>
      <w:sz w:val="21"/>
      <w:szCs w:val="21"/>
      <w:lang w:val="en-US" w:eastAsia="zh-CN" w:bidi="ar-SA"/>
    </w:r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basedOn w:val="1"/>
    <w:qFormat/>
    <w:uiPriority w:val="99"/>
    <w:pPr>
      <w:autoSpaceDE w:val="0"/>
      <w:autoSpaceDN w:val="0"/>
      <w:adjustRightInd w:val="0"/>
      <w:jc w:val="left"/>
    </w:pPr>
    <w:rPr>
      <w:rFonts w:ascii="??_GB2312" w:eastAsia="Times New Roman" w:cs="??_GB2312"/>
      <w:color w:val="000000"/>
      <w:kern w:val="0"/>
      <w:sz w:val="24"/>
    </w:rPr>
  </w:style>
  <w:style w:type="paragraph" w:customStyle="1" w:styleId="13">
    <w:name w:val="正文部分"/>
    <w:basedOn w:val="1"/>
    <w:qFormat/>
    <w:uiPriority w:val="0"/>
    <w:pPr>
      <w:adjustRightInd w:val="0"/>
      <w:snapToGrid w:val="0"/>
      <w:spacing w:line="460" w:lineRule="exact"/>
      <w:textAlignment w:val="baseline"/>
    </w:pPr>
    <w:rPr>
      <w:rFonts w:ascii="宋体" w:cs="仿宋_GB2312"/>
      <w:kern w:val="0"/>
      <w:sz w:val="30"/>
      <w:szCs w:val="30"/>
    </w:rPr>
  </w:style>
  <w:style w:type="character" w:customStyle="1" w:styleId="14">
    <w:name w:val="日期 Char"/>
    <w:basedOn w:val="11"/>
    <w:link w:val="4"/>
    <w:qFormat/>
    <w:uiPriority w:val="0"/>
    <w:rPr>
      <w:kern w:val="2"/>
      <w:sz w:val="21"/>
      <w:szCs w:val="24"/>
    </w:rPr>
  </w:style>
  <w:style w:type="character" w:customStyle="1" w:styleId="15">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796</Words>
  <Characters>4541</Characters>
  <Lines>37</Lines>
  <Paragraphs>10</Paragraphs>
  <TotalTime>85</TotalTime>
  <ScaleCrop>false</ScaleCrop>
  <LinksUpToDate>false</LinksUpToDate>
  <CharactersWithSpaces>5327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2023-10-28T10:17:00Z</dcterms:created>
  <dc:creator>Administrator</dc:creator>
  <cp:lastModifiedBy>Administrator</cp:lastModifiedBy>
  <cp:lastPrinted>2023-11-20T19:30:00Z</cp:lastPrinted>
  <dcterms:modified xsi:type="dcterms:W3CDTF">2023-11-22T15:27:29Z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D4F0CEE5A3C946B6BB675387173FC08C</vt:lpwstr>
  </property>
</Properties>
</file>