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3E0F0">
      <w:pPr>
        <w:adjustRightInd/>
        <w:snapToGrid/>
        <w:spacing w:line="560" w:lineRule="exact"/>
        <w:jc w:val="center"/>
        <w:rPr>
          <w:rFonts w:ascii="仿宋_GB2312" w:hAnsi="新宋体" w:eastAsia="仿宋_GB2312"/>
          <w:bCs/>
          <w:color w:val="000000"/>
          <w:sz w:val="32"/>
          <w:szCs w:val="32"/>
        </w:rPr>
      </w:pPr>
      <w:r>
        <w:rPr>
          <w:rFonts w:hint="eastAsia" w:ascii="仿宋_GB2312" w:hAnsi="仿宋_GB2312" w:eastAsia="仿宋_GB2312" w:cs="仿宋_GB2312"/>
          <w:color w:val="000000"/>
          <w:szCs w:val="32"/>
        </w:rPr>
        <w:t xml:space="preserve">     </w:t>
      </w:r>
    </w:p>
    <w:p w14:paraId="66AE0698">
      <w:pPr>
        <w:adjustRightInd/>
        <w:snapToGrid/>
        <w:spacing w:line="560" w:lineRule="exact"/>
        <w:jc w:val="center"/>
        <w:rPr>
          <w:rFonts w:ascii="仿宋_GB2312" w:hAnsi="新宋体" w:eastAsia="仿宋_GB2312"/>
          <w:bCs/>
          <w:color w:val="000000"/>
          <w:sz w:val="32"/>
          <w:szCs w:val="32"/>
        </w:rPr>
      </w:pPr>
    </w:p>
    <w:p w14:paraId="5ECB1991">
      <w:pPr>
        <w:adjustRightInd/>
        <w:snapToGrid/>
        <w:spacing w:line="560" w:lineRule="exact"/>
        <w:jc w:val="center"/>
        <w:rPr>
          <w:rFonts w:ascii="仿宋_GB2312" w:hAnsi="新宋体" w:eastAsia="仿宋_GB2312"/>
          <w:bCs/>
          <w:color w:val="000000"/>
          <w:sz w:val="32"/>
          <w:szCs w:val="32"/>
        </w:rPr>
      </w:pPr>
    </w:p>
    <w:p w14:paraId="0E3C0BFA">
      <w:pPr>
        <w:widowControl w:val="0"/>
        <w:adjustRightInd/>
        <w:snapToGrid/>
        <w:spacing w:line="560" w:lineRule="exact"/>
        <w:jc w:val="center"/>
        <w:rPr>
          <w:rFonts w:ascii="仿宋_GB2312" w:hAnsi="新宋体" w:eastAsia="仿宋_GB2312"/>
          <w:bCs/>
          <w:color w:val="000000"/>
          <w:sz w:val="32"/>
          <w:szCs w:val="32"/>
        </w:rPr>
      </w:pPr>
    </w:p>
    <w:p w14:paraId="1BE625B3">
      <w:pPr>
        <w:widowControl w:val="0"/>
        <w:adjustRightInd/>
        <w:snapToGrid/>
        <w:spacing w:line="560" w:lineRule="exact"/>
        <w:jc w:val="center"/>
        <w:rPr>
          <w:rFonts w:ascii="仿宋_GB2312" w:hAnsi="新宋体" w:eastAsia="仿宋_GB2312"/>
          <w:bCs/>
          <w:color w:val="000000"/>
          <w:sz w:val="32"/>
          <w:szCs w:val="32"/>
        </w:rPr>
      </w:pPr>
    </w:p>
    <w:p w14:paraId="14D2E54D">
      <w:pPr>
        <w:widowControl w:val="0"/>
        <w:adjustRightInd/>
        <w:snapToGrid/>
        <w:spacing w:line="880" w:lineRule="exact"/>
        <w:jc w:val="both"/>
        <w:rPr>
          <w:rFonts w:ascii="仿宋_GB2312" w:hAnsi="新宋体" w:eastAsia="仿宋_GB2312"/>
          <w:bCs/>
          <w:color w:val="000000"/>
          <w:sz w:val="32"/>
          <w:szCs w:val="32"/>
        </w:rPr>
      </w:pPr>
    </w:p>
    <w:p w14:paraId="3F850D57">
      <w:pPr>
        <w:widowControl w:val="0"/>
        <w:adjustRightInd/>
        <w:snapToGrid/>
        <w:spacing w:line="560" w:lineRule="exact"/>
        <w:jc w:val="center"/>
        <w:rPr>
          <w:rFonts w:ascii="仿宋_GB2312" w:hAnsi="新宋体" w:eastAsia="仿宋_GB2312"/>
          <w:bCs/>
          <w:color w:val="000000"/>
          <w:sz w:val="32"/>
          <w:szCs w:val="32"/>
        </w:rPr>
      </w:pPr>
      <w:r>
        <w:rPr>
          <w:rFonts w:hint="eastAsia" w:ascii="仿宋_GB2312" w:hAnsi="新宋体" w:eastAsia="仿宋_GB2312"/>
          <w:bCs/>
          <w:color w:val="000000"/>
          <w:sz w:val="32"/>
          <w:szCs w:val="32"/>
        </w:rPr>
        <w:t>眉政办发</w:t>
      </w:r>
      <w:r>
        <w:rPr>
          <w:rFonts w:hint="eastAsia" w:ascii="仿宋_GB2312" w:hAnsi="宋体" w:eastAsia="仿宋_GB2312"/>
          <w:color w:val="000000"/>
          <w:sz w:val="32"/>
          <w:szCs w:val="32"/>
        </w:rPr>
        <w:t>〔2024〕2</w:t>
      </w:r>
      <w:r>
        <w:rPr>
          <w:rFonts w:hint="eastAsia" w:ascii="仿宋_GB2312" w:hAnsi="新宋体" w:eastAsia="仿宋_GB2312"/>
          <w:bCs/>
          <w:color w:val="000000"/>
          <w:sz w:val="32"/>
          <w:szCs w:val="32"/>
        </w:rPr>
        <w:t>号</w:t>
      </w:r>
    </w:p>
    <w:p w14:paraId="6E067B00">
      <w:pPr>
        <w:pStyle w:val="9"/>
        <w:jc w:val="center"/>
        <w:rPr>
          <w:color w:val="000000"/>
        </w:rPr>
      </w:pPr>
    </w:p>
    <w:p w14:paraId="7DF05953">
      <w:pPr>
        <w:widowControl w:val="0"/>
        <w:overflowPunct w:val="0"/>
        <w:adjustRightInd/>
        <w:snapToGrid/>
        <w:spacing w:after="0" w:line="560" w:lineRule="exact"/>
        <w:jc w:val="center"/>
        <w:rPr>
          <w:rFonts w:ascii="方正小标宋简体" w:hAnsi="方正小标宋简体" w:eastAsia="方正小标宋简体" w:cs="方正小标宋简体"/>
          <w:bCs/>
          <w:color w:val="000000"/>
          <w:sz w:val="44"/>
          <w:szCs w:val="36"/>
        </w:rPr>
      </w:pPr>
      <w:bookmarkStart w:id="0" w:name="_GoBack"/>
      <w:r>
        <w:rPr>
          <w:rFonts w:hint="eastAsia" w:ascii="方正小标宋简体" w:hAnsi="方正小标宋简体" w:eastAsia="方正小标宋简体" w:cs="方正小标宋简体"/>
          <w:bCs/>
          <w:color w:val="000000"/>
          <w:sz w:val="44"/>
          <w:szCs w:val="36"/>
        </w:rPr>
        <w:t>眉县人民政府办公室</w:t>
      </w:r>
    </w:p>
    <w:p w14:paraId="2CB0D1BC">
      <w:pPr>
        <w:spacing w:after="0" w:line="560" w:lineRule="exact"/>
        <w:jc w:val="center"/>
        <w:rPr>
          <w:rFonts w:ascii="方正小标宋简体" w:hAnsi="方正小标宋简体" w:eastAsia="方正小标宋简体" w:cs="方正小标宋简体"/>
          <w:w w:val="99"/>
          <w:sz w:val="44"/>
          <w:szCs w:val="44"/>
        </w:rPr>
      </w:pPr>
      <w:r>
        <w:rPr>
          <w:rFonts w:hint="eastAsia" w:ascii="方正小标宋简体" w:hAnsi="方正小标宋简体" w:eastAsia="方正小标宋简体" w:cs="方正小标宋简体"/>
          <w:w w:val="90"/>
          <w:sz w:val="44"/>
          <w:szCs w:val="44"/>
        </w:rPr>
        <w:t>关于印发《</w:t>
      </w:r>
      <w:r>
        <w:rPr>
          <w:rFonts w:hint="eastAsia" w:ascii="方正小标宋简体" w:hAnsi="方正小标宋简体" w:eastAsia="方正小标宋简体" w:cs="方正小标宋简体"/>
          <w:w w:val="99"/>
          <w:sz w:val="44"/>
          <w:szCs w:val="44"/>
        </w:rPr>
        <w:t>眉县国家慢性病综合防控示范区</w:t>
      </w:r>
    </w:p>
    <w:p w14:paraId="6530B34A">
      <w:pPr>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建设工作方案》的通知</w:t>
      </w:r>
    </w:p>
    <w:bookmarkEnd w:id="0"/>
    <w:p w14:paraId="0FEAB8AB">
      <w:pPr>
        <w:adjustRightInd/>
        <w:snapToGrid/>
        <w:spacing w:after="0" w:line="560" w:lineRule="exact"/>
        <w:jc w:val="both"/>
        <w:rPr>
          <w:rFonts w:ascii="仿宋_GB2312" w:hAnsi="仿宋" w:eastAsia="仿宋_GB2312" w:cs="Times New Roman"/>
          <w:kern w:val="2"/>
          <w:sz w:val="32"/>
          <w:szCs w:val="32"/>
        </w:rPr>
      </w:pPr>
    </w:p>
    <w:p w14:paraId="3C4B9B7D">
      <w:pPr>
        <w:adjustRightInd/>
        <w:snapToGrid/>
        <w:spacing w:after="0" w:line="5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各镇人民政府、街道办事处，县政府各有关工作部门、各直属机构：</w:t>
      </w:r>
    </w:p>
    <w:p w14:paraId="4962B807">
      <w:pPr>
        <w:adjustRightInd/>
        <w:snapToGrid/>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《眉县国家慢性病综合防控示范区建设工作方案》已经县政府同意，现印发给你们，请认真抓好贯彻落实。</w:t>
      </w:r>
    </w:p>
    <w:p w14:paraId="00A8C75B">
      <w:pPr>
        <w:adjustRightInd/>
        <w:snapToGrid/>
        <w:spacing w:after="0" w:line="560" w:lineRule="exact"/>
        <w:ind w:firstLine="640" w:firstLineChars="200"/>
        <w:jc w:val="both"/>
        <w:rPr>
          <w:rFonts w:ascii="仿宋_GB2312" w:hAnsi="仿宋_GB2312" w:eastAsia="仿宋_GB2312" w:cs="仿宋_GB2312"/>
          <w:kern w:val="2"/>
          <w:sz w:val="32"/>
          <w:szCs w:val="32"/>
        </w:rPr>
      </w:pPr>
    </w:p>
    <w:p w14:paraId="0F741F4D">
      <w:pPr>
        <w:adjustRightInd/>
        <w:snapToGrid/>
        <w:spacing w:after="0" w:line="560" w:lineRule="exact"/>
        <w:ind w:firstLine="640" w:firstLineChars="200"/>
        <w:jc w:val="both"/>
        <w:rPr>
          <w:rFonts w:ascii="仿宋_GB2312" w:hAnsi="仿宋_GB2312" w:eastAsia="仿宋_GB2312" w:cs="仿宋_GB2312"/>
          <w:kern w:val="2"/>
          <w:sz w:val="32"/>
          <w:szCs w:val="32"/>
        </w:rPr>
      </w:pPr>
    </w:p>
    <w:p w14:paraId="31E86DB8">
      <w:pPr>
        <w:adjustRightInd/>
        <w:snapToGrid/>
        <w:spacing w:after="0" w:line="560" w:lineRule="exact"/>
        <w:ind w:firstLine="640" w:firstLineChars="200"/>
        <w:jc w:val="both"/>
        <w:rPr>
          <w:rFonts w:ascii="仿宋_GB2312" w:hAnsi="仿宋_GB2312" w:eastAsia="仿宋_GB2312" w:cs="仿宋_GB2312"/>
          <w:kern w:val="2"/>
          <w:sz w:val="32"/>
          <w:szCs w:val="32"/>
        </w:rPr>
      </w:pPr>
    </w:p>
    <w:p w14:paraId="0EBFC529">
      <w:pPr>
        <w:adjustRightInd/>
        <w:snapToGrid/>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眉县人民政府办公室</w:t>
      </w:r>
    </w:p>
    <w:p w14:paraId="27FF9A25">
      <w:pPr>
        <w:adjustRightInd/>
        <w:snapToGrid/>
        <w:spacing w:after="0" w:line="560" w:lineRule="exact"/>
        <w:ind w:firstLine="640" w:firstLineChars="200"/>
        <w:jc w:val="both"/>
        <w:rPr>
          <w:rFonts w:ascii="宋体" w:hAnsi="宋体" w:eastAsia="宋体" w:cs="宋体"/>
          <w:sz w:val="32"/>
          <w:szCs w:val="32"/>
        </w:rPr>
      </w:pP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10"/>
          <w:szCs w:val="10"/>
        </w:rPr>
        <w:t xml:space="preserve"> </w:t>
      </w:r>
      <w:r>
        <w:rPr>
          <w:rFonts w:hint="eastAsia" w:ascii="仿宋_GB2312" w:hAnsi="仿宋_GB2312" w:eastAsia="仿宋_GB2312" w:cs="仿宋_GB2312"/>
          <w:kern w:val="2"/>
          <w:sz w:val="32"/>
          <w:szCs w:val="32"/>
        </w:rPr>
        <w:t>2024年1月30日</w:t>
      </w:r>
    </w:p>
    <w:p w14:paraId="4F9EC473">
      <w:pPr>
        <w:shd w:val="clear" w:color="auto" w:fill="FFFFFF"/>
        <w:adjustRightInd/>
        <w:snapToGrid/>
        <w:spacing w:after="0" w:line="560" w:lineRule="exact"/>
        <w:ind w:firstLine="1320" w:firstLineChars="300"/>
        <w:jc w:val="both"/>
        <w:textAlignment w:val="baseline"/>
        <w:rPr>
          <w:rFonts w:ascii="方正小标宋简体" w:hAnsi="方正小标宋简体" w:eastAsia="方正小标宋简体" w:cs="方正小标宋简体"/>
          <w:bCs/>
          <w:kern w:val="2"/>
          <w:sz w:val="44"/>
          <w:szCs w:val="44"/>
        </w:rPr>
        <w:sectPr>
          <w:footerReference r:id="rId4" w:type="default"/>
          <w:pgSz w:w="11906" w:h="16838"/>
          <w:pgMar w:top="1417" w:right="1417" w:bottom="1417" w:left="1701" w:header="709" w:footer="907" w:gutter="0"/>
          <w:pgNumType w:fmt="numberInDash"/>
          <w:cols w:space="0" w:num="1"/>
          <w:docGrid w:linePitch="360" w:charSpace="0"/>
        </w:sectPr>
      </w:pPr>
    </w:p>
    <w:p w14:paraId="5BAB1531">
      <w:pPr>
        <w:widowControl w:val="0"/>
        <w:overflowPunct w:val="0"/>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9"/>
          <w:sz w:val="44"/>
          <w:szCs w:val="44"/>
        </w:rPr>
        <w:t>眉县国家慢性病综合防控示范区</w:t>
      </w:r>
      <w:r>
        <w:rPr>
          <w:rFonts w:hint="eastAsia" w:ascii="方正小标宋简体" w:hAnsi="方正小标宋简体" w:eastAsia="方正小标宋简体" w:cs="方正小标宋简体"/>
          <w:sz w:val="44"/>
          <w:szCs w:val="44"/>
        </w:rPr>
        <w:t>建设</w:t>
      </w:r>
    </w:p>
    <w:p w14:paraId="3509352F">
      <w:pPr>
        <w:widowControl w:val="0"/>
        <w:overflowPunct w:val="0"/>
        <w:spacing w:after="0" w:line="560" w:lineRule="exact"/>
        <w:jc w:val="center"/>
        <w:rPr>
          <w:rFonts w:ascii="仿宋_GB2312" w:hAnsi="仿宋_GB2312" w:eastAsia="仿宋_GB2312" w:cs="仿宋_GB2312"/>
          <w:kern w:val="2"/>
          <w:sz w:val="32"/>
          <w:szCs w:val="32"/>
        </w:rPr>
      </w:pPr>
      <w:r>
        <w:rPr>
          <w:rFonts w:hint="eastAsia" w:ascii="方正小标宋简体" w:hAnsi="方正小标宋简体" w:eastAsia="方正小标宋简体" w:cs="方正小标宋简体"/>
          <w:sz w:val="44"/>
          <w:szCs w:val="44"/>
        </w:rPr>
        <w:t>工作方案</w:t>
      </w:r>
    </w:p>
    <w:p w14:paraId="26EAAB02">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rPr>
      </w:pPr>
    </w:p>
    <w:p w14:paraId="67A3F5BA">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国家卫生计生委办公厅《关于印发慢性病综合防控示范区建设管理办法的通知》（国卫办疾控发〔2016〕44号）规定，国家慢性病综合防控示范区（以下简称慢性病示范区）实行动态管理和复审制度，2024年我县将迎接国家第二轮复审。为有序推进慢性病示范区复审工作，进一步提升我县慢性病防治管理水平，按照《“健康中国”2030规划纲要》《国家慢性病综合防控示范区建设指标体系（2020版）》要求，结合我县工作实际，特制定本方案。</w:t>
      </w:r>
    </w:p>
    <w:p w14:paraId="434DD672">
      <w:pPr>
        <w:widowControl w:val="0"/>
        <w:overflowPunct w:val="0"/>
        <w:adjustRightInd/>
        <w:snapToGrid/>
        <w:spacing w:after="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一、工作目标</w:t>
      </w:r>
    </w:p>
    <w:p w14:paraId="7446F4D2">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以习近平新时代中国特色社会主义思想为指导，深入贯彻党的二十大精神，</w:t>
      </w:r>
      <w:r>
        <w:rPr>
          <w:rFonts w:ascii="仿宋_GB2312" w:hAnsi="宋体" w:eastAsia="仿宋_GB2312" w:cs="仿宋_GB2312"/>
          <w:color w:val="000000"/>
          <w:sz w:val="31"/>
          <w:szCs w:val="31"/>
        </w:rPr>
        <w:t>全面落实习近平总书记</w:t>
      </w:r>
      <w:r>
        <w:rPr>
          <w:rFonts w:hint="eastAsia" w:ascii="仿宋_GB2312" w:hAnsi="宋体" w:eastAsia="仿宋_GB2312" w:cs="仿宋_GB2312"/>
          <w:color w:val="000000"/>
          <w:sz w:val="31"/>
          <w:szCs w:val="31"/>
        </w:rPr>
        <w:t>关于卫生健康工作重要指示批示精神，牢固树立“大卫生、大健康”理念，</w:t>
      </w:r>
      <w:r>
        <w:rPr>
          <w:rFonts w:hint="eastAsia" w:ascii="仿宋_GB2312" w:hAnsi="仿宋_GB2312" w:eastAsia="仿宋_GB2312" w:cs="仿宋_GB2312"/>
          <w:kern w:val="2"/>
          <w:sz w:val="32"/>
          <w:szCs w:val="32"/>
        </w:rPr>
        <w:t>坚持以人民健康为中心，以健康促进和健康管理为手段，以控制高血压、糖尿病等慢性非传染性疾病为突破口，通过普及健康生活、优化健康服务、完善健康保障、建设健康环境，</w:t>
      </w:r>
      <w:r>
        <w:rPr>
          <w:rFonts w:hint="eastAsia" w:ascii="仿宋_GB2312" w:hAnsi="宋体" w:eastAsia="仿宋_GB2312" w:cs="仿宋_GB2312"/>
          <w:color w:val="000000"/>
          <w:sz w:val="31"/>
          <w:szCs w:val="31"/>
        </w:rPr>
        <w:t>推</w:t>
      </w:r>
      <w:r>
        <w:rPr>
          <w:rFonts w:hint="eastAsia" w:ascii="仿宋_GB2312" w:hAnsi="仿宋_GB2312" w:eastAsia="仿宋_GB2312" w:cs="仿宋_GB2312"/>
          <w:kern w:val="2"/>
          <w:sz w:val="32"/>
          <w:szCs w:val="32"/>
        </w:rPr>
        <w:t>动完善“政府主导、部门协作、动员社会、全民参与”的慢性病综合防控机制，有效促进慢性病“防、治、康、管、保”整体融合发展，不断提升群众获得感和幸福感。</w:t>
      </w:r>
    </w:p>
    <w:p w14:paraId="6C26A5B8">
      <w:pPr>
        <w:widowControl w:val="0"/>
        <w:overflowPunct w:val="0"/>
        <w:adjustRightInd/>
        <w:snapToGrid/>
        <w:spacing w:after="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二、工作原则</w:t>
      </w:r>
    </w:p>
    <w:p w14:paraId="13A3FBFA">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rPr>
        <w:t>（一）坚持统筹协调。</w:t>
      </w:r>
      <w:r>
        <w:rPr>
          <w:rFonts w:hint="eastAsia" w:ascii="仿宋_GB2312" w:hAnsi="仿宋_GB2312" w:eastAsia="仿宋_GB2312" w:cs="仿宋_GB2312"/>
          <w:kern w:val="2"/>
          <w:sz w:val="32"/>
          <w:szCs w:val="32"/>
        </w:rPr>
        <w:t xml:space="preserve">统筹各方资源，强化部门协同，建立防治结合、分工协作、优势互补、上下联动的慢性病综合防治体系。 </w:t>
      </w:r>
    </w:p>
    <w:p w14:paraId="064B406A">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rPr>
        <w:t>（二）坚持共建共享。</w:t>
      </w:r>
      <w:r>
        <w:rPr>
          <w:rFonts w:hint="eastAsia" w:ascii="仿宋_GB2312" w:hAnsi="仿宋_GB2312" w:eastAsia="仿宋_GB2312" w:cs="仿宋_GB2312"/>
          <w:kern w:val="2"/>
          <w:sz w:val="32"/>
          <w:szCs w:val="32"/>
        </w:rPr>
        <w:t>将健康教育与健康促进贯穿于全生命周期，倡导“每个人是自己健康第一责任人”理念，引导群众养成健康的生活方式和习惯，构建自我为主、人际互助、社会支持、政府主导的健康管理模式。</w:t>
      </w:r>
    </w:p>
    <w:p w14:paraId="76D36CAA">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rPr>
        <w:t>（三）坚持预防为主。</w:t>
      </w:r>
      <w:r>
        <w:rPr>
          <w:rFonts w:hint="eastAsia" w:ascii="仿宋_GB2312" w:hAnsi="仿宋_GB2312" w:eastAsia="仿宋_GB2312" w:cs="仿宋_GB2312"/>
          <w:kern w:val="2"/>
          <w:sz w:val="32"/>
          <w:szCs w:val="32"/>
        </w:rPr>
        <w:t>创新医防协同机制，加强行为和环境危险因素控制，强化慢性病早期筛查和早期发现，坚持中西医并重，推动由疾病治疗向健康管理转变。</w:t>
      </w:r>
    </w:p>
    <w:p w14:paraId="284A6E38">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楷体_GB2312" w:hAnsi="楷体_GB2312" w:eastAsia="楷体_GB2312" w:cs="楷体_GB2312"/>
          <w:b/>
          <w:bCs/>
          <w:kern w:val="2"/>
          <w:sz w:val="32"/>
          <w:szCs w:val="32"/>
        </w:rPr>
        <w:t>（四）坚持分类指导。</w:t>
      </w:r>
      <w:r>
        <w:rPr>
          <w:rFonts w:hint="eastAsia" w:ascii="仿宋_GB2312" w:hAnsi="仿宋_GB2312" w:eastAsia="仿宋_GB2312" w:cs="仿宋_GB2312"/>
          <w:kern w:val="2"/>
          <w:sz w:val="32"/>
          <w:szCs w:val="32"/>
        </w:rPr>
        <w:t>根据慢性病流行特征和防治需求，确定针对性的防治目标和策略，实施有效防控措施。充分发挥慢性病示范区的典型引领作用，全面提升慢性病综合防治水平。</w:t>
      </w:r>
    </w:p>
    <w:p w14:paraId="0BF60C52">
      <w:pPr>
        <w:widowControl w:val="0"/>
        <w:overflowPunct w:val="0"/>
        <w:adjustRightInd/>
        <w:snapToGrid/>
        <w:spacing w:after="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三、职责分工</w:t>
      </w:r>
    </w:p>
    <w:p w14:paraId="66A896EA">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县政府办：</w:t>
      </w:r>
      <w:r>
        <w:rPr>
          <w:rFonts w:hint="eastAsia" w:ascii="仿宋_GB2312" w:hAnsi="仿宋_GB2312" w:eastAsia="仿宋_GB2312" w:cs="仿宋_GB2312"/>
          <w:kern w:val="2"/>
          <w:sz w:val="32"/>
          <w:szCs w:val="32"/>
        </w:rPr>
        <w:t>负责</w:t>
      </w:r>
      <w:r>
        <w:rPr>
          <w:rFonts w:ascii="仿宋_GB2312" w:hAnsi="仿宋_GB2312" w:eastAsia="仿宋_GB2312" w:cs="仿宋_GB2312"/>
          <w:kern w:val="2"/>
          <w:sz w:val="32"/>
          <w:szCs w:val="32"/>
        </w:rPr>
        <w:t>慢性病</w:t>
      </w:r>
      <w:r>
        <w:rPr>
          <w:rFonts w:hint="eastAsia" w:ascii="仿宋_GB2312" w:hAnsi="仿宋_GB2312" w:eastAsia="仿宋_GB2312" w:cs="仿宋_GB2312"/>
          <w:kern w:val="2"/>
          <w:sz w:val="32"/>
          <w:szCs w:val="32"/>
        </w:rPr>
        <w:t>示范区建设的综合协调，定期组织召开示范区建设领导小组会议、联络员会议，建立慢病示范区</w:t>
      </w:r>
      <w:r>
        <w:rPr>
          <w:rFonts w:hint="eastAsia" w:ascii="仿宋_GB2312" w:hAnsi="仿宋_GB2312" w:eastAsia="仿宋_GB2312" w:cs="仿宋_GB2312"/>
          <w:spacing w:val="-6"/>
          <w:kern w:val="2"/>
          <w:sz w:val="32"/>
          <w:szCs w:val="32"/>
        </w:rPr>
        <w:t>建设工作督查制度，督促各镇街、部门落实慢性病防控职责任务。</w:t>
      </w:r>
    </w:p>
    <w:p w14:paraId="296DFB54">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县委宣传部：</w:t>
      </w:r>
      <w:r>
        <w:rPr>
          <w:rFonts w:hint="eastAsia" w:ascii="仿宋_GB2312" w:hAnsi="仿宋_GB2312" w:eastAsia="仿宋_GB2312" w:cs="仿宋_GB2312"/>
          <w:kern w:val="2"/>
          <w:sz w:val="32"/>
          <w:szCs w:val="32"/>
          <w:shd w:val="clear" w:color="auto" w:fill="FFFFFF"/>
        </w:rPr>
        <w:t>负责宣传实施慢性病综合防控战略的重大意义、目标任务和策略措施。</w:t>
      </w:r>
      <w:r>
        <w:rPr>
          <w:rFonts w:hint="eastAsia" w:ascii="仿宋_GB2312" w:hAnsi="仿宋_GB2312" w:eastAsia="仿宋_GB2312" w:cs="仿宋_GB2312"/>
          <w:kern w:val="2"/>
          <w:sz w:val="32"/>
          <w:szCs w:val="32"/>
        </w:rPr>
        <w:t>制定</w:t>
      </w:r>
      <w:r>
        <w:rPr>
          <w:rFonts w:ascii="仿宋_GB2312" w:hAnsi="仿宋_GB2312" w:eastAsia="仿宋_GB2312" w:cs="仿宋_GB2312"/>
          <w:kern w:val="2"/>
          <w:sz w:val="32"/>
          <w:szCs w:val="32"/>
        </w:rPr>
        <w:t>慢性病综合防控</w:t>
      </w:r>
      <w:r>
        <w:rPr>
          <w:rFonts w:hint="eastAsia" w:ascii="仿宋_GB2312" w:hAnsi="仿宋_GB2312" w:eastAsia="仿宋_GB2312" w:cs="仿宋_GB2312"/>
          <w:kern w:val="2"/>
          <w:sz w:val="32"/>
          <w:szCs w:val="32"/>
        </w:rPr>
        <w:t>宣传计划，开办优质健康科普类栏目，利用各类媒体，广泛开展居民健康知识和慢性病防控知识宣传教育。</w:t>
      </w:r>
    </w:p>
    <w:p w14:paraId="3A5EBA1F">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县财政局：</w:t>
      </w:r>
      <w:r>
        <w:rPr>
          <w:rFonts w:hint="eastAsia" w:ascii="仿宋_GB2312" w:hAnsi="仿宋_GB2312" w:eastAsia="仿宋_GB2312" w:cs="仿宋_GB2312"/>
          <w:kern w:val="2"/>
          <w:sz w:val="32"/>
          <w:szCs w:val="32"/>
        </w:rPr>
        <w:t>将慢性病防控工作经费纳入政府预算，加强经费管理，确保专款专用。</w:t>
      </w:r>
    </w:p>
    <w:p w14:paraId="1DAA45E8">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县发改局：</w:t>
      </w:r>
      <w:r>
        <w:rPr>
          <w:rFonts w:hint="eastAsia" w:ascii="仿宋_GB2312" w:hAnsi="仿宋_GB2312" w:eastAsia="仿宋_GB2312" w:cs="仿宋_GB2312"/>
          <w:kern w:val="2"/>
          <w:sz w:val="32"/>
          <w:szCs w:val="32"/>
        </w:rPr>
        <w:t>负责将慢性病综合防控工作纳入全县经济社会发展规划，统筹协调发展。</w:t>
      </w:r>
    </w:p>
    <w:p w14:paraId="7516D20C">
      <w:pPr>
        <w:pStyle w:val="4"/>
        <w:widowControl w:val="0"/>
        <w:overflowPunct w:val="0"/>
        <w:adjustRightInd/>
        <w:snapToGrid/>
        <w:spacing w:beforeAutospacing="0" w:afterAutospacing="0" w:line="56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县教体局：</w:t>
      </w:r>
      <w:r>
        <w:rPr>
          <w:rFonts w:hint="eastAsia" w:ascii="仿宋_GB2312" w:hAnsi="仿宋_GB2312" w:eastAsia="仿宋_GB2312" w:cs="仿宋_GB2312"/>
          <w:kern w:val="2"/>
          <w:sz w:val="32"/>
          <w:szCs w:val="32"/>
        </w:rPr>
        <w:t>加强公共体育设施建设，组织并指导开展群众性体育、健身活动。开展中小学校、幼儿园健康行为方式教育，普及营养均衡、口腔保健、健康体重、视力保护等健康知识。按要求配备心理健康、卫生技术等工作人员，定期开展学生健康体检及健康指导。落实无烟学校、健康学校创建工作任务。</w:t>
      </w:r>
    </w:p>
    <w:p w14:paraId="6CC81DB0">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县医保局：</w:t>
      </w:r>
      <w:r>
        <w:rPr>
          <w:rFonts w:hint="eastAsia" w:ascii="仿宋_GB2312" w:hAnsi="仿宋_GB2312" w:eastAsia="仿宋_GB2312" w:cs="仿宋_GB2312"/>
          <w:kern w:val="2"/>
          <w:sz w:val="32"/>
          <w:szCs w:val="32"/>
        </w:rPr>
        <w:t>落实基本医疗保险、城乡居民大病保险和医疗救助重大疾病保障等相关政策，提高慢性病签约患者及弱势群体医疗救助水平。</w:t>
      </w:r>
    </w:p>
    <w:p w14:paraId="2241E656">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县住建局：</w:t>
      </w:r>
      <w:r>
        <w:rPr>
          <w:rFonts w:hint="eastAsia" w:ascii="仿宋_GB2312" w:hAnsi="楷体_GB2312" w:eastAsia="仿宋_GB2312" w:cs="楷体_GB2312"/>
          <w:sz w:val="32"/>
          <w:szCs w:val="32"/>
        </w:rPr>
        <w:t>将全民健身场所建设纳入城市发展规划，按照国家标准开展</w:t>
      </w:r>
      <w:r>
        <w:rPr>
          <w:rFonts w:hint="eastAsia" w:ascii="仿宋_GB2312" w:hAnsi="仿宋_GB2312" w:eastAsia="仿宋_GB2312" w:cs="仿宋_GB2312"/>
          <w:kern w:val="2"/>
          <w:sz w:val="32"/>
          <w:szCs w:val="32"/>
        </w:rPr>
        <w:t>健康主题公园、健康步道等健康支持性环境建设，做好已建成健康场所的维护和管理。</w:t>
      </w:r>
    </w:p>
    <w:p w14:paraId="3DBB220D">
      <w:pPr>
        <w:pStyle w:val="4"/>
        <w:widowControl w:val="0"/>
        <w:overflowPunct w:val="0"/>
        <w:adjustRightInd/>
        <w:snapToGrid/>
        <w:spacing w:beforeAutospacing="0" w:afterAutospacing="0" w:line="560" w:lineRule="exact"/>
        <w:ind w:firstLine="643" w:firstLineChars="200"/>
        <w:jc w:val="both"/>
        <w:rPr>
          <w:rFonts w:ascii="仿宋_GB2312" w:hAnsi="楷体_GB2312" w:eastAsia="仿宋_GB2312" w:cs="楷体_GB2312"/>
          <w:color w:val="0000FF"/>
          <w:sz w:val="32"/>
          <w:szCs w:val="32"/>
        </w:rPr>
      </w:pPr>
      <w:r>
        <w:rPr>
          <w:rFonts w:hint="eastAsia" w:ascii="仿宋_GB2312" w:hAnsi="仿宋_GB2312" w:eastAsia="仿宋_GB2312" w:cs="仿宋_GB2312"/>
          <w:b/>
          <w:bCs/>
          <w:kern w:val="2"/>
          <w:sz w:val="32"/>
          <w:szCs w:val="32"/>
        </w:rPr>
        <w:t>县卫健局：</w:t>
      </w:r>
      <w:r>
        <w:rPr>
          <w:rFonts w:hint="eastAsia" w:ascii="仿宋_GB2312" w:hAnsi="仿宋_GB2312" w:eastAsia="仿宋_GB2312" w:cs="仿宋_GB2312"/>
          <w:kern w:val="2"/>
          <w:sz w:val="32"/>
          <w:szCs w:val="32"/>
        </w:rPr>
        <w:t>强化慢性病防控队伍建设，开展慢性病及其高危人群筛查与干预，提供平衡膳食、身体活动、养生保健、体质辨识等咨询服务。建立分级诊疗制度，推进家庭医生签约服务。开展慢性病监测工作，制定并出台慢性病防治政策与策略。提供自助健康检测服务，推广中医适宜技术，发挥中医药在慢性病预防、保健、诊疗、康复中的作用。完善医疗质量管理与控制信息化平台，加强慢性病诊疗服务实时管理与控制，持续提升医疗质量和医疗安全水平。</w:t>
      </w:r>
    </w:p>
    <w:p w14:paraId="7A92261B">
      <w:pPr>
        <w:pStyle w:val="4"/>
        <w:widowControl w:val="0"/>
        <w:overflowPunct w:val="0"/>
        <w:adjustRightInd/>
        <w:snapToGrid/>
        <w:spacing w:beforeAutospacing="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县文旅局：</w:t>
      </w:r>
      <w:r>
        <w:rPr>
          <w:rFonts w:hint="eastAsia" w:ascii="仿宋_GB2312" w:hAnsi="仿宋_GB2312" w:eastAsia="仿宋_GB2312" w:cs="仿宋_GB2312"/>
          <w:kern w:val="2"/>
          <w:sz w:val="32"/>
          <w:szCs w:val="32"/>
        </w:rPr>
        <w:t>将健康元素融入社区文化和旅游景区环境建设，依托太白山资源优势，发展森林康养、中医药养生等健康产业。</w:t>
      </w:r>
    </w:p>
    <w:p w14:paraId="05C54C55">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县市场监管局：</w:t>
      </w:r>
      <w:r>
        <w:rPr>
          <w:rFonts w:hint="eastAsia" w:ascii="仿宋_GB2312" w:hAnsi="仿宋_GB2312" w:eastAsia="仿宋_GB2312" w:cs="仿宋_GB2312"/>
          <w:kern w:val="2"/>
          <w:sz w:val="32"/>
          <w:szCs w:val="32"/>
        </w:rPr>
        <w:t>负责健康餐厅（酒店）、健康食堂建设，加强对学校、幼儿园、养老机构等食品健康工作的指导，开展餐饮行业减盐减油减糖专项行动，引导食品生产企业开发和生产低糖、低脂和低盐食品。</w:t>
      </w:r>
    </w:p>
    <w:p w14:paraId="796830A0">
      <w:pPr>
        <w:pStyle w:val="4"/>
        <w:widowControl w:val="0"/>
        <w:overflowPunct w:val="0"/>
        <w:adjustRightInd/>
        <w:snapToGrid/>
        <w:spacing w:beforeAutospacing="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县民政局：</w:t>
      </w:r>
      <w:r>
        <w:rPr>
          <w:rFonts w:hint="eastAsia" w:ascii="仿宋_GB2312" w:hAnsi="仿宋_GB2312" w:eastAsia="仿宋_GB2312" w:cs="仿宋_GB2312"/>
          <w:kern w:val="2"/>
          <w:sz w:val="32"/>
          <w:szCs w:val="32"/>
        </w:rPr>
        <w:t>做好慢性病困难患者社会救助，引导社会力量参与慢病患者健康管理服务，推进社会养老机构建设，促进医养结合。</w:t>
      </w:r>
    </w:p>
    <w:p w14:paraId="10E20968">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县商务和工业信息化局：</w:t>
      </w:r>
      <w:r>
        <w:rPr>
          <w:rFonts w:hint="eastAsia" w:ascii="仿宋_GB2312" w:hAnsi="仿宋_GB2312" w:eastAsia="仿宋_GB2312" w:cs="仿宋_GB2312"/>
          <w:kern w:val="2"/>
          <w:sz w:val="32"/>
          <w:szCs w:val="32"/>
        </w:rPr>
        <w:t>负责健康超市、健康企业建设，全面推进控烟履约，加大控烟力度，做好公共场所禁烟工作。</w:t>
      </w:r>
    </w:p>
    <w:p w14:paraId="1F593747">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县交通局：</w:t>
      </w:r>
      <w:r>
        <w:rPr>
          <w:rFonts w:hint="eastAsia" w:ascii="仿宋_GB2312" w:hAnsi="仿宋_GB2312" w:eastAsia="仿宋_GB2312" w:cs="仿宋_GB2312"/>
          <w:kern w:val="2"/>
          <w:sz w:val="32"/>
          <w:szCs w:val="32"/>
        </w:rPr>
        <w:t>负责车站、公交站点等场所慢性病综合防控工作，利用公共交通工具宣传禁烟知识和居民健康素养知识。</w:t>
      </w:r>
    </w:p>
    <w:p w14:paraId="1E64DF8A">
      <w:pPr>
        <w:widowControl w:val="0"/>
        <w:overflowPunct w:val="0"/>
        <w:spacing w:after="0" w:line="560" w:lineRule="exact"/>
        <w:ind w:firstLine="723" w:firstLineChars="225"/>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县总工会：</w:t>
      </w:r>
      <w:r>
        <w:rPr>
          <w:rFonts w:hint="eastAsia" w:ascii="仿宋_GB2312" w:hAnsi="仿宋_GB2312" w:eastAsia="仿宋_GB2312" w:cs="仿宋_GB2312"/>
          <w:kern w:val="2"/>
          <w:sz w:val="32"/>
          <w:szCs w:val="32"/>
        </w:rPr>
        <w:t>组织开展全县干部职工集体性健身活动，督促机关、企事业单位落实职工定期体检和工间操制度。</w:t>
      </w:r>
    </w:p>
    <w:p w14:paraId="53A5F14C">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县科协：</w:t>
      </w:r>
      <w:r>
        <w:rPr>
          <w:rFonts w:hint="eastAsia" w:ascii="仿宋_GB2312" w:hAnsi="仿宋_GB2312" w:eastAsia="仿宋_GB2312" w:cs="仿宋_GB2312"/>
          <w:kern w:val="2"/>
          <w:sz w:val="32"/>
          <w:szCs w:val="32"/>
        </w:rPr>
        <w:t>建立并完善县级科普专家库，组织开展形式多样的健康科普活动。</w:t>
      </w:r>
    </w:p>
    <w:p w14:paraId="3C5428A9">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县统计局：</w:t>
      </w:r>
      <w:r>
        <w:rPr>
          <w:rFonts w:hint="eastAsia" w:ascii="仿宋_GB2312" w:hAnsi="仿宋_GB2312" w:eastAsia="仿宋_GB2312" w:cs="仿宋_GB2312"/>
          <w:kern w:val="2"/>
          <w:sz w:val="32"/>
          <w:szCs w:val="32"/>
        </w:rPr>
        <w:t>负责提供慢性病防控社会因素调查所需人口、经济、社会、环境等数据。</w:t>
      </w:r>
    </w:p>
    <w:p w14:paraId="5F304211">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团县委：</w:t>
      </w:r>
      <w:r>
        <w:rPr>
          <w:rFonts w:hint="eastAsia" w:ascii="仿宋_GB2312" w:hAnsi="仿宋_GB2312" w:eastAsia="仿宋_GB2312" w:cs="仿宋_GB2312"/>
          <w:kern w:val="2"/>
          <w:sz w:val="32"/>
          <w:szCs w:val="32"/>
        </w:rPr>
        <w:t>在青少年中倡导健康的生活方式，组织团员和青少年积极参加健康教育和健康促进活动。</w:t>
      </w:r>
    </w:p>
    <w:p w14:paraId="4DDAD749">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县妇联：</w:t>
      </w:r>
      <w:r>
        <w:rPr>
          <w:rFonts w:hint="eastAsia" w:ascii="仿宋_GB2312" w:hAnsi="仿宋_GB2312" w:eastAsia="仿宋_GB2312" w:cs="仿宋_GB2312"/>
          <w:kern w:val="2"/>
          <w:sz w:val="32"/>
          <w:szCs w:val="32"/>
        </w:rPr>
        <w:t>推动健康教育进家庭，教育引导广大妇女主动学习健康知识，掌握必备的健康技能。</w:t>
      </w:r>
    </w:p>
    <w:p w14:paraId="0C19B370">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县公安局：</w:t>
      </w:r>
      <w:r>
        <w:rPr>
          <w:rFonts w:hint="eastAsia" w:ascii="仿宋_GB2312" w:hAnsi="仿宋_GB2312" w:eastAsia="仿宋_GB2312" w:cs="仿宋_GB2312"/>
          <w:kern w:val="2"/>
          <w:sz w:val="32"/>
          <w:szCs w:val="32"/>
        </w:rPr>
        <w:t>建立区域慢性病防控信息共享、利用机制，定期提供全县居民慢性病患者及人员死亡信息。</w:t>
      </w:r>
    </w:p>
    <w:p w14:paraId="68ECDC61">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县残联：</w:t>
      </w:r>
      <w:r>
        <w:rPr>
          <w:rFonts w:hint="eastAsia" w:ascii="仿宋_GB2312" w:hAnsi="仿宋_GB2312" w:eastAsia="仿宋_GB2312" w:cs="仿宋_GB2312"/>
          <w:kern w:val="2"/>
          <w:sz w:val="32"/>
          <w:szCs w:val="32"/>
        </w:rPr>
        <w:t>制定实施残疾人体质健康干预计划，全面推进残疾人家庭医生签约服务，加大符合条件的低收入残疾人医疗救助力度。</w:t>
      </w:r>
    </w:p>
    <w:p w14:paraId="5A0B7C38">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其他各部门及企事业单位：</w:t>
      </w:r>
      <w:r>
        <w:rPr>
          <w:rFonts w:hint="eastAsia" w:ascii="仿宋_GB2312" w:hAnsi="仿宋_GB2312" w:eastAsia="仿宋_GB2312" w:cs="仿宋_GB2312"/>
          <w:kern w:val="2"/>
          <w:sz w:val="32"/>
          <w:szCs w:val="32"/>
        </w:rPr>
        <w:t>完善文化、科教、休闲、健身等服务设施，积极营造有利于慢性病防控的支持性环境。</w:t>
      </w:r>
    </w:p>
    <w:p w14:paraId="7013E29E">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各镇街：</w:t>
      </w:r>
      <w:r>
        <w:rPr>
          <w:rFonts w:hint="eastAsia" w:ascii="仿宋_GB2312" w:hAnsi="仿宋_GB2312" w:eastAsia="仿宋_GB2312" w:cs="仿宋_GB2312"/>
          <w:kern w:val="2"/>
          <w:sz w:val="32"/>
          <w:szCs w:val="32"/>
        </w:rPr>
        <w:t>将慢性病示范区建设与卫生县城、文明县城建设等工作有机结合，做好健康社区（村庄）、健康街区建设工作。优化人居环境，开展慢性病防治全民教育和群众健身休闲活动，推动全民健身和全民健康深度融合。</w:t>
      </w:r>
    </w:p>
    <w:p w14:paraId="0CD07EC3">
      <w:pPr>
        <w:widowControl w:val="0"/>
        <w:overflowPunct w:val="0"/>
        <w:adjustRightInd/>
        <w:snapToGrid/>
        <w:spacing w:after="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四、实施步骤</w:t>
      </w:r>
    </w:p>
    <w:p w14:paraId="3104A460">
      <w:pPr>
        <w:widowControl w:val="0"/>
        <w:overflowPunct w:val="0"/>
        <w:adjustRightInd/>
        <w:snapToGrid/>
        <w:spacing w:after="0" w:line="560" w:lineRule="exact"/>
        <w:ind w:firstLine="643" w:firstLineChars="200"/>
        <w:jc w:val="both"/>
        <w:rPr>
          <w:rFonts w:ascii="楷体_GB2312" w:hAnsi="楷体_GB2312" w:eastAsia="楷体_GB2312" w:cs="楷体_GB2312"/>
          <w:b/>
          <w:bCs/>
          <w:spacing w:val="-20"/>
          <w:kern w:val="2"/>
          <w:sz w:val="32"/>
          <w:szCs w:val="32"/>
        </w:rPr>
      </w:pPr>
      <w:r>
        <w:rPr>
          <w:rFonts w:hint="eastAsia" w:ascii="楷体_GB2312" w:hAnsi="楷体_GB2312" w:eastAsia="楷体_GB2312" w:cs="楷体_GB2312"/>
          <w:b/>
          <w:bCs/>
          <w:kern w:val="2"/>
          <w:sz w:val="32"/>
          <w:szCs w:val="32"/>
        </w:rPr>
        <w:t>（一）</w:t>
      </w:r>
      <w:r>
        <w:rPr>
          <w:rFonts w:hint="eastAsia" w:ascii="楷体_GB2312" w:hAnsi="楷体_GB2312" w:eastAsia="楷体_GB2312" w:cs="楷体_GB2312"/>
          <w:b/>
          <w:bCs/>
          <w:spacing w:val="-20"/>
          <w:kern w:val="2"/>
          <w:sz w:val="32"/>
          <w:szCs w:val="32"/>
        </w:rPr>
        <w:t>部署阶段（2023年12月1日至2024年1月31日）</w:t>
      </w:r>
    </w:p>
    <w:p w14:paraId="7B337158">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制定工作实施方案，明确部门职责，分解目标任务，安排部署各项工作。</w:t>
      </w:r>
    </w:p>
    <w:p w14:paraId="5D878B9F">
      <w:pPr>
        <w:widowControl w:val="0"/>
        <w:overflowPunct w:val="0"/>
        <w:adjustRightInd/>
        <w:snapToGrid/>
        <w:spacing w:after="0" w:line="560" w:lineRule="exact"/>
        <w:ind w:firstLine="643" w:firstLineChars="200"/>
        <w:jc w:val="both"/>
        <w:rPr>
          <w:rFonts w:ascii="楷体_GB2312" w:hAnsi="楷体_GB2312" w:eastAsia="楷体_GB2312" w:cs="楷体_GB2312"/>
          <w:b/>
          <w:bCs/>
          <w:spacing w:val="-20"/>
          <w:kern w:val="2"/>
          <w:sz w:val="32"/>
          <w:szCs w:val="32"/>
        </w:rPr>
      </w:pPr>
      <w:r>
        <w:rPr>
          <w:rFonts w:hint="eastAsia" w:ascii="楷体_GB2312" w:hAnsi="楷体_GB2312" w:eastAsia="楷体_GB2312" w:cs="楷体_GB2312"/>
          <w:b/>
          <w:bCs/>
          <w:kern w:val="2"/>
          <w:sz w:val="32"/>
          <w:szCs w:val="32"/>
        </w:rPr>
        <w:t>（二）</w:t>
      </w:r>
      <w:r>
        <w:rPr>
          <w:rFonts w:hint="eastAsia" w:ascii="楷体_GB2312" w:hAnsi="楷体_GB2312" w:eastAsia="楷体_GB2312" w:cs="楷体_GB2312"/>
          <w:b/>
          <w:bCs/>
          <w:spacing w:val="-20"/>
          <w:kern w:val="2"/>
          <w:sz w:val="32"/>
          <w:szCs w:val="32"/>
        </w:rPr>
        <w:t>实施阶段（2月1日—2月2</w:t>
      </w:r>
      <w:r>
        <w:rPr>
          <w:rFonts w:hint="eastAsia" w:ascii="楷体_GB2312" w:hAnsi="楷体_GB2312" w:eastAsia="楷体_GB2312" w:cs="楷体_GB2312"/>
          <w:b/>
          <w:bCs/>
          <w:spacing w:val="-20"/>
          <w:kern w:val="2"/>
          <w:sz w:val="32"/>
          <w:szCs w:val="32"/>
          <w:lang w:val="en-US" w:eastAsia="zh-CN"/>
        </w:rPr>
        <w:t>6</w:t>
      </w:r>
      <w:r>
        <w:rPr>
          <w:rFonts w:hint="eastAsia" w:ascii="楷体_GB2312" w:hAnsi="楷体_GB2312" w:eastAsia="楷体_GB2312" w:cs="楷体_GB2312"/>
          <w:b/>
          <w:bCs/>
          <w:spacing w:val="-20"/>
          <w:kern w:val="2"/>
          <w:sz w:val="32"/>
          <w:szCs w:val="32"/>
        </w:rPr>
        <w:t>日）</w:t>
      </w:r>
    </w:p>
    <w:p w14:paraId="2A90A8AC">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各成员单位按照职责分工，做好政策落实、资料整理、现场准备等工作。2月20日前将工作资料报送至县慢性病示范区建设工作领导小组办公室。</w:t>
      </w:r>
    </w:p>
    <w:p w14:paraId="4DD6A751">
      <w:pPr>
        <w:widowControl w:val="0"/>
        <w:overflowPunct w:val="0"/>
        <w:adjustRightInd/>
        <w:snapToGrid/>
        <w:spacing w:after="0" w:line="560" w:lineRule="exact"/>
        <w:ind w:firstLine="643" w:firstLineChars="200"/>
        <w:jc w:val="both"/>
        <w:rPr>
          <w:rFonts w:ascii="楷体_GB2312" w:hAnsi="楷体_GB2312" w:eastAsia="楷体_GB2312" w:cs="楷体_GB2312"/>
          <w:b/>
          <w:bCs/>
          <w:spacing w:val="-20"/>
          <w:kern w:val="2"/>
          <w:sz w:val="32"/>
          <w:szCs w:val="32"/>
        </w:rPr>
      </w:pPr>
      <w:r>
        <w:rPr>
          <w:rFonts w:hint="eastAsia" w:ascii="楷体_GB2312" w:hAnsi="楷体_GB2312" w:eastAsia="楷体_GB2312" w:cs="楷体_GB2312"/>
          <w:b/>
          <w:bCs/>
          <w:kern w:val="2"/>
          <w:sz w:val="32"/>
          <w:szCs w:val="32"/>
        </w:rPr>
        <w:t>（三）</w:t>
      </w:r>
      <w:r>
        <w:rPr>
          <w:rFonts w:hint="eastAsia" w:ascii="楷体_GB2312" w:hAnsi="楷体_GB2312" w:eastAsia="楷体_GB2312" w:cs="楷体_GB2312"/>
          <w:b/>
          <w:bCs/>
          <w:spacing w:val="-20"/>
          <w:kern w:val="2"/>
          <w:sz w:val="32"/>
          <w:szCs w:val="32"/>
        </w:rPr>
        <w:t>自评阶段（3月1日—4月30日）</w:t>
      </w:r>
    </w:p>
    <w:p w14:paraId="5D041CFA">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各成员单位对照慢病示范区建设指标体系开展自评，形成单位自评报告。慢性病示范区建设工作领导小组办公室组织相关专家，完成全县自评报告。</w:t>
      </w:r>
    </w:p>
    <w:p w14:paraId="30D01B92">
      <w:pPr>
        <w:widowControl w:val="0"/>
        <w:overflowPunct w:val="0"/>
        <w:adjustRightInd/>
        <w:snapToGrid/>
        <w:spacing w:after="0" w:line="560" w:lineRule="exact"/>
        <w:ind w:firstLine="643" w:firstLineChars="200"/>
        <w:jc w:val="both"/>
        <w:rPr>
          <w:rFonts w:ascii="楷体_GB2312" w:hAnsi="楷体_GB2312" w:eastAsia="楷体_GB2312" w:cs="楷体_GB2312"/>
          <w:b/>
          <w:bCs/>
          <w:spacing w:val="-20"/>
          <w:kern w:val="2"/>
          <w:sz w:val="32"/>
          <w:szCs w:val="32"/>
        </w:rPr>
      </w:pPr>
      <w:r>
        <w:rPr>
          <w:rFonts w:hint="eastAsia" w:ascii="楷体_GB2312" w:hAnsi="楷体_GB2312" w:eastAsia="楷体_GB2312" w:cs="楷体_GB2312"/>
          <w:b/>
          <w:bCs/>
          <w:kern w:val="2"/>
          <w:sz w:val="32"/>
          <w:szCs w:val="32"/>
        </w:rPr>
        <w:t>（四）</w:t>
      </w:r>
      <w:r>
        <w:rPr>
          <w:rFonts w:hint="eastAsia" w:ascii="楷体_GB2312" w:hAnsi="楷体_GB2312" w:eastAsia="楷体_GB2312" w:cs="楷体_GB2312"/>
          <w:b/>
          <w:bCs/>
          <w:spacing w:val="-20"/>
          <w:kern w:val="2"/>
          <w:sz w:val="32"/>
          <w:szCs w:val="32"/>
        </w:rPr>
        <w:t>省级复核阶段（5月1日—5月31日）</w:t>
      </w:r>
    </w:p>
    <w:p w14:paraId="5E120403">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对照国家标准自查提高，完善工作资料并整理归档，迎接省级复核评估。</w:t>
      </w:r>
    </w:p>
    <w:p w14:paraId="04BECA7C">
      <w:pPr>
        <w:widowControl w:val="0"/>
        <w:overflowPunct w:val="0"/>
        <w:adjustRightInd/>
        <w:snapToGrid/>
        <w:spacing w:after="0" w:line="560" w:lineRule="exact"/>
        <w:ind w:firstLine="643" w:firstLineChars="200"/>
        <w:jc w:val="both"/>
        <w:rPr>
          <w:rFonts w:ascii="楷体_GB2312" w:hAnsi="楷体_GB2312" w:eastAsia="楷体_GB2312" w:cs="楷体_GB2312"/>
          <w:b/>
          <w:bCs/>
          <w:spacing w:val="-20"/>
          <w:kern w:val="2"/>
          <w:sz w:val="32"/>
          <w:szCs w:val="32"/>
        </w:rPr>
      </w:pPr>
      <w:r>
        <w:rPr>
          <w:rFonts w:hint="eastAsia" w:ascii="楷体_GB2312" w:hAnsi="楷体_GB2312" w:eastAsia="楷体_GB2312" w:cs="楷体_GB2312"/>
          <w:b/>
          <w:bCs/>
          <w:kern w:val="2"/>
          <w:sz w:val="32"/>
          <w:szCs w:val="32"/>
        </w:rPr>
        <w:t>（五）</w:t>
      </w:r>
      <w:r>
        <w:rPr>
          <w:rFonts w:hint="eastAsia" w:ascii="楷体_GB2312" w:hAnsi="楷体_GB2312" w:eastAsia="楷体_GB2312" w:cs="楷体_GB2312"/>
          <w:b/>
          <w:bCs/>
          <w:spacing w:val="-20"/>
          <w:kern w:val="2"/>
          <w:sz w:val="32"/>
          <w:szCs w:val="32"/>
        </w:rPr>
        <w:t>国家复审阶段（6月1日—8月31日）</w:t>
      </w:r>
    </w:p>
    <w:p w14:paraId="45489BE0">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按照省级评估意见，及时整改到位，迎接国家复审验收。</w:t>
      </w:r>
    </w:p>
    <w:p w14:paraId="4988CF24">
      <w:pPr>
        <w:widowControl w:val="0"/>
        <w:overflowPunct w:val="0"/>
        <w:adjustRightInd/>
        <w:snapToGrid/>
        <w:spacing w:after="0" w:line="560" w:lineRule="exact"/>
        <w:ind w:firstLine="640" w:firstLineChars="200"/>
        <w:jc w:val="both"/>
        <w:rPr>
          <w:rFonts w:ascii="黑体" w:hAnsi="黑体" w:eastAsia="黑体" w:cs="黑体"/>
          <w:kern w:val="2"/>
          <w:sz w:val="32"/>
          <w:szCs w:val="32"/>
          <w:shd w:val="clear" w:color="auto" w:fill="FFFFFF"/>
        </w:rPr>
      </w:pPr>
      <w:r>
        <w:rPr>
          <w:rFonts w:hint="eastAsia" w:ascii="黑体" w:hAnsi="黑体" w:eastAsia="黑体" w:cs="黑体"/>
          <w:kern w:val="2"/>
          <w:sz w:val="32"/>
          <w:szCs w:val="32"/>
          <w:shd w:val="clear" w:color="auto" w:fill="FFFFFF"/>
        </w:rPr>
        <w:t>五、工作要求</w:t>
      </w:r>
    </w:p>
    <w:p w14:paraId="36C81C97">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shd w:val="clear" w:color="auto" w:fill="FFFFFF"/>
        </w:rPr>
      </w:pPr>
      <w:r>
        <w:rPr>
          <w:rFonts w:hint="eastAsia" w:ascii="楷体_GB2312" w:hAnsi="楷体_GB2312" w:eastAsia="楷体_GB2312" w:cs="楷体_GB2312"/>
          <w:b/>
          <w:bCs/>
          <w:kern w:val="2"/>
          <w:sz w:val="32"/>
          <w:szCs w:val="32"/>
        </w:rPr>
        <w:t>（一）</w:t>
      </w:r>
      <w:r>
        <w:rPr>
          <w:rFonts w:hint="eastAsia" w:ascii="楷体_GB2312" w:hAnsi="楷体_GB2312" w:eastAsia="楷体_GB2312" w:cs="楷体_GB2312"/>
          <w:b/>
          <w:bCs/>
          <w:spacing w:val="-20"/>
          <w:kern w:val="2"/>
          <w:sz w:val="32"/>
          <w:szCs w:val="32"/>
        </w:rPr>
        <w:t>加强领导，落实责任。</w:t>
      </w:r>
      <w:r>
        <w:rPr>
          <w:rFonts w:hint="eastAsia" w:ascii="仿宋_GB2312" w:hAnsi="仿宋_GB2312" w:eastAsia="仿宋_GB2312" w:cs="仿宋_GB2312"/>
          <w:kern w:val="2"/>
          <w:sz w:val="32"/>
          <w:szCs w:val="32"/>
          <w:shd w:val="clear" w:color="auto" w:fill="FFFFFF"/>
        </w:rPr>
        <w:t>开展慢性病示范区建设工作是一项提高城乡居民健康指数、造福百姓的民心工程。为确保工作顺利开展，县政府成立了眉县慢性病示范区建设工作领导小组，并将此项工作纳入年度目标责任考核范围。各镇街、各相关部门要切实增强做好慢性病示范区建设工作的责任感、使命感和紧迫感，加强组织领导，密切协作配合，全力做好慢性病示范区建设各项工作。</w:t>
      </w:r>
    </w:p>
    <w:p w14:paraId="0D681B8D">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shd w:val="clear" w:color="auto" w:fill="FFFFFF"/>
        </w:rPr>
      </w:pPr>
      <w:r>
        <w:rPr>
          <w:rFonts w:hint="eastAsia" w:ascii="楷体_GB2312" w:hAnsi="楷体_GB2312" w:eastAsia="楷体_GB2312" w:cs="楷体_GB2312"/>
          <w:b/>
          <w:bCs/>
          <w:kern w:val="2"/>
          <w:sz w:val="32"/>
          <w:szCs w:val="32"/>
        </w:rPr>
        <w:t>（二）</w:t>
      </w:r>
      <w:r>
        <w:rPr>
          <w:rFonts w:hint="eastAsia" w:ascii="楷体_GB2312" w:hAnsi="楷体_GB2312" w:eastAsia="楷体_GB2312" w:cs="楷体_GB2312"/>
          <w:b/>
          <w:bCs/>
          <w:spacing w:val="-20"/>
          <w:kern w:val="2"/>
          <w:sz w:val="32"/>
          <w:szCs w:val="32"/>
        </w:rPr>
        <w:t>对标对表，突出重点。</w:t>
      </w:r>
      <w:r>
        <w:rPr>
          <w:rFonts w:hint="eastAsia" w:ascii="仿宋_GB2312" w:hAnsi="仿宋_GB2312" w:eastAsia="仿宋_GB2312" w:cs="仿宋_GB2312"/>
          <w:kern w:val="2"/>
          <w:sz w:val="32"/>
          <w:szCs w:val="32"/>
          <w:shd w:val="clear" w:color="auto" w:fill="FFFFFF"/>
        </w:rPr>
        <w:t>慢性病示范区建设工作涉及部门多，指标体系复杂。各镇街、各相关部门要逐项逐条认真学习，系统掌握指标要求，列出计划表和任务清单，把人力、物力、财力向关键指标、难点任务倾斜。同时，要结合部门、单位工作实际，创新思路方法，挖掘整合各类资源，打造特色亮点，确保我县慢性病示范区建设工作高线达标。</w:t>
      </w:r>
    </w:p>
    <w:p w14:paraId="62D3E320">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shd w:val="clear" w:color="auto" w:fill="FFFFFF"/>
        </w:rPr>
      </w:pPr>
      <w:r>
        <w:rPr>
          <w:rFonts w:hint="eastAsia" w:ascii="楷体_GB2312" w:hAnsi="楷体_GB2312" w:eastAsia="楷体_GB2312" w:cs="楷体_GB2312"/>
          <w:b/>
          <w:bCs/>
          <w:kern w:val="2"/>
          <w:sz w:val="32"/>
          <w:szCs w:val="32"/>
        </w:rPr>
        <w:t>（三）</w:t>
      </w:r>
      <w:r>
        <w:rPr>
          <w:rFonts w:hint="eastAsia" w:ascii="楷体_GB2312" w:hAnsi="楷体_GB2312" w:eastAsia="楷体_GB2312" w:cs="楷体_GB2312"/>
          <w:b/>
          <w:bCs/>
          <w:spacing w:val="-20"/>
          <w:kern w:val="2"/>
          <w:sz w:val="32"/>
          <w:szCs w:val="32"/>
        </w:rPr>
        <w:t>强化宣传，营造氛围。</w:t>
      </w:r>
      <w:r>
        <w:rPr>
          <w:rFonts w:hint="eastAsia" w:ascii="仿宋_GB2312" w:hAnsi="仿宋_GB2312" w:eastAsia="仿宋_GB2312" w:cs="仿宋_GB2312"/>
          <w:kern w:val="2"/>
          <w:sz w:val="32"/>
          <w:szCs w:val="32"/>
          <w:shd w:val="clear" w:color="auto" w:fill="FFFFFF"/>
        </w:rPr>
        <w:t>各镇街、各相关部门要立即行动，按照全县整体工作部署，利用各类平台载体，全方位、多角度开展健康教育和科普宣传工作，引导广大干部群众树立正确的健康观念，积极践行文明健康、绿色环保的生活方式，进一步增强全社会对慢性病防治工作的认识，形成人人关心、支持、参与慢性病防控的良好氛围。</w:t>
      </w:r>
    </w:p>
    <w:p w14:paraId="6CA29ED6">
      <w:pPr>
        <w:widowControl w:val="0"/>
        <w:overflowPunct w:val="0"/>
        <w:adjustRightInd/>
        <w:snapToGrid/>
        <w:spacing w:after="0" w:line="560" w:lineRule="exact"/>
        <w:ind w:firstLine="643" w:firstLineChars="200"/>
        <w:jc w:val="both"/>
        <w:rPr>
          <w:rFonts w:ascii="仿宋_GB2312" w:hAnsi="仿宋_GB2312" w:eastAsia="仿宋_GB2312" w:cs="仿宋_GB2312"/>
          <w:kern w:val="2"/>
          <w:sz w:val="32"/>
          <w:szCs w:val="32"/>
          <w:shd w:val="clear" w:color="auto" w:fill="FFFFFF"/>
        </w:rPr>
      </w:pPr>
      <w:r>
        <w:rPr>
          <w:rFonts w:hint="eastAsia" w:ascii="楷体_GB2312" w:hAnsi="楷体_GB2312" w:eastAsia="楷体_GB2312" w:cs="楷体_GB2312"/>
          <w:b/>
          <w:bCs/>
          <w:kern w:val="2"/>
          <w:sz w:val="32"/>
          <w:szCs w:val="32"/>
        </w:rPr>
        <w:t>（四）</w:t>
      </w:r>
      <w:r>
        <w:rPr>
          <w:rFonts w:hint="eastAsia" w:ascii="楷体_GB2312" w:hAnsi="楷体_GB2312" w:eastAsia="楷体_GB2312" w:cs="楷体_GB2312"/>
          <w:b/>
          <w:bCs/>
          <w:spacing w:val="-20"/>
          <w:kern w:val="2"/>
          <w:sz w:val="32"/>
          <w:szCs w:val="32"/>
        </w:rPr>
        <w:t>加强督导，严格考核。</w:t>
      </w:r>
      <w:r>
        <w:rPr>
          <w:rFonts w:hint="eastAsia" w:ascii="仿宋_GB2312" w:hAnsi="仿宋_GB2312" w:eastAsia="仿宋_GB2312" w:cs="仿宋_GB2312"/>
          <w:kern w:val="2"/>
          <w:sz w:val="32"/>
          <w:szCs w:val="32"/>
          <w:shd w:val="clear" w:color="auto" w:fill="FFFFFF"/>
        </w:rPr>
        <w:t>县慢性病示范区建设工作领导小组办公室、县政府督查室要加强对慢性病防控工作的督导检查，完善督查通报和责任追究制度，做到定期督查，定期通报。要强化督导结果运用，对完成任务好、工作成效大的单位给予表彰奖励；对工作不力、严重影响全县工作进度的单位进行通报批评，并严肃追究相关责任人的责任。</w:t>
      </w:r>
    </w:p>
    <w:p w14:paraId="00510E07">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rPr>
      </w:pPr>
    </w:p>
    <w:p w14:paraId="5A60D0E4">
      <w:pPr>
        <w:widowControl w:val="0"/>
        <w:overflowPunct w:val="0"/>
        <w:adjustRightInd/>
        <w:snapToGrid/>
        <w:spacing w:after="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附件：1.眉县国家慢性病示范区建设工作领导小组</w:t>
      </w:r>
    </w:p>
    <w:p w14:paraId="53436C1E">
      <w:pPr>
        <w:widowControl w:val="0"/>
        <w:overflowPunct w:val="0"/>
        <w:adjustRightInd/>
        <w:snapToGrid/>
        <w:spacing w:after="0" w:line="560" w:lineRule="exact"/>
        <w:ind w:left="319" w:leftChars="145" w:firstLine="1280" w:firstLineChars="4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2.眉县国家慢性病示范区建设工作技术指导小组</w:t>
      </w:r>
    </w:p>
    <w:p w14:paraId="26B13E3A">
      <w:pPr>
        <w:widowControl w:val="0"/>
        <w:overflowPunct w:val="0"/>
        <w:adjustRightInd/>
        <w:snapToGrid/>
        <w:spacing w:after="0" w:line="560" w:lineRule="exact"/>
        <w:ind w:firstLine="1600" w:firstLineChars="5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3.眉县国家慢性病示范区健康细胞创建点位</w:t>
      </w:r>
    </w:p>
    <w:p w14:paraId="7EAFA4DB">
      <w:pPr>
        <w:widowControl w:val="0"/>
        <w:overflowPunct w:val="0"/>
        <w:adjustRightInd/>
        <w:snapToGrid/>
        <w:spacing w:after="0" w:line="560" w:lineRule="exact"/>
        <w:ind w:left="319" w:leftChars="145" w:firstLine="1280" w:firstLineChars="4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4.眉县国家慢性病示范区建设工作任务分解表</w:t>
      </w:r>
    </w:p>
    <w:p w14:paraId="1610BB16">
      <w:pPr>
        <w:widowControl w:val="0"/>
        <w:overflowPunct w:val="0"/>
        <w:adjustRightInd/>
        <w:snapToGrid/>
        <w:spacing w:after="0" w:line="560" w:lineRule="exact"/>
        <w:jc w:val="both"/>
        <w:rPr>
          <w:rFonts w:ascii="仿宋_GB2312" w:hAnsi="仿宋_GB2312" w:eastAsia="仿宋_GB2312" w:cs="仿宋_GB2312"/>
          <w:kern w:val="2"/>
          <w:sz w:val="32"/>
          <w:szCs w:val="32"/>
        </w:rPr>
      </w:pPr>
    </w:p>
    <w:p w14:paraId="189EABA9">
      <w:pPr>
        <w:widowControl w:val="0"/>
        <w:overflowPunct w:val="0"/>
        <w:adjustRightInd/>
        <w:snapToGrid/>
        <w:spacing w:after="0" w:line="560" w:lineRule="exact"/>
        <w:jc w:val="both"/>
        <w:rPr>
          <w:rFonts w:ascii="黑体" w:hAnsi="黑体" w:eastAsia="黑体" w:cs="黑体"/>
          <w:kern w:val="2"/>
          <w:sz w:val="32"/>
          <w:szCs w:val="32"/>
        </w:rPr>
      </w:pPr>
    </w:p>
    <w:p w14:paraId="6B7CEC88">
      <w:pPr>
        <w:widowControl w:val="0"/>
        <w:overflowPunct w:val="0"/>
        <w:adjustRightInd/>
        <w:snapToGrid/>
        <w:spacing w:after="0" w:line="560" w:lineRule="exact"/>
        <w:jc w:val="both"/>
        <w:rPr>
          <w:rFonts w:ascii="黑体" w:hAnsi="黑体" w:eastAsia="黑体" w:cs="黑体"/>
          <w:kern w:val="2"/>
          <w:sz w:val="32"/>
          <w:szCs w:val="32"/>
        </w:rPr>
      </w:pPr>
      <w:r>
        <w:rPr>
          <w:rFonts w:hint="eastAsia" w:ascii="黑体" w:hAnsi="黑体" w:eastAsia="黑体" w:cs="黑体"/>
          <w:kern w:val="2"/>
          <w:sz w:val="32"/>
          <w:szCs w:val="32"/>
        </w:rPr>
        <w:t>附件1</w:t>
      </w:r>
    </w:p>
    <w:p w14:paraId="4D7E9967">
      <w:pPr>
        <w:widowControl w:val="0"/>
        <w:overflowPunct w:val="0"/>
        <w:adjustRightInd/>
        <w:snapToGrid/>
        <w:spacing w:after="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眉县国家慢性病示范区建设工作领导小组</w:t>
      </w:r>
    </w:p>
    <w:p w14:paraId="3B37EA16">
      <w:pPr>
        <w:widowControl w:val="0"/>
        <w:overflowPunct w:val="0"/>
        <w:adjustRightInd/>
        <w:snapToGrid/>
        <w:spacing w:after="0" w:line="560" w:lineRule="exact"/>
        <w:jc w:val="center"/>
        <w:rPr>
          <w:rFonts w:ascii="方正小标宋简体" w:hAnsi="方正小标宋简体" w:eastAsia="方正小标宋简体" w:cs="方正小标宋简体"/>
          <w:sz w:val="44"/>
          <w:szCs w:val="44"/>
        </w:rPr>
      </w:pPr>
    </w:p>
    <w:p w14:paraId="6F2D8421">
      <w:pPr>
        <w:widowControl w:val="0"/>
        <w:overflowPunct w:val="0"/>
        <w:adjustRightInd/>
        <w:snapToGrid/>
        <w:spacing w:after="0" w:line="560" w:lineRule="exact"/>
        <w:ind w:firstLine="320" w:firstLineChars="1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组  长：张小平       县政府县长</w:t>
      </w:r>
    </w:p>
    <w:p w14:paraId="7EDC696C">
      <w:pPr>
        <w:widowControl w:val="0"/>
        <w:overflowPunct w:val="0"/>
        <w:adjustRightInd/>
        <w:snapToGrid/>
        <w:spacing w:after="0" w:line="560" w:lineRule="exact"/>
        <w:ind w:firstLine="320" w:firstLineChars="1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副组长：李  倩       县政府副县长</w:t>
      </w:r>
    </w:p>
    <w:p w14:paraId="2F824CD4">
      <w:pPr>
        <w:widowControl w:val="0"/>
        <w:overflowPunct w:val="0"/>
        <w:adjustRightInd/>
        <w:snapToGrid/>
        <w:spacing w:after="0" w:line="560" w:lineRule="exact"/>
        <w:ind w:firstLine="320" w:firstLineChars="1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成  员：温文乐       县政府办公室主任</w:t>
      </w:r>
    </w:p>
    <w:p w14:paraId="37B844EC">
      <w:pPr>
        <w:widowControl w:val="0"/>
        <w:overflowPunct w:val="0"/>
        <w:adjustRightInd/>
        <w:snapToGrid/>
        <w:spacing w:after="0" w:line="560" w:lineRule="exact"/>
        <w:ind w:firstLine="320" w:firstLineChars="100"/>
      </w:pPr>
      <w:r>
        <w:rPr>
          <w:rFonts w:hint="eastAsia" w:ascii="仿宋_GB2312" w:hAnsi="仿宋_GB2312" w:eastAsia="仿宋_GB2312" w:cs="仿宋_GB2312"/>
          <w:kern w:val="2"/>
          <w:sz w:val="32"/>
          <w:szCs w:val="32"/>
        </w:rPr>
        <w:t xml:space="preserve">        何军虎       县政府办公室副主任</w:t>
      </w:r>
    </w:p>
    <w:p w14:paraId="3F10261D">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张东黎       县委宣传部常务副部长 </w:t>
      </w:r>
    </w:p>
    <w:p w14:paraId="03C8F9D9">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赵宝英       县发改局局长</w:t>
      </w:r>
    </w:p>
    <w:p w14:paraId="2CBD8FB5">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黄武奇       县教体局局长</w:t>
      </w:r>
    </w:p>
    <w:p w14:paraId="47F58E99">
      <w:pPr>
        <w:widowControl w:val="0"/>
        <w:overflowPunct w:val="0"/>
        <w:adjustRightInd/>
        <w:snapToGrid/>
        <w:spacing w:after="0" w:line="560" w:lineRule="exact"/>
        <w:rPr>
          <w:rFonts w:ascii="仿宋_GB2312" w:hAnsi="仿宋_GB2312" w:eastAsia="仿宋_GB2312" w:cs="仿宋_GB2312"/>
          <w:kern w:val="2"/>
          <w:sz w:val="32"/>
          <w:szCs w:val="32"/>
          <w:highlight w:val="green"/>
        </w:rPr>
      </w:pPr>
      <w:r>
        <w:rPr>
          <w:rFonts w:hint="eastAsia" w:ascii="仿宋_GB2312" w:hAnsi="仿宋_GB2312" w:eastAsia="仿宋_GB2312" w:cs="仿宋_GB2312"/>
          <w:kern w:val="2"/>
          <w:sz w:val="32"/>
          <w:szCs w:val="32"/>
        </w:rPr>
        <w:t xml:space="preserve">          王海宁       县商务和工业信息化局局长</w:t>
      </w:r>
    </w:p>
    <w:p w14:paraId="014FA05A">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高建斌       县民政局局长</w:t>
      </w:r>
    </w:p>
    <w:p w14:paraId="5EFC7084">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卫增科       县财政局局长</w:t>
      </w:r>
    </w:p>
    <w:p w14:paraId="27D399ED">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达军平       县卫健局局长</w:t>
      </w:r>
    </w:p>
    <w:p w14:paraId="0A03A8A5">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王亚娟       县医保局局长</w:t>
      </w:r>
    </w:p>
    <w:p w14:paraId="37BFBC96">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杨君川       县市场监管局局长</w:t>
      </w:r>
    </w:p>
    <w:p w14:paraId="6DAE76AE">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薛  毅       县住建局局长</w:t>
      </w:r>
    </w:p>
    <w:p w14:paraId="0A1799DE">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杨宏科       县交通局局长</w:t>
      </w:r>
    </w:p>
    <w:p w14:paraId="2AB67C86">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于建洲       县文旅局局长</w:t>
      </w:r>
    </w:p>
    <w:p w14:paraId="15375823">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赵宏强       县统计局局长</w:t>
      </w:r>
    </w:p>
    <w:p w14:paraId="5A432CA3">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王建平       县公安局副局长</w:t>
      </w:r>
    </w:p>
    <w:p w14:paraId="011A35E5">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李鸿钧       县卫健局副局长、县疾控局局长</w:t>
      </w:r>
    </w:p>
    <w:p w14:paraId="377284C5">
      <w:pPr>
        <w:widowControl w:val="0"/>
        <w:overflowPunct w:val="0"/>
        <w:adjustRightInd/>
        <w:snapToGrid/>
        <w:spacing w:after="0" w:line="560" w:lineRule="exact"/>
        <w:ind w:firstLine="1600" w:firstLineChars="500"/>
        <w:rPr>
          <w:rFonts w:ascii="仿宋_GB2312" w:hAnsi="仿宋_GB2312" w:eastAsia="仿宋_GB2312" w:cs="仿宋_GB2312"/>
          <w:kern w:val="2"/>
          <w:sz w:val="32"/>
          <w:szCs w:val="32"/>
          <w:highlight w:val="lightGray"/>
        </w:rPr>
      </w:pPr>
      <w:r>
        <w:rPr>
          <w:rFonts w:hint="eastAsia" w:ascii="仿宋_GB2312" w:hAnsi="仿宋_GB2312" w:eastAsia="仿宋_GB2312" w:cs="仿宋_GB2312"/>
          <w:kern w:val="2"/>
          <w:sz w:val="32"/>
          <w:szCs w:val="32"/>
        </w:rPr>
        <w:t>宋建山       县总工会副主席</w:t>
      </w:r>
    </w:p>
    <w:p w14:paraId="5EEED261">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汶培恒       团县委书记</w:t>
      </w:r>
    </w:p>
    <w:p w14:paraId="0A1850D5">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翟荟芳       县妇联主席</w:t>
      </w:r>
    </w:p>
    <w:p w14:paraId="10423C6E">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刘剑峰       县科协主席</w:t>
      </w:r>
    </w:p>
    <w:p w14:paraId="65B4BD17">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张文建       县残联理事长</w:t>
      </w:r>
    </w:p>
    <w:p w14:paraId="7F18BD47">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刘剑飞       县疾控中心主任</w:t>
      </w:r>
    </w:p>
    <w:p w14:paraId="083D1AB3">
      <w:pPr>
        <w:widowControl w:val="0"/>
        <w:overflowPunct w:val="0"/>
        <w:adjustRightInd/>
        <w:snapToGrid/>
        <w:spacing w:after="0" w:line="560" w:lineRule="exact"/>
        <w:ind w:firstLine="1600" w:firstLineChars="5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张  林       首善街办主任</w:t>
      </w:r>
    </w:p>
    <w:p w14:paraId="4002356B">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马  杰       齐镇镇长</w:t>
      </w:r>
    </w:p>
    <w:p w14:paraId="153C96E4">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李小博       常兴镇镇长</w:t>
      </w:r>
    </w:p>
    <w:p w14:paraId="75ABF702">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姬玉珠       横渠镇镇长</w:t>
      </w:r>
    </w:p>
    <w:p w14:paraId="506DA13F">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侯增刚       汤峪镇镇长</w:t>
      </w:r>
    </w:p>
    <w:p w14:paraId="09244E73">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柴  铭       槐芽镇镇长</w:t>
      </w:r>
    </w:p>
    <w:p w14:paraId="12749A3A">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薛  丹       营头镇镇长</w:t>
      </w:r>
    </w:p>
    <w:p w14:paraId="3B0C2AB9">
      <w:pPr>
        <w:widowControl w:val="0"/>
        <w:overflowPunct w:val="0"/>
        <w:adjustRightInd/>
        <w:snapToGrid/>
        <w:spacing w:after="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王  晖       金渠镇镇长</w:t>
      </w:r>
    </w:p>
    <w:p w14:paraId="6DFFB671">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shd w:val="clear" w:color="auto" w:fill="FFFFFF"/>
        </w:rPr>
        <w:t>领导小组下设办公室，办公室设在县卫健局，办公室主任由县卫健局主要负责同志兼任，负责</w:t>
      </w:r>
      <w:r>
        <w:rPr>
          <w:rFonts w:hint="eastAsia" w:ascii="仿宋_GB2312" w:hAnsi="仿宋_GB2312" w:eastAsia="仿宋_GB2312" w:cs="仿宋_GB2312"/>
          <w:kern w:val="2"/>
          <w:sz w:val="32"/>
          <w:szCs w:val="32"/>
        </w:rPr>
        <w:t>慢性病示范区</w:t>
      </w:r>
      <w:r>
        <w:rPr>
          <w:rFonts w:hint="eastAsia" w:ascii="仿宋_GB2312" w:hAnsi="仿宋_GB2312" w:eastAsia="仿宋_GB2312" w:cs="仿宋_GB2312"/>
          <w:kern w:val="2"/>
          <w:sz w:val="32"/>
          <w:szCs w:val="32"/>
          <w:shd w:val="clear" w:color="auto" w:fill="FFFFFF"/>
        </w:rPr>
        <w:t>建设日常管理工作。因人事或分工变动，需要调整人员时，由成员单位相应职务人员自行递补，并及时向领导小组办公室备案，不再另行发文。</w:t>
      </w:r>
    </w:p>
    <w:p w14:paraId="62864E84">
      <w:pPr>
        <w:widowControl w:val="0"/>
        <w:overflowPunct w:val="0"/>
        <w:adjustRightInd/>
        <w:snapToGrid/>
        <w:spacing w:after="0" w:line="560" w:lineRule="exact"/>
        <w:rPr>
          <w:rFonts w:ascii="仿宋" w:hAnsi="仿宋" w:eastAsia="仿宋" w:cs="仿宋"/>
          <w:kern w:val="2"/>
          <w:sz w:val="32"/>
          <w:szCs w:val="32"/>
        </w:rPr>
      </w:pPr>
    </w:p>
    <w:p w14:paraId="4E6F0839">
      <w:pPr>
        <w:widowControl w:val="0"/>
        <w:overflowPunct w:val="0"/>
        <w:adjustRightInd/>
        <w:snapToGrid/>
        <w:spacing w:after="0" w:line="560" w:lineRule="exact"/>
        <w:rPr>
          <w:rFonts w:ascii="仿宋" w:hAnsi="仿宋" w:eastAsia="仿宋" w:cs="仿宋"/>
          <w:kern w:val="2"/>
          <w:sz w:val="32"/>
          <w:szCs w:val="32"/>
        </w:rPr>
      </w:pPr>
    </w:p>
    <w:p w14:paraId="35CAFBB1">
      <w:pPr>
        <w:pStyle w:val="2"/>
        <w:widowControl w:val="0"/>
        <w:overflowPunct w:val="0"/>
        <w:spacing w:after="0" w:line="560" w:lineRule="exact"/>
        <w:rPr>
          <w:rFonts w:ascii="仿宋" w:hAnsi="仿宋" w:eastAsia="仿宋" w:cs="仿宋"/>
          <w:kern w:val="2"/>
          <w:sz w:val="32"/>
          <w:szCs w:val="32"/>
        </w:rPr>
      </w:pPr>
    </w:p>
    <w:p w14:paraId="306B2451">
      <w:pPr>
        <w:rPr>
          <w:rFonts w:ascii="仿宋" w:hAnsi="仿宋" w:eastAsia="仿宋" w:cs="仿宋"/>
          <w:kern w:val="2"/>
          <w:sz w:val="32"/>
          <w:szCs w:val="32"/>
        </w:rPr>
      </w:pPr>
    </w:p>
    <w:p w14:paraId="49C7FC03">
      <w:pPr>
        <w:pStyle w:val="2"/>
        <w:rPr>
          <w:rFonts w:ascii="仿宋" w:hAnsi="仿宋" w:eastAsia="仿宋" w:cs="仿宋"/>
          <w:kern w:val="2"/>
          <w:sz w:val="32"/>
          <w:szCs w:val="32"/>
        </w:rPr>
      </w:pPr>
    </w:p>
    <w:p w14:paraId="488F1809">
      <w:pPr>
        <w:rPr>
          <w:rFonts w:ascii="仿宋" w:hAnsi="仿宋" w:eastAsia="仿宋" w:cs="仿宋"/>
          <w:kern w:val="2"/>
          <w:sz w:val="32"/>
          <w:szCs w:val="32"/>
        </w:rPr>
      </w:pPr>
    </w:p>
    <w:p w14:paraId="4628DE02">
      <w:pPr>
        <w:pStyle w:val="2"/>
      </w:pPr>
    </w:p>
    <w:p w14:paraId="471D629F">
      <w:pPr>
        <w:pStyle w:val="2"/>
        <w:widowControl w:val="0"/>
        <w:overflowPunct w:val="0"/>
        <w:spacing w:after="0" w:line="560" w:lineRule="exact"/>
      </w:pPr>
    </w:p>
    <w:p w14:paraId="0F251B75">
      <w:pPr>
        <w:widowControl w:val="0"/>
        <w:overflowPunct w:val="0"/>
        <w:adjustRightInd/>
        <w:snapToGrid/>
        <w:spacing w:after="0" w:line="560" w:lineRule="exact"/>
        <w:jc w:val="both"/>
        <w:rPr>
          <w:rFonts w:ascii="黑体" w:hAnsi="黑体" w:eastAsia="黑体" w:cs="黑体"/>
          <w:kern w:val="2"/>
          <w:sz w:val="32"/>
          <w:szCs w:val="32"/>
        </w:rPr>
      </w:pPr>
      <w:r>
        <w:rPr>
          <w:rFonts w:hint="eastAsia" w:ascii="黑体" w:hAnsi="黑体" w:eastAsia="黑体" w:cs="黑体"/>
          <w:kern w:val="2"/>
          <w:sz w:val="32"/>
          <w:szCs w:val="32"/>
        </w:rPr>
        <w:t>附件2</w:t>
      </w:r>
    </w:p>
    <w:p w14:paraId="13DE6A5B">
      <w:pPr>
        <w:widowControl w:val="0"/>
        <w:overflowPunct w:val="0"/>
        <w:adjustRightInd/>
        <w:snapToGrid/>
        <w:spacing w:after="0" w:line="56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眉县国家慢性病示范区建设工作</w:t>
      </w:r>
    </w:p>
    <w:p w14:paraId="246F4155">
      <w:pPr>
        <w:widowControl w:val="0"/>
        <w:overflowPunct w:val="0"/>
        <w:adjustRightInd/>
        <w:snapToGrid/>
        <w:spacing w:after="0" w:line="56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技术指导小组</w:t>
      </w:r>
    </w:p>
    <w:p w14:paraId="6DD76E9E">
      <w:pPr>
        <w:widowControl w:val="0"/>
        <w:overflowPunct w:val="0"/>
        <w:adjustRightInd/>
        <w:snapToGrid/>
        <w:spacing w:after="0" w:line="560" w:lineRule="exact"/>
        <w:rPr>
          <w:rFonts w:ascii="仿宋" w:hAnsi="仿宋" w:eastAsia="仿宋" w:cs="仿宋"/>
          <w:kern w:val="2"/>
          <w:sz w:val="32"/>
          <w:szCs w:val="32"/>
        </w:rPr>
      </w:pPr>
    </w:p>
    <w:p w14:paraId="439A9B1A">
      <w:pPr>
        <w:widowControl w:val="0"/>
        <w:overflowPunct w:val="0"/>
        <w:adjustRightInd/>
        <w:snapToGrid/>
        <w:spacing w:after="0" w:line="550" w:lineRule="exact"/>
        <w:ind w:firstLine="640" w:firstLineChars="2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组  长：达军平    县卫健局局长</w:t>
      </w:r>
    </w:p>
    <w:p w14:paraId="01F6D0D6">
      <w:pPr>
        <w:widowControl w:val="0"/>
        <w:overflowPunct w:val="0"/>
        <w:adjustRightInd/>
        <w:snapToGrid/>
        <w:spacing w:after="0" w:line="550" w:lineRule="exact"/>
        <w:ind w:firstLine="640" w:firstLineChars="2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副组长：李鸿钧    县卫健局副局长、县疾控局局长</w:t>
      </w:r>
    </w:p>
    <w:p w14:paraId="0BE44BBF">
      <w:pPr>
        <w:widowControl w:val="0"/>
        <w:overflowPunct w:val="0"/>
        <w:adjustRightInd/>
        <w:snapToGrid/>
        <w:spacing w:after="0" w:line="550" w:lineRule="exact"/>
        <w:ind w:firstLine="640" w:firstLineChars="2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成  员：饶金洲    县计生协会秘书长</w:t>
      </w:r>
    </w:p>
    <w:p w14:paraId="508B228F">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杨  勇    县医疗机构管理所所长</w:t>
      </w:r>
    </w:p>
    <w:p w14:paraId="2DF9B23F">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范敏宪    县卫健局政秘股股长</w:t>
      </w:r>
    </w:p>
    <w:p w14:paraId="010FA4B7">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陈小平    县卫健局公卫股股长</w:t>
      </w:r>
    </w:p>
    <w:p w14:paraId="7A71F7B1">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王  琦    县卫健局医政股股长</w:t>
      </w:r>
    </w:p>
    <w:p w14:paraId="40FE4BE4">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翟社兵    县卫健局健康促进股股长</w:t>
      </w:r>
    </w:p>
    <w:p w14:paraId="2E1FBFD1">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刘剑飞    县疾控中心主任</w:t>
      </w:r>
    </w:p>
    <w:p w14:paraId="51AA99BF">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冉学兵    县人民医院院长</w:t>
      </w:r>
    </w:p>
    <w:p w14:paraId="66498BD7">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 xml:space="preserve">贺玺平    县中医医院院长 </w:t>
      </w:r>
    </w:p>
    <w:p w14:paraId="3F3B3FD3">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刘宏科    县妇幼保健院院长</w:t>
      </w:r>
    </w:p>
    <w:p w14:paraId="026A9001">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师宏斌    县卫监所所长</w:t>
      </w:r>
    </w:p>
    <w:p w14:paraId="044958AF">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廉晓妮    县疾控中心副主任</w:t>
      </w:r>
    </w:p>
    <w:p w14:paraId="15381A01">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兰志超    县疾控中心副主任</w:t>
      </w:r>
    </w:p>
    <w:p w14:paraId="61755E53">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翟丽娜    县疾控中心主任助理</w:t>
      </w:r>
    </w:p>
    <w:p w14:paraId="1DD90BD5">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安  宁    县疾控中心计免科科长</w:t>
      </w:r>
    </w:p>
    <w:p w14:paraId="24F30061">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高  歌    县疾控中心慢病科科长</w:t>
      </w:r>
    </w:p>
    <w:p w14:paraId="7E4DD247">
      <w:pPr>
        <w:widowControl w:val="0"/>
        <w:overflowPunct w:val="0"/>
        <w:adjustRightInd/>
        <w:snapToGrid/>
        <w:spacing w:after="0" w:line="550" w:lineRule="exact"/>
        <w:ind w:firstLine="1920" w:firstLineChars="6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刘  欣    县疾控中心健地科科长</w:t>
      </w:r>
    </w:p>
    <w:p w14:paraId="1D62E435">
      <w:pPr>
        <w:widowControl w:val="0"/>
        <w:overflowPunct w:val="0"/>
        <w:adjustRightInd/>
        <w:snapToGrid/>
        <w:spacing w:after="0" w:line="550" w:lineRule="exact"/>
        <w:ind w:firstLine="640" w:firstLineChars="200"/>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技术指导小组主要负责慢性病示范区建设工作的业务培训、技术指导、政策咨询等工作。</w:t>
      </w:r>
    </w:p>
    <w:p w14:paraId="00C217E6">
      <w:pPr>
        <w:widowControl w:val="0"/>
        <w:overflowPunct w:val="0"/>
        <w:adjustRightInd/>
        <w:snapToGrid/>
        <w:spacing w:after="0" w:line="560" w:lineRule="exact"/>
        <w:rPr>
          <w:rFonts w:ascii="黑体" w:hAnsi="黑体" w:eastAsia="黑体" w:cs="黑体"/>
          <w:kern w:val="2"/>
          <w:sz w:val="32"/>
          <w:szCs w:val="32"/>
        </w:rPr>
      </w:pPr>
      <w:r>
        <w:rPr>
          <w:rFonts w:hint="eastAsia" w:ascii="黑体" w:hAnsi="黑体" w:eastAsia="黑体" w:cs="黑体"/>
          <w:kern w:val="2"/>
          <w:sz w:val="32"/>
          <w:szCs w:val="32"/>
        </w:rPr>
        <w:t>附件3</w:t>
      </w:r>
    </w:p>
    <w:p w14:paraId="61592F36">
      <w:pPr>
        <w:widowControl w:val="0"/>
        <w:overflowPunct w:val="0"/>
        <w:adjustRightInd/>
        <w:snapToGrid/>
        <w:spacing w:after="0" w:line="56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国家慢性病示范区健康细胞创建点位</w:t>
      </w:r>
    </w:p>
    <w:p w14:paraId="1ED7AB73">
      <w:pPr>
        <w:widowControl w:val="0"/>
        <w:overflowPunct w:val="0"/>
        <w:adjustRightInd/>
        <w:snapToGrid/>
        <w:spacing w:after="0" w:line="560" w:lineRule="exact"/>
        <w:rPr>
          <w:rFonts w:ascii="仿宋_GB2312" w:hAnsi="仿宋_GB2312" w:eastAsia="仿宋_GB2312" w:cs="仿宋_GB2312"/>
          <w:kern w:val="2"/>
          <w:sz w:val="32"/>
          <w:szCs w:val="32"/>
        </w:rPr>
      </w:pPr>
    </w:p>
    <w:p w14:paraId="33D977D9">
      <w:pPr>
        <w:widowControl w:val="0"/>
        <w:overflowPunct w:val="0"/>
        <w:adjustRightInd/>
        <w:snapToGrid/>
        <w:spacing w:after="0" w:line="560" w:lineRule="exact"/>
        <w:ind w:firstLine="619" w:firstLineChars="200"/>
        <w:rPr>
          <w:rFonts w:ascii="楷体_GB2312" w:hAnsi="楷体_GB2312" w:eastAsia="楷体_GB2312" w:cs="楷体_GB2312"/>
          <w:spacing w:val="-6"/>
          <w:kern w:val="2"/>
          <w:sz w:val="32"/>
          <w:szCs w:val="32"/>
        </w:rPr>
      </w:pPr>
      <w:r>
        <w:rPr>
          <w:rFonts w:hint="eastAsia" w:ascii="楷体_GB2312" w:hAnsi="楷体_GB2312" w:eastAsia="楷体_GB2312" w:cs="楷体_GB2312"/>
          <w:b/>
          <w:bCs/>
          <w:spacing w:val="-6"/>
          <w:kern w:val="2"/>
          <w:sz w:val="32"/>
          <w:szCs w:val="32"/>
        </w:rPr>
        <w:t>1.健康单位、健康食堂（县检察院、县税务局、县供电公司）</w:t>
      </w:r>
    </w:p>
    <w:p w14:paraId="2EF3B6BE">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点位长：樊培军  县检察院副检察长</w:t>
      </w:r>
    </w:p>
    <w:p w14:paraId="276F425A">
      <w:pPr>
        <w:widowControl w:val="0"/>
        <w:overflowPunct w:val="0"/>
        <w:adjustRightInd/>
        <w:snapToGrid/>
        <w:spacing w:after="0" w:line="560" w:lineRule="exact"/>
        <w:ind w:firstLine="1920" w:firstLineChars="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赵新会  县税务局副局长</w:t>
      </w:r>
    </w:p>
    <w:p w14:paraId="6ACC714A">
      <w:pPr>
        <w:widowControl w:val="0"/>
        <w:overflowPunct w:val="0"/>
        <w:adjustRightInd/>
        <w:snapToGrid/>
        <w:spacing w:after="0" w:line="560" w:lineRule="exact"/>
        <w:ind w:firstLine="1920" w:firstLineChars="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周裕锋  县供电公司党委副书记</w:t>
      </w:r>
    </w:p>
    <w:p w14:paraId="6069AD96">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工作职责：按照《全民健康生活方式行动健康单位考核评估表》要求，完成健康单位、健康食堂创建并通过考核验收。</w:t>
      </w:r>
    </w:p>
    <w:p w14:paraId="197148AA">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2.健康学校（不少3个）</w:t>
      </w:r>
    </w:p>
    <w:p w14:paraId="65D00B2E">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点位长：云  力  县教体局副局长</w:t>
      </w:r>
    </w:p>
    <w:p w14:paraId="4DA6F0DA">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工作职责：按照《全民健康生活方式行动健康学校考核评估表》要求，完成健康学校创建并通过考核验收。</w:t>
      </w:r>
    </w:p>
    <w:p w14:paraId="4676555C">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3.健康餐厅（酒店）（新增不少于2个）</w:t>
      </w:r>
    </w:p>
    <w:p w14:paraId="3F326B8A">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点位长：陈岁应  县市场监管局副局长</w:t>
      </w:r>
    </w:p>
    <w:p w14:paraId="37CEA021">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工作职责：按照《全民健康生活方式行动健康餐厅（酒店）</w:t>
      </w:r>
      <w:r>
        <w:rPr>
          <w:rFonts w:hint="eastAsia" w:ascii="仿宋_GB2312" w:hAnsi="仿宋_GB2312" w:eastAsia="仿宋_GB2312" w:cs="仿宋_GB2312"/>
          <w:spacing w:val="-6"/>
          <w:kern w:val="2"/>
          <w:sz w:val="32"/>
          <w:szCs w:val="32"/>
        </w:rPr>
        <w:t>考核评估表》要求，完成健康餐厅（酒店）创建并通过考核验收。</w:t>
      </w:r>
    </w:p>
    <w:p w14:paraId="47489034">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4.健康街区(每镇打造1条)</w:t>
      </w:r>
    </w:p>
    <w:p w14:paraId="1222AF56">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点位长：邓文超   首善街办副主任</w:t>
      </w:r>
    </w:p>
    <w:p w14:paraId="02AB7866">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王阿龙   横渠镇副镇长</w:t>
      </w:r>
    </w:p>
    <w:p w14:paraId="1DF378C2">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李  超   槐芽镇党委副书记</w:t>
      </w:r>
    </w:p>
    <w:p w14:paraId="6978AE15">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张  晶   汤峪镇副镇长</w:t>
      </w:r>
    </w:p>
    <w:p w14:paraId="54CA83F0">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王瑞敏   金渠镇副镇长</w:t>
      </w:r>
    </w:p>
    <w:p w14:paraId="60A99A42">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尚  晓   营头镇纪委书记</w:t>
      </w:r>
    </w:p>
    <w:p w14:paraId="04B7B8A2">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罗  丹   齐镇副镇长</w:t>
      </w:r>
    </w:p>
    <w:p w14:paraId="6467CEDD">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highlight w:val="lightGray"/>
        </w:rPr>
      </w:pPr>
      <w:r>
        <w:rPr>
          <w:rFonts w:hint="eastAsia" w:ascii="仿宋_GB2312" w:hAnsi="仿宋_GB2312" w:eastAsia="仿宋_GB2312" w:cs="仿宋_GB2312"/>
          <w:kern w:val="2"/>
          <w:sz w:val="32"/>
          <w:szCs w:val="32"/>
        </w:rPr>
        <w:t>李国栋   常兴镇副镇长</w:t>
      </w:r>
    </w:p>
    <w:p w14:paraId="340DFF5C">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工作职责：按照《全民健康生活方式行动健康街区考核评估表》要求，完成健康街区创建并通过考核验收。</w:t>
      </w:r>
    </w:p>
    <w:p w14:paraId="4ABAC596">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5.健康步道、健康公园（城市运动公园、张载广场、南城公园）</w:t>
      </w:r>
    </w:p>
    <w:p w14:paraId="66A68E23">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点位长：于  维  县住建局副局长</w:t>
      </w:r>
    </w:p>
    <w:p w14:paraId="168B6783">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工作职责：按照《全民健康生活方式行动健康步道、健康公园考核评估表》要求，完成健康公园、健康步道创建并通过考核验收。</w:t>
      </w:r>
    </w:p>
    <w:p w14:paraId="55C0565C">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6.健康小屋（首善街办社区卫生服务中心、齐镇中心卫生院、槐芽中心卫生院、小法仪卫生院）</w:t>
      </w:r>
    </w:p>
    <w:p w14:paraId="63CD1072">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点位长：刘宏科  县妇幼保健院院长</w:t>
      </w:r>
    </w:p>
    <w:p w14:paraId="10BC3F9F">
      <w:pPr>
        <w:widowControl w:val="0"/>
        <w:overflowPunct w:val="0"/>
        <w:adjustRightInd/>
        <w:snapToGrid/>
        <w:spacing w:after="0" w:line="560" w:lineRule="exact"/>
        <w:ind w:firstLine="1920" w:firstLineChars="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龚军强  齐镇中心卫生院院长</w:t>
      </w:r>
    </w:p>
    <w:p w14:paraId="5AB7F087">
      <w:pPr>
        <w:widowControl w:val="0"/>
        <w:overflowPunct w:val="0"/>
        <w:adjustRightInd/>
        <w:snapToGrid/>
        <w:spacing w:after="0" w:line="560" w:lineRule="exact"/>
        <w:ind w:firstLine="1920" w:firstLineChars="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申爱成  槐芽中心卫生院院长</w:t>
      </w:r>
    </w:p>
    <w:p w14:paraId="5DB65FC4">
      <w:pPr>
        <w:widowControl w:val="0"/>
        <w:overflowPunct w:val="0"/>
        <w:adjustRightInd/>
        <w:snapToGrid/>
        <w:spacing w:after="0" w:line="560" w:lineRule="exact"/>
        <w:ind w:firstLine="1920" w:firstLineChars="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贺少龙  小法仪卫生院院长</w:t>
      </w:r>
    </w:p>
    <w:p w14:paraId="02D313FB">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工作职责：按照《全民健康生活方式行动健康小屋考核评估表》要求，完成健康小屋创建并通过考核验收。</w:t>
      </w:r>
    </w:p>
    <w:p w14:paraId="58121F68">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7.健康超市（老实人超市、福一佳超市）</w:t>
      </w:r>
    </w:p>
    <w:p w14:paraId="27C6C71D">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点位长：辛  瑞   县商务和工业信息化局副局长</w:t>
      </w:r>
    </w:p>
    <w:p w14:paraId="17E27810">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工作职责：按照《全民健康生活方式行动健康超市考核评估表》要求，完成健康超市创建并通过核验收。</w:t>
      </w:r>
    </w:p>
    <w:p w14:paraId="56BD1913">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8.健康社区/健康村庄（每镇打造1个）</w:t>
      </w:r>
    </w:p>
    <w:p w14:paraId="5BEA695C">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点位长：邓文超   首善街办副主任</w:t>
      </w:r>
    </w:p>
    <w:p w14:paraId="28AB3AD3">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王阿龙   横渠镇副镇长</w:t>
      </w:r>
    </w:p>
    <w:p w14:paraId="5113B501">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李  超   槐芽镇党委副书记</w:t>
      </w:r>
    </w:p>
    <w:p w14:paraId="6052FC58">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张  晶   汤峪镇副镇长</w:t>
      </w:r>
    </w:p>
    <w:p w14:paraId="08782DB8">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王瑞敏   金渠镇副镇长</w:t>
      </w:r>
    </w:p>
    <w:p w14:paraId="5ADCB171">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尚  晓   营头镇纪委书记</w:t>
      </w:r>
    </w:p>
    <w:p w14:paraId="78D7E005">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罗  丹   齐镇副镇长</w:t>
      </w:r>
    </w:p>
    <w:p w14:paraId="6992BD33">
      <w:pPr>
        <w:widowControl w:val="0"/>
        <w:overflowPunct w:val="0"/>
        <w:adjustRightInd/>
        <w:snapToGrid/>
        <w:spacing w:after="0" w:line="560" w:lineRule="exact"/>
        <w:ind w:firstLine="1936" w:firstLineChars="60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李国栋   常兴镇副镇长</w:t>
      </w:r>
    </w:p>
    <w:p w14:paraId="18BB2293">
      <w:pPr>
        <w:widowControl w:val="0"/>
        <w:overflowPunct w:val="0"/>
        <w:adjustRightInd/>
        <w:snapToGrid/>
        <w:spacing w:after="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工作职责：按照《全民健康生活方式行动健康社区/健康村庄考核评估表》要求，完成健康社区/健康村庄创建并通过考核验收。</w:t>
      </w:r>
    </w:p>
    <w:p w14:paraId="3C333D90">
      <w:pPr>
        <w:widowControl w:val="0"/>
        <w:overflowPunct w:val="0"/>
        <w:adjustRightInd/>
        <w:snapToGrid/>
        <w:spacing w:after="0" w:line="560" w:lineRule="exact"/>
        <w:ind w:firstLine="643" w:firstLineChars="20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9.健康社团（不少于2个）</w:t>
      </w:r>
    </w:p>
    <w:p w14:paraId="345F31B8">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点位长：云  力   县教体局副局长</w:t>
      </w:r>
    </w:p>
    <w:p w14:paraId="5A11A02A">
      <w:pPr>
        <w:widowControl w:val="0"/>
        <w:overflowPunct w:val="0"/>
        <w:adjustRightInd/>
        <w:snapToGrid/>
        <w:spacing w:after="0" w:line="560" w:lineRule="exact"/>
        <w:ind w:firstLine="659" w:firstLineChars="206"/>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工作职责：按照《全民健康生活方式行动健康社团考核评估表》要求，完成健康社团创建并通过考核验收。</w:t>
      </w:r>
    </w:p>
    <w:p w14:paraId="6EA844BC">
      <w:pPr>
        <w:adjustRightInd/>
        <w:snapToGrid/>
        <w:spacing w:after="0" w:line="600" w:lineRule="exact"/>
        <w:rPr>
          <w:rFonts w:ascii="仿宋" w:hAnsi="仿宋" w:eastAsia="仿宋" w:cs="仿宋"/>
          <w:kern w:val="2"/>
          <w:sz w:val="32"/>
          <w:szCs w:val="32"/>
        </w:rPr>
      </w:pPr>
    </w:p>
    <w:p w14:paraId="0FE2A66E">
      <w:pPr>
        <w:adjustRightInd/>
        <w:snapToGrid/>
        <w:spacing w:after="0" w:line="560" w:lineRule="exact"/>
        <w:rPr>
          <w:rFonts w:ascii="仿宋" w:hAnsi="仿宋" w:eastAsia="仿宋" w:cs="仿宋"/>
          <w:kern w:val="2"/>
          <w:sz w:val="32"/>
          <w:szCs w:val="32"/>
        </w:rPr>
      </w:pPr>
    </w:p>
    <w:p w14:paraId="6D784CF4"/>
    <w:p w14:paraId="117AC3FD"/>
    <w:p w14:paraId="25803A74">
      <w:pPr>
        <w:sectPr>
          <w:pgSz w:w="11906" w:h="16838"/>
          <w:pgMar w:top="1417" w:right="1417" w:bottom="1417" w:left="1701" w:header="709" w:footer="907" w:gutter="0"/>
          <w:pgNumType w:fmt="numberInDash"/>
          <w:cols w:space="0" w:num="1"/>
          <w:docGrid w:linePitch="312" w:charSpace="0"/>
        </w:sectPr>
      </w:pPr>
    </w:p>
    <w:p w14:paraId="3B77EF12">
      <w:pPr>
        <w:spacing w:after="0" w:line="580" w:lineRule="exact"/>
        <w:rPr>
          <w:rFonts w:ascii="黑体" w:hAnsi="黑体" w:eastAsia="黑体" w:cs="黑体"/>
          <w:kern w:val="2"/>
          <w:sz w:val="32"/>
          <w:szCs w:val="32"/>
        </w:rPr>
      </w:pPr>
      <w:r>
        <w:rPr>
          <w:rFonts w:hint="eastAsia" w:ascii="黑体" w:hAnsi="黑体" w:eastAsia="黑体" w:cs="黑体"/>
          <w:kern w:val="2"/>
          <w:sz w:val="32"/>
          <w:szCs w:val="32"/>
        </w:rPr>
        <w:t>附件4</w:t>
      </w:r>
    </w:p>
    <w:p w14:paraId="2BB9ADEB">
      <w:pPr>
        <w:spacing w:after="0" w:line="66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眉县国家慢性病示范区建设工作任务分解表</w:t>
      </w:r>
    </w:p>
    <w:tbl>
      <w:tblPr>
        <w:tblStyle w:val="5"/>
        <w:tblW w:w="14089" w:type="dxa"/>
        <w:jc w:val="center"/>
        <w:tblLayout w:type="fixed"/>
        <w:tblCellMar>
          <w:top w:w="0" w:type="dxa"/>
          <w:left w:w="0" w:type="dxa"/>
          <w:bottom w:w="0" w:type="dxa"/>
          <w:right w:w="0" w:type="dxa"/>
        </w:tblCellMar>
      </w:tblPr>
      <w:tblGrid>
        <w:gridCol w:w="908"/>
        <w:gridCol w:w="1449"/>
        <w:gridCol w:w="1867"/>
        <w:gridCol w:w="5418"/>
        <w:gridCol w:w="525"/>
        <w:gridCol w:w="1305"/>
        <w:gridCol w:w="1264"/>
        <w:gridCol w:w="1353"/>
      </w:tblGrid>
      <w:tr w14:paraId="3EC27DAC">
        <w:tblPrEx>
          <w:tblCellMar>
            <w:top w:w="0" w:type="dxa"/>
            <w:left w:w="0" w:type="dxa"/>
            <w:bottom w:w="0" w:type="dxa"/>
            <w:right w:w="0" w:type="dxa"/>
          </w:tblCellMar>
        </w:tblPrEx>
        <w:trPr>
          <w:trHeight w:val="623" w:hRule="atLeast"/>
          <w:tblHeader/>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8493">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指标</w:t>
            </w:r>
          </w:p>
          <w:p w14:paraId="0F788777">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分类</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C0BB">
            <w:pPr>
              <w:widowControl w:val="0"/>
              <w:snapToGrid/>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指标内容</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C472">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指标要求</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E4B6">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赋分标准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4D39">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权重分值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212E">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评价办法</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DAD6">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牵头部门</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D3D4D">
            <w:pPr>
              <w:widowControl w:val="0"/>
              <w:spacing w:after="0" w:line="320" w:lineRule="exact"/>
              <w:jc w:val="center"/>
              <w:textAlignment w:val="center"/>
              <w:rPr>
                <w:rFonts w:ascii="黑体" w:hAnsi="黑体" w:eastAsia="黑体" w:cs="黑体"/>
                <w:sz w:val="24"/>
                <w:szCs w:val="24"/>
              </w:rPr>
            </w:pPr>
            <w:r>
              <w:rPr>
                <w:rFonts w:hint="eastAsia" w:ascii="黑体" w:hAnsi="黑体" w:eastAsia="黑体" w:cs="黑体"/>
                <w:sz w:val="24"/>
                <w:szCs w:val="24"/>
              </w:rPr>
              <w:t>责任部门</w:t>
            </w:r>
          </w:p>
        </w:tc>
      </w:tr>
      <w:tr w14:paraId="0CB32009">
        <w:tblPrEx>
          <w:tblCellMar>
            <w:top w:w="0" w:type="dxa"/>
            <w:left w:w="0" w:type="dxa"/>
            <w:bottom w:w="0" w:type="dxa"/>
            <w:right w:w="0" w:type="dxa"/>
          </w:tblCellMar>
        </w:tblPrEx>
        <w:trPr>
          <w:trHeight w:val="623"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86AAC03">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一、政策发展（60分）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D39D0AA">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（一）发挥政府主导作用，建立多部门协作联动机制。（18分）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A218B">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1.辖区政府成立示范区建设领导小组，明确并落实部门职责，建立完善的信息反馈沟通制度。</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4F2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（1）成立辖区示范区建设领导小组，政府主要领导任组长，明确各部门职责，2分。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A95E">
            <w:pPr>
              <w:widowControl w:val="0"/>
              <w:spacing w:after="0"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8526">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查阅资料，现场询问。</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D617">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示范区建设工作领导小组办公室</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DACF">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5F201504">
        <w:tblPrEx>
          <w:tblCellMar>
            <w:top w:w="0" w:type="dxa"/>
            <w:left w:w="0" w:type="dxa"/>
            <w:bottom w:w="0" w:type="dxa"/>
            <w:right w:w="0" w:type="dxa"/>
          </w:tblCellMar>
        </w:tblPrEx>
        <w:trPr>
          <w:trHeight w:val="45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301D26C">
            <w:pPr>
              <w:widowControl w:val="0"/>
              <w:spacing w:after="0" w:line="320" w:lineRule="exact"/>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D687ADE">
            <w:pPr>
              <w:widowControl w:val="0"/>
              <w:spacing w:after="0" w:line="320" w:lineRule="exact"/>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6BD59">
            <w:pPr>
              <w:widowControl w:val="0"/>
              <w:spacing w:after="0" w:line="320" w:lineRule="exact"/>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216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（2）设立示范区建设工作办公室，1分。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1CB8">
            <w:pPr>
              <w:widowControl w:val="0"/>
              <w:spacing w:after="0" w:line="320" w:lineRule="exact"/>
              <w:jc w:val="center"/>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B5499">
            <w:pPr>
              <w:widowControl w:val="0"/>
              <w:spacing w:after="0" w:line="320" w:lineRule="exact"/>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0D3A">
            <w:pPr>
              <w:widowControl w:val="0"/>
              <w:spacing w:after="0" w:line="320" w:lineRule="exact"/>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4997">
            <w:pPr>
              <w:widowControl w:val="0"/>
              <w:spacing w:after="0" w:line="320" w:lineRule="exact"/>
              <w:rPr>
                <w:rFonts w:ascii="仿宋_GB2312" w:hAnsi="仿宋_GB2312" w:eastAsia="仿宋_GB2312" w:cs="仿宋_GB2312"/>
                <w:sz w:val="24"/>
                <w:szCs w:val="24"/>
              </w:rPr>
            </w:pPr>
          </w:p>
        </w:tc>
      </w:tr>
      <w:tr w14:paraId="0472A678">
        <w:tblPrEx>
          <w:tblCellMar>
            <w:top w:w="0" w:type="dxa"/>
            <w:left w:w="0" w:type="dxa"/>
            <w:bottom w:w="0" w:type="dxa"/>
            <w:right w:w="0" w:type="dxa"/>
          </w:tblCellMar>
        </w:tblPrEx>
        <w:trPr>
          <w:trHeight w:val="46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B3E5A40">
            <w:pPr>
              <w:widowControl w:val="0"/>
              <w:spacing w:after="0" w:line="320" w:lineRule="exact"/>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A3EBD1D">
            <w:pPr>
              <w:widowControl w:val="0"/>
              <w:spacing w:after="0" w:line="320" w:lineRule="exact"/>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7521">
            <w:pPr>
              <w:widowControl w:val="0"/>
              <w:spacing w:after="0" w:line="320" w:lineRule="exact"/>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18C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（3）每年召开1次及以上领导小组工作会议，1分。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B35C0">
            <w:pPr>
              <w:widowControl w:val="0"/>
              <w:spacing w:after="0" w:line="320" w:lineRule="exact"/>
              <w:jc w:val="center"/>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EF8A">
            <w:pPr>
              <w:widowControl w:val="0"/>
              <w:spacing w:after="0" w:line="320" w:lineRule="exact"/>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438D">
            <w:pPr>
              <w:widowControl w:val="0"/>
              <w:spacing w:after="0" w:line="320" w:lineRule="exact"/>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0E9D9">
            <w:pPr>
              <w:widowControl w:val="0"/>
              <w:spacing w:after="0" w:line="320" w:lineRule="exact"/>
              <w:rPr>
                <w:rFonts w:ascii="仿宋_GB2312" w:hAnsi="仿宋_GB2312" w:eastAsia="仿宋_GB2312" w:cs="仿宋_GB2312"/>
                <w:sz w:val="24"/>
                <w:szCs w:val="24"/>
              </w:rPr>
            </w:pPr>
          </w:p>
        </w:tc>
      </w:tr>
      <w:tr w14:paraId="65CD7E11">
        <w:tblPrEx>
          <w:tblCellMar>
            <w:top w:w="0" w:type="dxa"/>
            <w:left w:w="0" w:type="dxa"/>
            <w:bottom w:w="0" w:type="dxa"/>
            <w:right w:w="0" w:type="dxa"/>
          </w:tblCellMar>
        </w:tblPrEx>
        <w:trPr>
          <w:trHeight w:val="44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4E70C5">
            <w:pPr>
              <w:widowControl w:val="0"/>
              <w:spacing w:after="0" w:line="320" w:lineRule="exact"/>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CD08BAB">
            <w:pPr>
              <w:widowControl w:val="0"/>
              <w:spacing w:after="0" w:line="320" w:lineRule="exact"/>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D4A1">
            <w:pPr>
              <w:widowControl w:val="0"/>
              <w:spacing w:after="0" w:line="320" w:lineRule="exact"/>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717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（4）根据实际工作需要及时召开联络员会议，1分。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5B4C">
            <w:pPr>
              <w:widowControl w:val="0"/>
              <w:spacing w:after="0" w:line="320" w:lineRule="exact"/>
              <w:jc w:val="center"/>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862A">
            <w:pPr>
              <w:widowControl w:val="0"/>
              <w:spacing w:after="0" w:line="320" w:lineRule="exact"/>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9689">
            <w:pPr>
              <w:widowControl w:val="0"/>
              <w:spacing w:after="0" w:line="320" w:lineRule="exact"/>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17CE">
            <w:pPr>
              <w:widowControl w:val="0"/>
              <w:spacing w:after="0" w:line="320" w:lineRule="exact"/>
              <w:rPr>
                <w:rFonts w:ascii="仿宋_GB2312" w:hAnsi="仿宋_GB2312" w:eastAsia="仿宋_GB2312" w:cs="仿宋_GB2312"/>
                <w:sz w:val="24"/>
                <w:szCs w:val="24"/>
              </w:rPr>
            </w:pPr>
          </w:p>
        </w:tc>
      </w:tr>
      <w:tr w14:paraId="6FBC8BBD">
        <w:tblPrEx>
          <w:tblCellMar>
            <w:top w:w="0" w:type="dxa"/>
            <w:left w:w="0" w:type="dxa"/>
            <w:bottom w:w="0" w:type="dxa"/>
            <w:right w:w="0" w:type="dxa"/>
          </w:tblCellMar>
        </w:tblPrEx>
        <w:trPr>
          <w:trHeight w:val="56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D05C5FC">
            <w:pPr>
              <w:widowControl w:val="0"/>
              <w:spacing w:after="0" w:line="320" w:lineRule="exact"/>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9F7E518">
            <w:pPr>
              <w:widowControl w:val="0"/>
              <w:spacing w:after="0" w:line="320" w:lineRule="exact"/>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11AE">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2.辖区政府将慢性病防控工作纳入当地政府经济社会发展规划。</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C15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（1）慢性病防控工作纳入政府社会经济发展规划，2分。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C626">
            <w:pPr>
              <w:widowControl w:val="0"/>
              <w:spacing w:after="0"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6653">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8F0C6">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示范区建设工作领导小组办公室</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C407">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县发改局</w:t>
            </w:r>
          </w:p>
        </w:tc>
      </w:tr>
      <w:tr w14:paraId="026F69F3">
        <w:tblPrEx>
          <w:tblCellMar>
            <w:top w:w="0" w:type="dxa"/>
            <w:left w:w="0" w:type="dxa"/>
            <w:bottom w:w="0" w:type="dxa"/>
            <w:right w:w="0" w:type="dxa"/>
          </w:tblCellMar>
        </w:tblPrEx>
        <w:trPr>
          <w:trHeight w:val="241"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51F385">
            <w:pPr>
              <w:widowControl w:val="0"/>
              <w:spacing w:after="0" w:line="320" w:lineRule="exact"/>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0774B08">
            <w:pPr>
              <w:widowControl w:val="0"/>
              <w:spacing w:after="0" w:line="320" w:lineRule="exact"/>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AAAF9">
            <w:pPr>
              <w:widowControl w:val="0"/>
              <w:spacing w:after="0" w:line="320" w:lineRule="exact"/>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4A5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（2）政府制定慢性病综合防控示范区建设实施方案，1分。</w:t>
            </w:r>
          </w:p>
        </w:tc>
        <w:tc>
          <w:tcPr>
            <w:tcW w:w="52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2A453FF">
            <w:pPr>
              <w:widowControl w:val="0"/>
              <w:spacing w:after="0" w:line="320" w:lineRule="exact"/>
              <w:jc w:val="center"/>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B302A77">
            <w:pPr>
              <w:widowControl w:val="0"/>
              <w:spacing w:after="0" w:line="320" w:lineRule="exact"/>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6A0DF8F">
            <w:pPr>
              <w:widowControl w:val="0"/>
              <w:spacing w:after="0" w:line="320" w:lineRule="exact"/>
              <w:rPr>
                <w:rFonts w:ascii="仿宋_GB2312" w:hAnsi="仿宋_GB2312" w:eastAsia="仿宋_GB2312" w:cs="仿宋_GB2312"/>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C63C">
            <w:pPr>
              <w:widowControl w:val="0"/>
              <w:spacing w:after="0"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县政府办、县卫健局</w:t>
            </w:r>
          </w:p>
        </w:tc>
      </w:tr>
      <w:tr w14:paraId="365FE489">
        <w:tblPrEx>
          <w:tblCellMar>
            <w:top w:w="0" w:type="dxa"/>
            <w:left w:w="0" w:type="dxa"/>
            <w:bottom w:w="0" w:type="dxa"/>
            <w:right w:w="0" w:type="dxa"/>
          </w:tblCellMar>
        </w:tblPrEx>
        <w:trPr>
          <w:trHeight w:val="158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70E99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6946A01">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836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3.慢性病防控融入各部门政策规章制度，有烟草控制、降低有害饮酒、减盐、控油、控制体重、全民健身等慢性病危险因素干预、疾病管理相关的政策规章制度。</w:t>
            </w:r>
          </w:p>
        </w:tc>
        <w:tc>
          <w:tcPr>
            <w:tcW w:w="54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017C7D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（1）凡制定并落实，每个部门得1分，满分5分。</w:t>
            </w:r>
          </w:p>
        </w:tc>
        <w:tc>
          <w:tcPr>
            <w:tcW w:w="52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906C5C8">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3F2ED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抽查5个部门制定落实相关健康政策情况。</w:t>
            </w:r>
          </w:p>
        </w:tc>
        <w:tc>
          <w:tcPr>
            <w:tcW w:w="1264"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002A63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示范区建设工作领导小组办公室</w:t>
            </w:r>
          </w:p>
        </w:tc>
        <w:tc>
          <w:tcPr>
            <w:tcW w:w="1353"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F0E9A6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5B749B5B">
        <w:tblPrEx>
          <w:tblCellMar>
            <w:top w:w="0" w:type="dxa"/>
            <w:left w:w="0" w:type="dxa"/>
            <w:bottom w:w="0" w:type="dxa"/>
            <w:right w:w="0" w:type="dxa"/>
          </w:tblCellMar>
        </w:tblPrEx>
        <w:trPr>
          <w:trHeight w:val="880"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B3E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F28A">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E48F">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1BF0B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（2）制定但没有落实，每个部门得0.5分。</w:t>
            </w:r>
          </w:p>
        </w:tc>
        <w:tc>
          <w:tcPr>
            <w:tcW w:w="52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B875485">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5AAED93">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7AA244AE">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C6F628D">
            <w:pPr>
              <w:widowControl w:val="0"/>
              <w:spacing w:after="0" w:line="320" w:lineRule="exact"/>
              <w:textAlignment w:val="top"/>
              <w:rPr>
                <w:rFonts w:ascii="仿宋_GB2312" w:hAnsi="仿宋_GB2312" w:eastAsia="仿宋_GB2312" w:cs="仿宋_GB2312"/>
                <w:sz w:val="24"/>
                <w:szCs w:val="24"/>
              </w:rPr>
            </w:pPr>
          </w:p>
        </w:tc>
      </w:tr>
      <w:tr w14:paraId="1CEB7F39">
        <w:tblPrEx>
          <w:tblCellMar>
            <w:top w:w="0" w:type="dxa"/>
            <w:left w:w="0" w:type="dxa"/>
            <w:bottom w:w="0" w:type="dxa"/>
            <w:right w:w="0" w:type="dxa"/>
          </w:tblCellMar>
        </w:tblPrEx>
        <w:trPr>
          <w:trHeight w:val="1518"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5D6AB8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一、政策发展（60分）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32169C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（一）发挥政府主导作用，建立多部门协作联动机制。（18分）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FCB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4.示范区建设领导小组建立工作督导制度，开展示范区建设的多部门联合督导。</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472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（1）辖区政府主导每年组织2次由5个及以上部门参与的联合督导，每次得1分；低于5个部门参与得0.5分。对于在政府主导下采用第三方督导的，每年组织两次每次得1分。</w:t>
            </w:r>
          </w:p>
        </w:tc>
        <w:tc>
          <w:tcPr>
            <w:tcW w:w="52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C16C">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605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956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县政府办、示范区建设工作领导小组办公室</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7AB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31A69CE8">
        <w:tblPrEx>
          <w:tblCellMar>
            <w:top w:w="0" w:type="dxa"/>
            <w:left w:w="0" w:type="dxa"/>
            <w:bottom w:w="0" w:type="dxa"/>
            <w:right w:w="0" w:type="dxa"/>
          </w:tblCellMar>
        </w:tblPrEx>
        <w:trPr>
          <w:trHeight w:val="1788"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E074589">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E461">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03ED">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7C65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（2）联合督导内容主要包括部门合作建立的信息沟通共享、激励问责、质量控制等3个基本运行机制情况，每个机制分值为1分。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1C44">
            <w:pPr>
              <w:widowControl w:val="0"/>
              <w:spacing w:after="0" w:line="320" w:lineRule="exact"/>
              <w:jc w:val="center"/>
              <w:textAlignment w:val="top"/>
              <w:rPr>
                <w:rFonts w:ascii="仿宋_GB2312" w:hAnsi="仿宋_GB2312" w:eastAsia="仿宋_GB2312" w:cs="仿宋_GB2312"/>
                <w:sz w:val="24"/>
                <w:szCs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353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随机抽取5个成员单位负责人询问机制落实情况。</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94DC">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71C5">
            <w:pPr>
              <w:widowControl w:val="0"/>
              <w:spacing w:after="0" w:line="320" w:lineRule="exact"/>
              <w:textAlignment w:val="top"/>
              <w:rPr>
                <w:rFonts w:ascii="仿宋_GB2312" w:hAnsi="仿宋_GB2312" w:eastAsia="仿宋_GB2312" w:cs="仿宋_GB2312"/>
                <w:sz w:val="24"/>
                <w:szCs w:val="24"/>
              </w:rPr>
            </w:pPr>
          </w:p>
        </w:tc>
      </w:tr>
      <w:tr w14:paraId="70C44B69">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971C5D4">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778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（二）保障慢性病防控经费。（10分）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6BB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1.慢性病防控工作经费纳入政府年度预算、决算管理。</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C8F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（1）慢性病防控工作经费纳入政府预算、决算管理，各2分，共4分。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A3D20">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B44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3FB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县财政局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333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2B3B0862">
        <w:tblPrEx>
          <w:tblCellMar>
            <w:top w:w="0" w:type="dxa"/>
            <w:left w:w="0" w:type="dxa"/>
            <w:bottom w:w="0" w:type="dxa"/>
            <w:right w:w="0" w:type="dxa"/>
          </w:tblCellMar>
        </w:tblPrEx>
        <w:trPr>
          <w:trHeight w:val="59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32821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9941">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412B">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607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（2）经费预算执行率100%， 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E44E">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6B69">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AD5D">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317E">
            <w:pPr>
              <w:widowControl w:val="0"/>
              <w:spacing w:after="0" w:line="320" w:lineRule="exact"/>
              <w:textAlignment w:val="top"/>
              <w:rPr>
                <w:rFonts w:ascii="仿宋_GB2312" w:hAnsi="仿宋_GB2312" w:eastAsia="仿宋_GB2312" w:cs="仿宋_GB2312"/>
                <w:sz w:val="24"/>
                <w:szCs w:val="24"/>
              </w:rPr>
            </w:pPr>
          </w:p>
        </w:tc>
      </w:tr>
      <w:tr w14:paraId="1D3BEC22">
        <w:tblPrEx>
          <w:tblCellMar>
            <w:top w:w="0" w:type="dxa"/>
            <w:left w:w="0" w:type="dxa"/>
            <w:bottom w:w="0" w:type="dxa"/>
            <w:right w:w="0" w:type="dxa"/>
          </w:tblCellMar>
        </w:tblPrEx>
        <w:trPr>
          <w:trHeight w:val="69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4E4110">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730F">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52B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2.辖区政府按规划、计划提供示范区建设专项工作经费，专款专用。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082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（1）辖区提供示范区建设专项工作经费，3分。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D031">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BAA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17E5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县财政局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61A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3AF97FF5">
        <w:tblPrEx>
          <w:tblCellMar>
            <w:top w:w="0" w:type="dxa"/>
            <w:left w:w="0" w:type="dxa"/>
            <w:bottom w:w="0" w:type="dxa"/>
            <w:right w:w="0" w:type="dxa"/>
          </w:tblCellMar>
        </w:tblPrEx>
        <w:trPr>
          <w:trHeight w:val="78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757877A">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70F9">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8248">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0315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（2）慢性病防控经费专项管理，确保专款专用，2分。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E86C">
            <w:pPr>
              <w:widowControl w:val="0"/>
              <w:spacing w:after="0" w:line="320" w:lineRule="exact"/>
              <w:jc w:val="center"/>
              <w:textAlignment w:val="top"/>
              <w:rPr>
                <w:rFonts w:ascii="仿宋_GB2312" w:hAnsi="仿宋_GB2312" w:eastAsia="仿宋_GB2312" w:cs="仿宋_GB2312"/>
                <w:sz w:val="24"/>
                <w:szCs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432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249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县财政局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74C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7D93D2BB">
        <w:tblPrEx>
          <w:tblCellMar>
            <w:top w:w="0" w:type="dxa"/>
            <w:left w:w="0" w:type="dxa"/>
            <w:bottom w:w="0" w:type="dxa"/>
            <w:right w:w="0" w:type="dxa"/>
          </w:tblCellMar>
        </w:tblPrEx>
        <w:trPr>
          <w:trHeight w:val="811"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6F49BB">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16E0E7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（三）建立有效的绩效管理及评价机制。（11分）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CB0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1.辖区政府将示范区建设实施方案相关工作纳入各相关部门年度目标管理。</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556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（1）辖区政府将示范区建设工作纳入各相关部门年度目标管理，纳入绩效考核目标工作，2分。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D012">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946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查阅相关部门年度计划和年终评价的相关资料。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2CA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县政府办 </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67B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4DC94A5F">
        <w:tblPrEx>
          <w:tblCellMar>
            <w:top w:w="0" w:type="dxa"/>
            <w:left w:w="0" w:type="dxa"/>
            <w:bottom w:w="0" w:type="dxa"/>
            <w:right w:w="0" w:type="dxa"/>
          </w:tblCellMar>
        </w:tblPrEx>
        <w:trPr>
          <w:trHeight w:val="1002"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921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A804">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4CAB">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024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（2）抽查5个部门执行情况，发现2个及以上部门没纳入目标管理和绩效考核者不得分。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BE00">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8222">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C0DE4">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CB64">
            <w:pPr>
              <w:widowControl w:val="0"/>
              <w:spacing w:after="0" w:line="320" w:lineRule="exact"/>
              <w:textAlignment w:val="top"/>
              <w:rPr>
                <w:rFonts w:ascii="仿宋_GB2312" w:hAnsi="仿宋_GB2312" w:eastAsia="仿宋_GB2312" w:cs="仿宋_GB2312"/>
                <w:sz w:val="24"/>
                <w:szCs w:val="24"/>
              </w:rPr>
            </w:pPr>
          </w:p>
        </w:tc>
      </w:tr>
      <w:tr w14:paraId="2962DA0A">
        <w:tblPrEx>
          <w:tblCellMar>
            <w:top w:w="0" w:type="dxa"/>
            <w:left w:w="0" w:type="dxa"/>
            <w:bottom w:w="0" w:type="dxa"/>
            <w:right w:w="0" w:type="dxa"/>
          </w:tblCellMar>
        </w:tblPrEx>
        <w:trPr>
          <w:trHeight w:val="1238"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DE3DD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一、政策发展（60分）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A64B9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（三）建立有效的绩效管理及评价机制。（11分）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96D3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2.辖区政府将示范区建设实施方案相关工作纳入各部门绩效考核，落实问责制。</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EAC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（1）抽取5个相关部门职能科室，询问相关职责知晓和执行情况。部门履职合格的覆盖率达100%，5分。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2839">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708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查阅资料，现场询问（各部门汇报后专家提问）。</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3FB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县政府办、示范区建设工作领导小组办公室</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461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64D03750">
        <w:tblPrEx>
          <w:tblCellMar>
            <w:top w:w="0" w:type="dxa"/>
            <w:left w:w="0" w:type="dxa"/>
            <w:bottom w:w="0" w:type="dxa"/>
            <w:right w:w="0" w:type="dxa"/>
          </w:tblCellMar>
        </w:tblPrEx>
        <w:trPr>
          <w:trHeight w:val="86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F851588">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1DFD">
            <w:pPr>
              <w:widowControl w:val="0"/>
              <w:spacing w:after="0" w:line="32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A23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3.采用多种形式</w:t>
            </w:r>
            <w:r>
              <w:rPr>
                <w:rFonts w:hint="eastAsia" w:ascii="仿宋_GB2312" w:hAnsi="仿宋_GB2312" w:eastAsia="仿宋_GB2312" w:cs="仿宋_GB2312"/>
                <w:spacing w:val="-6"/>
                <w:sz w:val="24"/>
                <w:szCs w:val="24"/>
              </w:rPr>
              <w:t>获取群众对辖区慢性病综合防控的参与度和满意度。</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25B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（1）采用多种形式获取群众对辖区慢性病综合防控的参与度和满意度，并形成相关评价报告，4分。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82DC">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2E7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8600">
            <w:pPr>
              <w:widowControl w:val="0"/>
              <w:spacing w:after="0" w:line="320" w:lineRule="exact"/>
              <w:textAlignment w:val="top"/>
              <w:rPr>
                <w:rFonts w:ascii="仿宋_GB2312" w:hAnsi="仿宋_GB2312" w:eastAsia="仿宋_GB2312" w:cs="仿宋_GB2312"/>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67E0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1279D66D">
        <w:tblPrEx>
          <w:tblCellMar>
            <w:top w:w="0" w:type="dxa"/>
            <w:left w:w="0" w:type="dxa"/>
            <w:bottom w:w="0" w:type="dxa"/>
            <w:right w:w="0" w:type="dxa"/>
          </w:tblCellMar>
        </w:tblPrEx>
        <w:trPr>
          <w:trHeight w:val="26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E3C2451">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80B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（四）辖区政府定期发布慢性病及社会影响因素状况报告。（21分）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947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1.辖区政府定期发布慢性病及社会影响因素状况报告。</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915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（1）辖区政府定期发布慢性病及社会影响因素状况报告，3分。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1C25">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F63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00F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县政府办</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169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7FDA00B3">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AA9DEA">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6A32">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7501">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4566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（2）报告主要结果用于政府工作报告，2分。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730F0">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E564">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DBE75">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E157">
            <w:pPr>
              <w:widowControl w:val="0"/>
              <w:spacing w:after="0" w:line="320" w:lineRule="exact"/>
              <w:textAlignment w:val="top"/>
              <w:rPr>
                <w:rFonts w:ascii="仿宋_GB2312" w:hAnsi="仿宋_GB2312" w:eastAsia="仿宋_GB2312" w:cs="仿宋_GB2312"/>
                <w:sz w:val="24"/>
                <w:szCs w:val="24"/>
              </w:rPr>
            </w:pPr>
          </w:p>
        </w:tc>
      </w:tr>
      <w:tr w14:paraId="34ED9B37">
        <w:tblPrEx>
          <w:tblCellMar>
            <w:top w:w="0" w:type="dxa"/>
            <w:left w:w="0" w:type="dxa"/>
            <w:bottom w:w="0" w:type="dxa"/>
            <w:right w:w="0" w:type="dxa"/>
          </w:tblCellMar>
        </w:tblPrEx>
        <w:trPr>
          <w:trHeight w:val="276"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EF4C7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54E99">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4E8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2.辖区居民健康状况优于全国水平。</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1DFF">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（1）重大慢性病过早死亡率5年下降≥10%，8分；5%-10%，3分，其余0分。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3770">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8097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9C2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605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560373EC">
        <w:tblPrEx>
          <w:tblCellMar>
            <w:top w:w="0" w:type="dxa"/>
            <w:left w:w="0" w:type="dxa"/>
            <w:bottom w:w="0" w:type="dxa"/>
            <w:right w:w="0" w:type="dxa"/>
          </w:tblCellMar>
        </w:tblPrEx>
        <w:trPr>
          <w:trHeight w:val="249"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84272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A8C1">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A46BD">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4750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（2）心脑血管疾病标化死亡率降至205.1/10万及以下，4分；205.1-209.7/10万，2分；高于209.7/10万不得分。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6B0E">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26A4D">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DFFFA">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E2F7">
            <w:pPr>
              <w:widowControl w:val="0"/>
              <w:spacing w:after="0" w:line="320" w:lineRule="exact"/>
              <w:textAlignment w:val="top"/>
              <w:rPr>
                <w:rFonts w:ascii="仿宋_GB2312" w:hAnsi="仿宋_GB2312" w:eastAsia="仿宋_GB2312" w:cs="仿宋_GB2312"/>
                <w:sz w:val="24"/>
                <w:szCs w:val="24"/>
              </w:rPr>
            </w:pPr>
          </w:p>
        </w:tc>
      </w:tr>
      <w:tr w14:paraId="2DFDFE92">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F822A">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904D">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45B2">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F49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（3）70岁及以下人群慢性呼吸系统疾病标化死亡率降至9.0/10万及以下，4分；高于9.0/10万不得分。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6DA70">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E944">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AC2F">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0480">
            <w:pPr>
              <w:widowControl w:val="0"/>
              <w:spacing w:after="0" w:line="320" w:lineRule="exact"/>
              <w:textAlignment w:val="top"/>
              <w:rPr>
                <w:rFonts w:ascii="仿宋_GB2312" w:hAnsi="仿宋_GB2312" w:eastAsia="仿宋_GB2312" w:cs="仿宋_GB2312"/>
                <w:sz w:val="24"/>
                <w:szCs w:val="24"/>
              </w:rPr>
            </w:pPr>
          </w:p>
        </w:tc>
      </w:tr>
      <w:tr w14:paraId="512D70E2">
        <w:tblPrEx>
          <w:tblCellMar>
            <w:top w:w="0" w:type="dxa"/>
            <w:left w:w="0" w:type="dxa"/>
            <w:bottom w:w="0" w:type="dxa"/>
            <w:right w:w="0" w:type="dxa"/>
          </w:tblCellMar>
        </w:tblPrEx>
        <w:trPr>
          <w:trHeight w:val="594"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21DAF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二、环境支持（35分）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3A7933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（一）构建全方位健康支持性环境。（9分）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7D8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1.按照国家标准开展健康社区、单位、学校、食堂、餐厅/酒店建设，数量逐年增加。</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E95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（1）健康社区覆盖率逐年增加5%或达到40%以上，1分。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85241">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088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查看健康支持性环境的名单（验收命名文件）,现场随机抽查每类1个。</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143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县卫健局、县教体局、县市场监管局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B37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0EFFEF16">
        <w:tblPrEx>
          <w:tblCellMar>
            <w:top w:w="0" w:type="dxa"/>
            <w:left w:w="0" w:type="dxa"/>
            <w:bottom w:w="0" w:type="dxa"/>
            <w:right w:w="0" w:type="dxa"/>
          </w:tblCellMar>
        </w:tblPrEx>
        <w:trPr>
          <w:trHeight w:val="42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869E3B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9FE37CF">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BFCE">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5D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（2）健康单位、学校、食堂、餐厅/酒店每年增加2个或每类达到10个及以上，每类1分，每年增加未达标者该类不得分。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E1EA">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463CC">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968B">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9EDD">
            <w:pPr>
              <w:widowControl w:val="0"/>
              <w:spacing w:after="0" w:line="320" w:lineRule="exact"/>
              <w:textAlignment w:val="top"/>
              <w:rPr>
                <w:rFonts w:ascii="仿宋_GB2312" w:hAnsi="仿宋_GB2312" w:eastAsia="仿宋_GB2312" w:cs="仿宋_GB2312"/>
                <w:sz w:val="24"/>
                <w:szCs w:val="24"/>
              </w:rPr>
            </w:pPr>
          </w:p>
        </w:tc>
      </w:tr>
      <w:tr w14:paraId="54CBD191">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4683">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6CE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9609">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6F6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（3）现场调研发现每类中有1个不达标，该类不得分。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2384">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0E29">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19830">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657B">
            <w:pPr>
              <w:widowControl w:val="0"/>
              <w:spacing w:after="0" w:line="320" w:lineRule="exact"/>
              <w:textAlignment w:val="top"/>
              <w:rPr>
                <w:rFonts w:ascii="仿宋_GB2312" w:hAnsi="仿宋_GB2312" w:eastAsia="仿宋_GB2312" w:cs="仿宋_GB2312"/>
                <w:sz w:val="24"/>
                <w:szCs w:val="24"/>
              </w:rPr>
            </w:pPr>
          </w:p>
        </w:tc>
      </w:tr>
      <w:tr w14:paraId="4CFCB129">
        <w:tblPrEx>
          <w:tblCellMar>
            <w:top w:w="0" w:type="dxa"/>
            <w:left w:w="0" w:type="dxa"/>
            <w:bottom w:w="0" w:type="dxa"/>
            <w:right w:w="0" w:type="dxa"/>
          </w:tblCellMar>
        </w:tblPrEx>
        <w:trPr>
          <w:trHeight w:val="397"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7A9B39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二、环境支持（35分）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BC2593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（一）构建全方位健康支持性环境。（9分）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80A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2.按照国家标准开展健康主题公园、步道、小屋、健康街区等健康支持性环境建设，数量逐年增加。</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E18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（1）健康主题公园、步道、小屋、街区、超市、社团等，每建设1类，1分，满分4分。其中健康步道、小屋等数量逐年有增加或每类建设数量达到3个，每类2分共4分，未达到要求者该类不得分。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6F14">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7C8C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查看健康支持性环境的名单（验收命名文件）,现场随机抽查每类1个。</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6688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县住建局、县卫健局、县商务和工业信息化局、县教体局、各镇街</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9F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0BC5B98F">
        <w:tblPrEx>
          <w:tblCellMar>
            <w:top w:w="0" w:type="dxa"/>
            <w:left w:w="0" w:type="dxa"/>
            <w:bottom w:w="0" w:type="dxa"/>
            <w:right w:w="0" w:type="dxa"/>
          </w:tblCellMar>
        </w:tblPrEx>
        <w:trPr>
          <w:trHeight w:val="1016"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3D5FACB">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459B">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2928A">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682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（2）现场评估发现每类中有1个不达标，该类不得分。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AAAE">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452F">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5036">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8353">
            <w:pPr>
              <w:widowControl w:val="0"/>
              <w:spacing w:after="0" w:line="320" w:lineRule="exact"/>
              <w:textAlignment w:val="top"/>
              <w:rPr>
                <w:rFonts w:ascii="仿宋_GB2312" w:hAnsi="仿宋_GB2312" w:eastAsia="仿宋_GB2312" w:cs="仿宋_GB2312"/>
                <w:sz w:val="24"/>
                <w:szCs w:val="24"/>
              </w:rPr>
            </w:pPr>
          </w:p>
        </w:tc>
      </w:tr>
      <w:tr w14:paraId="2C4083B0">
        <w:tblPrEx>
          <w:tblCellMar>
            <w:top w:w="0" w:type="dxa"/>
            <w:left w:w="0" w:type="dxa"/>
            <w:bottom w:w="0" w:type="dxa"/>
            <w:right w:w="0" w:type="dxa"/>
          </w:tblCellMar>
        </w:tblPrEx>
        <w:trPr>
          <w:trHeight w:val="33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020F96">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49D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（二）为群众提供方便、可及的自助式健康检测服务。（4分）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A3AA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1.社区卫生服务中心和乡镇卫生院设立自助式健康检测点，并提供个体化健康指导。</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0F2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（1）设立自助式健康检测点的机构覆盖率达100%，1分；其他0分。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BB9D">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9A1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现场查看医疗机构免费健康检测点的设置及健康指导的记录。（依托互联网）</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53C1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CEA7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7ACB49C5">
        <w:tblPrEx>
          <w:tblCellMar>
            <w:top w:w="0" w:type="dxa"/>
            <w:left w:w="0" w:type="dxa"/>
            <w:bottom w:w="0" w:type="dxa"/>
            <w:right w:w="0" w:type="dxa"/>
          </w:tblCellMar>
        </w:tblPrEx>
        <w:trPr>
          <w:trHeight w:val="56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F93F8B7">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6285">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25BC">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657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（2）检测结果进入健康档案，实现信息利用，1分。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317E">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859">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D0B5">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F764">
            <w:pPr>
              <w:widowControl w:val="0"/>
              <w:spacing w:after="0" w:line="320" w:lineRule="exact"/>
              <w:textAlignment w:val="top"/>
              <w:rPr>
                <w:rFonts w:ascii="仿宋_GB2312" w:hAnsi="仿宋_GB2312" w:eastAsia="仿宋_GB2312" w:cs="仿宋_GB2312"/>
                <w:sz w:val="24"/>
                <w:szCs w:val="24"/>
              </w:rPr>
            </w:pPr>
          </w:p>
        </w:tc>
      </w:tr>
      <w:tr w14:paraId="4AB98F1B">
        <w:tblPrEx>
          <w:tblCellMar>
            <w:top w:w="0" w:type="dxa"/>
            <w:left w:w="0" w:type="dxa"/>
            <w:bottom w:w="0" w:type="dxa"/>
            <w:right w:w="0" w:type="dxa"/>
          </w:tblCellMar>
        </w:tblPrEx>
        <w:trPr>
          <w:trHeight w:val="116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EAED1A">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6D8F9">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1EE2C">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1AB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（3）提供个体化健康指导的机构比例≥50%，2分；30-50%，1分；30%以下0分。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DD7C">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DD64">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CFBC">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62CA6">
            <w:pPr>
              <w:widowControl w:val="0"/>
              <w:spacing w:after="0" w:line="320" w:lineRule="exact"/>
              <w:textAlignment w:val="top"/>
              <w:rPr>
                <w:rFonts w:ascii="仿宋_GB2312" w:hAnsi="仿宋_GB2312" w:eastAsia="仿宋_GB2312" w:cs="仿宋_GB2312"/>
                <w:sz w:val="24"/>
                <w:szCs w:val="24"/>
              </w:rPr>
            </w:pPr>
          </w:p>
        </w:tc>
      </w:tr>
      <w:tr w14:paraId="23742885">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06A9B59">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1A8EAF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（三）开展全民健身运动，普及公共体育设施，提高经常参加体育锻炼人口比例。（11分）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BDC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1.社区建设15分钟健身圈，居民健身设施完好，提高人均体育场地面积。</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E33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（1）社区15分钟健身圈/农村行政村体育设施覆盖率达到100%，1分；其余0分。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A906">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250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查阅资料，现场随机抽查居委会或村委会。</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894A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县教体局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51C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4DBFAB87">
        <w:tblPrEx>
          <w:tblCellMar>
            <w:top w:w="0" w:type="dxa"/>
            <w:left w:w="0" w:type="dxa"/>
            <w:bottom w:w="0" w:type="dxa"/>
            <w:right w:w="0" w:type="dxa"/>
          </w:tblCellMar>
        </w:tblPrEx>
        <w:trPr>
          <w:trHeight w:val="26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0A76B5">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DBD64F">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EB03">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496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（2）设备完好100%，0.5分；其余0分。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986B">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0C9DF">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E5D2">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EE393">
            <w:pPr>
              <w:widowControl w:val="0"/>
              <w:spacing w:after="0" w:line="320" w:lineRule="exact"/>
              <w:textAlignment w:val="top"/>
              <w:rPr>
                <w:rFonts w:ascii="仿宋_GB2312" w:hAnsi="仿宋_GB2312" w:eastAsia="仿宋_GB2312" w:cs="仿宋_GB2312"/>
                <w:sz w:val="24"/>
                <w:szCs w:val="24"/>
              </w:rPr>
            </w:pPr>
          </w:p>
        </w:tc>
      </w:tr>
      <w:tr w14:paraId="109671CD">
        <w:tblPrEx>
          <w:tblCellMar>
            <w:top w:w="0" w:type="dxa"/>
            <w:left w:w="0" w:type="dxa"/>
            <w:bottom w:w="0" w:type="dxa"/>
            <w:right w:w="0" w:type="dxa"/>
          </w:tblCellMar>
        </w:tblPrEx>
        <w:trPr>
          <w:trHeight w:val="478"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6A23FC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A5DC8CA">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1337">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6CD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（3）人均体育场地面积达2平米，0.5分，其余0分。。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17C64">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6C32">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1B06">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2317">
            <w:pPr>
              <w:widowControl w:val="0"/>
              <w:spacing w:after="0" w:line="320" w:lineRule="exact"/>
              <w:textAlignment w:val="top"/>
              <w:rPr>
                <w:rFonts w:ascii="仿宋_GB2312" w:hAnsi="仿宋_GB2312" w:eastAsia="仿宋_GB2312" w:cs="仿宋_GB2312"/>
                <w:sz w:val="24"/>
                <w:szCs w:val="24"/>
              </w:rPr>
            </w:pPr>
          </w:p>
        </w:tc>
      </w:tr>
      <w:tr w14:paraId="7700A223">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691FD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664E03">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BD29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 公共体育场地、有条件的企事业、学校的体育场地免费或低收费向社区居民开放。</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C3D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（1）公共体育场地、设施免费或低收费开放比例100%，1分；其余0分。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59C5">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713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查阅资料，现场评估，走访辖区居民了解开放情况 。</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97D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县教体局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8E8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53632E20">
        <w:tblPrEx>
          <w:tblCellMar>
            <w:top w:w="0" w:type="dxa"/>
            <w:left w:w="0" w:type="dxa"/>
            <w:bottom w:w="0" w:type="dxa"/>
            <w:right w:w="0" w:type="dxa"/>
          </w:tblCellMar>
        </w:tblPrEx>
        <w:trPr>
          <w:trHeight w:val="790"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1B4D">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070A">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D16B">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D76C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（2）有条件的单位免费或低收费开放比例≧30%，1分；30%以下0分。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52FD">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65FE">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25DB">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CA93">
            <w:pPr>
              <w:widowControl w:val="0"/>
              <w:spacing w:after="0" w:line="320" w:lineRule="exact"/>
              <w:textAlignment w:val="top"/>
              <w:rPr>
                <w:rFonts w:ascii="仿宋_GB2312" w:hAnsi="仿宋_GB2312" w:eastAsia="仿宋_GB2312" w:cs="仿宋_GB2312"/>
                <w:sz w:val="24"/>
                <w:szCs w:val="24"/>
              </w:rPr>
            </w:pPr>
          </w:p>
        </w:tc>
      </w:tr>
      <w:tr w14:paraId="4FCA5550">
        <w:tblPrEx>
          <w:tblCellMar>
            <w:top w:w="0" w:type="dxa"/>
            <w:left w:w="0" w:type="dxa"/>
            <w:bottom w:w="0" w:type="dxa"/>
            <w:right w:w="0" w:type="dxa"/>
          </w:tblCellMar>
        </w:tblPrEx>
        <w:trPr>
          <w:trHeight w:val="90"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99E7BF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二、环境支持（35分）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E5124C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（三）开展全民健身运动，普及公共体育设施，提高经常参加体育锻炼人口比例。（11分）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E9D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3.机关、企事业单位开展工间健身活动，组织符合单位特点的健身和竞赛活动。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454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（1）开展工间健身活动单位覆盖率≧80%，1分；80%以下0分。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A53D">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B28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35F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县总工会</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B2A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7C8ADE78">
        <w:tblPrEx>
          <w:tblCellMar>
            <w:top w:w="0" w:type="dxa"/>
            <w:left w:w="0" w:type="dxa"/>
            <w:bottom w:w="0" w:type="dxa"/>
            <w:right w:w="0" w:type="dxa"/>
          </w:tblCellMar>
        </w:tblPrEx>
        <w:trPr>
          <w:trHeight w:val="1021"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FF89CFD">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AFB618">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C931">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29F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（2）每年机关、企事业单位组织开展至少1次健身竞赛活动，1分；未开展不得分。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52D29">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31BCE">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47C9">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AB81">
            <w:pPr>
              <w:widowControl w:val="0"/>
              <w:spacing w:after="0" w:line="320" w:lineRule="exact"/>
              <w:textAlignment w:val="top"/>
              <w:rPr>
                <w:rFonts w:ascii="仿宋_GB2312" w:hAnsi="仿宋_GB2312" w:eastAsia="仿宋_GB2312" w:cs="仿宋_GB2312"/>
                <w:sz w:val="24"/>
                <w:szCs w:val="24"/>
              </w:rPr>
            </w:pPr>
          </w:p>
        </w:tc>
      </w:tr>
      <w:tr w14:paraId="28D2B498">
        <w:tblPrEx>
          <w:tblCellMar>
            <w:top w:w="0" w:type="dxa"/>
            <w:left w:w="0" w:type="dxa"/>
            <w:bottom w:w="0" w:type="dxa"/>
            <w:right w:w="0" w:type="dxa"/>
          </w:tblCellMar>
        </w:tblPrEx>
        <w:trPr>
          <w:trHeight w:val="79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2DA7AC">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0432EE">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A8A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4.实施青少年体育活动促进计划。</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4F0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（1）中、小学生每天校内体育活动时间不少于1小时的比例达到100%，1分；100%以下0分。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0969">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AD3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6AE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县教体局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525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辖区中小学校</w:t>
            </w:r>
          </w:p>
        </w:tc>
      </w:tr>
      <w:tr w14:paraId="7A7F01B1">
        <w:tblPrEx>
          <w:tblCellMar>
            <w:top w:w="0" w:type="dxa"/>
            <w:left w:w="0" w:type="dxa"/>
            <w:bottom w:w="0" w:type="dxa"/>
            <w:right w:w="0" w:type="dxa"/>
          </w:tblCellMar>
        </w:tblPrEx>
        <w:trPr>
          <w:trHeight w:val="79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16C3DBB">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ACFF9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7528">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E5A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（2）国家学生体质健康标准达标优良率（%）≧50%，1分；50%以下，0分。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CCF9D">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E0D2">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985A5">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9953">
            <w:pPr>
              <w:widowControl w:val="0"/>
              <w:spacing w:after="0" w:line="320" w:lineRule="exact"/>
              <w:textAlignment w:val="top"/>
              <w:rPr>
                <w:rFonts w:ascii="仿宋_GB2312" w:hAnsi="仿宋_GB2312" w:eastAsia="仿宋_GB2312" w:cs="仿宋_GB2312"/>
                <w:sz w:val="24"/>
                <w:szCs w:val="24"/>
              </w:rPr>
            </w:pPr>
          </w:p>
        </w:tc>
      </w:tr>
      <w:tr w14:paraId="4D2370C4">
        <w:tblPrEx>
          <w:tblCellMar>
            <w:top w:w="0" w:type="dxa"/>
            <w:left w:w="0" w:type="dxa"/>
            <w:bottom w:w="0" w:type="dxa"/>
            <w:right w:w="0" w:type="dxa"/>
          </w:tblCellMar>
        </w:tblPrEx>
        <w:trPr>
          <w:trHeight w:val="100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F3C258C">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5A2E">
            <w:pPr>
              <w:widowControl w:val="0"/>
              <w:spacing w:after="0" w:line="32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44B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5.提高经常参加体育锻炼人口比例。</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58B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经常参加体育锻炼人口比例≧40%,3分； 35-40%，2分；35%以下不得分。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26F0">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96C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查阅体育部门相关资料。</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79D1">
            <w:pPr>
              <w:widowControl w:val="0"/>
              <w:spacing w:after="0" w:line="320" w:lineRule="exact"/>
              <w:textAlignment w:val="top"/>
              <w:rPr>
                <w:rFonts w:ascii="仿宋_GB2312" w:hAnsi="仿宋_GB2312" w:eastAsia="仿宋_GB2312" w:cs="仿宋_GB2312"/>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FAE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73AB00DE">
        <w:tblPrEx>
          <w:tblCellMar>
            <w:top w:w="0" w:type="dxa"/>
            <w:left w:w="0" w:type="dxa"/>
            <w:bottom w:w="0" w:type="dxa"/>
            <w:right w:w="0" w:type="dxa"/>
          </w:tblCellMar>
        </w:tblPrEx>
        <w:trPr>
          <w:trHeight w:val="137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4C9E6C">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4CD26A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（四）开展烟草控制，降低人群吸烟率。（11分）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413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1.辖区室内公共场所、工作场所和公共交通工具设置禁止吸烟警语和标识。</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ED2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辖区100%的室内公共场所、工作场所和公共交通工具全面禁烟，设置禁止吸烟警语和标识，2分；95%-100%,1分；95%以下0分。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A5F4">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580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现场随机抽查，抽查发现一个单位不合格不得分。</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07E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县政府办、县商务和工业信息化局、县市场监管局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732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407E978D">
        <w:tblPrEx>
          <w:tblCellMar>
            <w:top w:w="0" w:type="dxa"/>
            <w:left w:w="0" w:type="dxa"/>
            <w:bottom w:w="0" w:type="dxa"/>
            <w:right w:w="0" w:type="dxa"/>
          </w:tblCellMar>
        </w:tblPrEx>
        <w:trPr>
          <w:trHeight w:val="39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8D1E28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6F265F">
            <w:pPr>
              <w:widowControl w:val="0"/>
              <w:spacing w:after="0" w:line="32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6A4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2.禁止烟草广告。</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FDD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辖区未发现烟草广告，1分。其余0分。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DD12">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F36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A5BD">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ACD1">
            <w:pPr>
              <w:widowControl w:val="0"/>
              <w:spacing w:after="0" w:line="320" w:lineRule="exact"/>
              <w:textAlignment w:val="top"/>
              <w:rPr>
                <w:rFonts w:ascii="仿宋_GB2312" w:hAnsi="仿宋_GB2312" w:eastAsia="仿宋_GB2312" w:cs="仿宋_GB2312"/>
                <w:sz w:val="24"/>
                <w:szCs w:val="24"/>
              </w:rPr>
            </w:pPr>
          </w:p>
        </w:tc>
      </w:tr>
      <w:tr w14:paraId="2746E8E8">
        <w:tblPrEx>
          <w:tblCellMar>
            <w:top w:w="0" w:type="dxa"/>
            <w:left w:w="0" w:type="dxa"/>
            <w:bottom w:w="0" w:type="dxa"/>
            <w:right w:w="0" w:type="dxa"/>
          </w:tblCellMar>
        </w:tblPrEx>
        <w:trPr>
          <w:trHeight w:val="70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7B478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F41DFD">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B2A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3.建设无烟党政机关、无烟医疗卫生机构、无烟学校。</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4C05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（1）覆盖率达到100%，2分；低于100%不得分。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D5C7">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B67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现场随机抽查。</w:t>
            </w:r>
          </w:p>
        </w:tc>
        <w:tc>
          <w:tcPr>
            <w:tcW w:w="12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A0A02F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859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1DB66398">
        <w:tblPrEx>
          <w:tblCellMar>
            <w:top w:w="0" w:type="dxa"/>
            <w:left w:w="0" w:type="dxa"/>
            <w:bottom w:w="0" w:type="dxa"/>
            <w:right w:w="0" w:type="dxa"/>
          </w:tblCellMar>
        </w:tblPrEx>
        <w:trPr>
          <w:trHeight w:val="685"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BE8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3F64">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567C">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540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（2）抽查发现1个单位不合格，不得分。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4AC4">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95A6">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4CF8">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80EF">
            <w:pPr>
              <w:widowControl w:val="0"/>
              <w:spacing w:after="0" w:line="320" w:lineRule="exact"/>
              <w:textAlignment w:val="top"/>
              <w:rPr>
                <w:rFonts w:ascii="仿宋_GB2312" w:hAnsi="仿宋_GB2312" w:eastAsia="仿宋_GB2312" w:cs="仿宋_GB2312"/>
                <w:sz w:val="24"/>
                <w:szCs w:val="24"/>
              </w:rPr>
            </w:pPr>
          </w:p>
        </w:tc>
      </w:tr>
      <w:tr w14:paraId="72289475">
        <w:tblPrEx>
          <w:tblCellMar>
            <w:top w:w="0" w:type="dxa"/>
            <w:left w:w="0" w:type="dxa"/>
            <w:bottom w:w="0" w:type="dxa"/>
            <w:right w:w="0" w:type="dxa"/>
          </w:tblCellMar>
        </w:tblPrEx>
        <w:trPr>
          <w:trHeight w:val="310"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CC0979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二、环境支持（35分）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5BD9025">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（四）开展烟草控制，降低人群吸烟率。（11分）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8CB9">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4.辖区各级医疗卫生机构开展简短戒烟服务培训，并提供简短戒烟服务。</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63AEE">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(1)开展简短戒烟服务培训的医疗机构覆盖率≥80%，1分；80%以下0分。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58CF">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B3A9">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查阅资料（无烟医疗机构命名文件）,现场查看医疗机构提供简短戒烟服务的情况。</w:t>
            </w:r>
          </w:p>
        </w:tc>
        <w:tc>
          <w:tcPr>
            <w:tcW w:w="12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2AF11B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AE67">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47664E3C">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92779E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5415436">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5F83">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35EF0">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(2)提供简短戒烟服务的医疗机构覆盖率100%，1分；100%以下0分。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1804">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2CFD">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8D20E6">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2E8D">
            <w:pPr>
              <w:widowControl w:val="0"/>
              <w:spacing w:after="0" w:line="300" w:lineRule="exact"/>
              <w:textAlignment w:val="top"/>
              <w:rPr>
                <w:rFonts w:ascii="仿宋_GB2312" w:hAnsi="仿宋_GB2312" w:eastAsia="仿宋_GB2312" w:cs="仿宋_GB2312"/>
                <w:sz w:val="24"/>
                <w:szCs w:val="24"/>
              </w:rPr>
            </w:pPr>
          </w:p>
        </w:tc>
      </w:tr>
      <w:tr w14:paraId="2DF8AE09">
        <w:tblPrEx>
          <w:tblCellMar>
            <w:top w:w="0" w:type="dxa"/>
            <w:left w:w="0" w:type="dxa"/>
            <w:bottom w:w="0" w:type="dxa"/>
            <w:right w:w="0" w:type="dxa"/>
          </w:tblCellMar>
        </w:tblPrEx>
        <w:trPr>
          <w:trHeight w:val="295"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243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AD2E">
            <w:pPr>
              <w:widowControl w:val="0"/>
              <w:spacing w:after="0" w:line="29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DA08">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5.降低辖区15岁及以上人群吸烟率。</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7836C">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15岁及以上人群吸烟率低于20%，并逐年下降，5年降低10%以上，4分；5年降低5%-10%，2分；其余不得分。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AB6B2">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88B3">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查阅社会因素调查报告。</w:t>
            </w:r>
          </w:p>
        </w:tc>
        <w:tc>
          <w:tcPr>
            <w:tcW w:w="12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47B8">
            <w:pPr>
              <w:widowControl w:val="0"/>
              <w:spacing w:after="0" w:line="300" w:lineRule="exact"/>
              <w:textAlignment w:val="top"/>
              <w:rPr>
                <w:rFonts w:ascii="仿宋_GB2312" w:hAnsi="仿宋_GB2312" w:eastAsia="仿宋_GB2312" w:cs="仿宋_GB2312"/>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F9C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r>
      <w:tr w14:paraId="6EEEC009">
        <w:tblPrEx>
          <w:tblCellMar>
            <w:top w:w="0" w:type="dxa"/>
            <w:left w:w="0" w:type="dxa"/>
            <w:bottom w:w="0" w:type="dxa"/>
            <w:right w:w="0" w:type="dxa"/>
          </w:tblCellMar>
        </w:tblPrEx>
        <w:trPr>
          <w:trHeight w:val="542"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F0830C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三、“三减三健”专项行动（20分）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309C">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(一)开展专题宣传。（5分）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39E5">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1.开展健康生活方式主题日（周）主题宣传。</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FBEC">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（1）开展健康生活方式日宣传，1分；其余0分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3125A">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EA2E">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D63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FB3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各医疗卫生机构、县科协</w:t>
            </w:r>
          </w:p>
        </w:tc>
      </w:tr>
      <w:tr w14:paraId="0B14DA50">
        <w:tblPrEx>
          <w:tblCellMar>
            <w:top w:w="0" w:type="dxa"/>
            <w:left w:w="0" w:type="dxa"/>
            <w:bottom w:w="0" w:type="dxa"/>
            <w:right w:w="0" w:type="dxa"/>
          </w:tblCellMar>
        </w:tblPrEx>
        <w:trPr>
          <w:trHeight w:val="52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F3E3B7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19D7B">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D9AD4">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2990">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（2）开展全民营养周、中国减盐周、世界爱牙日、世界骨质疏松日等“三减三健”相关内容的专项宣传，1分；其余0分。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707B">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E652">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189F">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8324">
            <w:pPr>
              <w:widowControl w:val="0"/>
              <w:spacing w:after="0" w:line="300" w:lineRule="exact"/>
              <w:textAlignment w:val="top"/>
              <w:rPr>
                <w:rFonts w:ascii="仿宋_GB2312" w:hAnsi="仿宋_GB2312" w:eastAsia="仿宋_GB2312" w:cs="仿宋_GB2312"/>
                <w:sz w:val="24"/>
                <w:szCs w:val="24"/>
              </w:rPr>
            </w:pPr>
          </w:p>
        </w:tc>
      </w:tr>
      <w:tr w14:paraId="17F41A2E">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B0C1C6D">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6A91">
            <w:pPr>
              <w:widowControl w:val="0"/>
              <w:spacing w:after="0" w:line="29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BA4F">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2.利用传统媒体和新媒体开展健康生活方式的日常宣传。</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D828">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（1）充分利用传统媒体和新媒体等宣传方式，1分；其余0分。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E991">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A38E">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5A6C">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县委宣传部、县卫健局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0A6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35985AAB">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F4DE9AF">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50F0B">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F262">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4A40E">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（2）宣传内容覆盖“三减三健”各方面，1分；其余0分。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1C70">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C27E">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2EF0">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30841">
            <w:pPr>
              <w:widowControl w:val="0"/>
              <w:spacing w:after="0" w:line="300" w:lineRule="exact"/>
              <w:textAlignment w:val="top"/>
              <w:rPr>
                <w:rFonts w:ascii="仿宋_GB2312" w:hAnsi="仿宋_GB2312" w:eastAsia="仿宋_GB2312" w:cs="仿宋_GB2312"/>
                <w:sz w:val="24"/>
                <w:szCs w:val="24"/>
              </w:rPr>
            </w:pPr>
          </w:p>
        </w:tc>
      </w:tr>
      <w:tr w14:paraId="27DB4454">
        <w:tblPrEx>
          <w:tblCellMar>
            <w:top w:w="0" w:type="dxa"/>
            <w:left w:w="0" w:type="dxa"/>
            <w:bottom w:w="0" w:type="dxa"/>
            <w:right w:w="0" w:type="dxa"/>
          </w:tblCellMar>
        </w:tblPrEx>
        <w:trPr>
          <w:trHeight w:val="40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8A49E9">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DC16">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AEEF">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7A50">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（3）全年至少6次，1分；其余0分。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AB6F">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41EA2">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870FB">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5FE4">
            <w:pPr>
              <w:widowControl w:val="0"/>
              <w:spacing w:after="0" w:line="300" w:lineRule="exact"/>
              <w:textAlignment w:val="top"/>
              <w:rPr>
                <w:rFonts w:ascii="仿宋_GB2312" w:hAnsi="仿宋_GB2312" w:eastAsia="仿宋_GB2312" w:cs="仿宋_GB2312"/>
                <w:sz w:val="24"/>
                <w:szCs w:val="24"/>
              </w:rPr>
            </w:pPr>
          </w:p>
        </w:tc>
      </w:tr>
      <w:tr w14:paraId="3AD51427">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7695BD3">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46C88D">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（二）开展专项活动（15分）</w:t>
            </w:r>
          </w:p>
        </w:tc>
        <w:tc>
          <w:tcPr>
            <w:tcW w:w="18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D7B9F33">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1.适宜技术与工具的推广与评价。</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0DBD">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（1）推广使用健康“小三件”（限量盐勺、限量油壶和健康腰围尺），1分。</w:t>
            </w:r>
          </w:p>
        </w:tc>
        <w:tc>
          <w:tcPr>
            <w:tcW w:w="5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B8BAA8">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8CF34F">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查阅相关资料。</w:t>
            </w:r>
          </w:p>
        </w:tc>
        <w:tc>
          <w:tcPr>
            <w:tcW w:w="12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BDE8BA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7EEB84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787D3162">
        <w:tblPrEx>
          <w:tblCellMar>
            <w:top w:w="0" w:type="dxa"/>
            <w:left w:w="0" w:type="dxa"/>
            <w:bottom w:w="0" w:type="dxa"/>
            <w:right w:w="0" w:type="dxa"/>
          </w:tblCellMar>
        </w:tblPrEx>
        <w:trPr>
          <w:trHeight w:val="1028"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D45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75DC">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D967">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1DD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（2）食盐与食用油的摄入量低于本省平均水平3%（相对数）以上（比较五年的变化），食盐与食用油的摄入量5年下降15%以上，各1分，共2分；10%-15%，各0.5分，共1分；其余0分。</w:t>
            </w:r>
          </w:p>
        </w:tc>
        <w:tc>
          <w:tcPr>
            <w:tcW w:w="5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F5D12">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7FCE">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E3F43A">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A3F1AFF">
            <w:pPr>
              <w:widowControl w:val="0"/>
              <w:spacing w:after="0" w:line="300" w:lineRule="exact"/>
              <w:textAlignment w:val="top"/>
              <w:rPr>
                <w:rFonts w:ascii="仿宋_GB2312" w:hAnsi="仿宋_GB2312" w:eastAsia="仿宋_GB2312" w:cs="仿宋_GB2312"/>
                <w:sz w:val="24"/>
                <w:szCs w:val="24"/>
              </w:rPr>
            </w:pPr>
          </w:p>
        </w:tc>
      </w:tr>
      <w:tr w14:paraId="5AC9B8B0">
        <w:tblPrEx>
          <w:tblCellMar>
            <w:top w:w="0" w:type="dxa"/>
            <w:left w:w="0" w:type="dxa"/>
            <w:bottom w:w="0" w:type="dxa"/>
            <w:right w:w="0" w:type="dxa"/>
          </w:tblCellMar>
        </w:tblPrEx>
        <w:trPr>
          <w:trHeight w:val="706"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835D7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三、“三减三健”专项行动（20分）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5FC3EB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（二）开展专项活动（15分）</w:t>
            </w:r>
          </w:p>
        </w:tc>
        <w:tc>
          <w:tcPr>
            <w:tcW w:w="18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36744B1">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1.适宜技术与工具的推广与评价。</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B95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（3）辖区内儿童窝沟封闭服务覆盖率≥60%，3分；60%以下0分。辖区12岁儿童患龋率&lt;25%，3分；其余0分。</w:t>
            </w:r>
          </w:p>
        </w:tc>
        <w:tc>
          <w:tcPr>
            <w:tcW w:w="5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73361F0">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0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31942EB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查阅相关资料。</w:t>
            </w:r>
          </w:p>
        </w:tc>
        <w:tc>
          <w:tcPr>
            <w:tcW w:w="12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4D38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县卫健局、县教体局</w:t>
            </w:r>
          </w:p>
        </w:tc>
        <w:tc>
          <w:tcPr>
            <w:tcW w:w="13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DE5D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各医疗卫生机构、小学</w:t>
            </w:r>
          </w:p>
        </w:tc>
      </w:tr>
      <w:tr w14:paraId="4DDE89A7">
        <w:tblPrEx>
          <w:tblCellMar>
            <w:top w:w="0" w:type="dxa"/>
            <w:left w:w="0" w:type="dxa"/>
            <w:bottom w:w="0" w:type="dxa"/>
            <w:right w:w="0" w:type="dxa"/>
          </w:tblCellMar>
        </w:tblPrEx>
        <w:trPr>
          <w:trHeight w:val="24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6495D3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D5F23FA">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DBC4">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CED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（4）将骨密度检测纳入常规体检，逐年提高50岁及以上人群骨密度检测率，2分；其余0分。</w:t>
            </w:r>
          </w:p>
        </w:tc>
        <w:tc>
          <w:tcPr>
            <w:tcW w:w="5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1C88">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6AC205">
            <w:pPr>
              <w:widowControl w:val="0"/>
              <w:spacing w:after="0" w:line="300" w:lineRule="exact"/>
              <w:textAlignment w:val="top"/>
              <w:rPr>
                <w:rFonts w:ascii="仿宋_GB2312" w:hAnsi="仿宋_GB2312" w:eastAsia="仿宋_GB2312" w:cs="仿宋_GB2312"/>
                <w:sz w:val="24"/>
                <w:szCs w:val="24"/>
              </w:rPr>
            </w:pPr>
          </w:p>
        </w:tc>
        <w:tc>
          <w:tcPr>
            <w:tcW w:w="12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BE47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0013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1ED54FE4">
        <w:tblPrEx>
          <w:tblCellMar>
            <w:top w:w="0" w:type="dxa"/>
            <w:left w:w="0" w:type="dxa"/>
            <w:bottom w:w="0" w:type="dxa"/>
            <w:right w:w="0" w:type="dxa"/>
          </w:tblCellMar>
        </w:tblPrEx>
        <w:trPr>
          <w:trHeight w:val="78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702C60">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1DFDD6A">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B34F">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2.健康生活方式指导员能力建设。</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90C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（1）在健康社区的社区工作者中至少有1名健康生活方式指导员，每年至少招募并培训5名健康生活方式指导员，1分，其余0分。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97CC">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8DA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查阅相关资料。</w:t>
            </w:r>
          </w:p>
        </w:tc>
        <w:tc>
          <w:tcPr>
            <w:tcW w:w="1264"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7EA35D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县卫健局  </w:t>
            </w:r>
          </w:p>
        </w:tc>
        <w:tc>
          <w:tcPr>
            <w:tcW w:w="135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871840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14BA1B10">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293A0F">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4441D74">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8D07">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1637">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（2）每年举办或组织参加“三减三健”相关培训至少一次，1分，其余0分。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8E35">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48E1">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50E6DC9">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FC28D61">
            <w:pPr>
              <w:widowControl w:val="0"/>
              <w:spacing w:after="0" w:line="320" w:lineRule="exact"/>
              <w:textAlignment w:val="top"/>
              <w:rPr>
                <w:rFonts w:ascii="仿宋_GB2312" w:hAnsi="仿宋_GB2312" w:eastAsia="仿宋_GB2312" w:cs="仿宋_GB2312"/>
                <w:sz w:val="24"/>
                <w:szCs w:val="24"/>
              </w:rPr>
            </w:pPr>
          </w:p>
        </w:tc>
      </w:tr>
      <w:tr w14:paraId="2CE14F94">
        <w:tblPrEx>
          <w:tblCellMar>
            <w:top w:w="0" w:type="dxa"/>
            <w:left w:w="0" w:type="dxa"/>
            <w:bottom w:w="0" w:type="dxa"/>
            <w:right w:w="0" w:type="dxa"/>
          </w:tblCellMar>
        </w:tblPrEx>
        <w:trPr>
          <w:trHeight w:val="39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3746C5">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D7AD941">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205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3.健康生活方式指导员的五进活动。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AF2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（1）覆盖家庭、社区、学校、单位、医院等五类场所，1分。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48C6">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8E8F">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查阅相关资料。</w:t>
            </w: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565FD">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BB44CD">
            <w:pPr>
              <w:widowControl w:val="0"/>
              <w:spacing w:after="0" w:line="320" w:lineRule="exact"/>
              <w:textAlignment w:val="top"/>
              <w:rPr>
                <w:rFonts w:ascii="仿宋_GB2312" w:hAnsi="仿宋_GB2312" w:eastAsia="仿宋_GB2312" w:cs="仿宋_GB2312"/>
                <w:sz w:val="24"/>
                <w:szCs w:val="24"/>
              </w:rPr>
            </w:pPr>
          </w:p>
        </w:tc>
      </w:tr>
      <w:tr w14:paraId="313257A9">
        <w:tblPrEx>
          <w:tblCellMar>
            <w:top w:w="0" w:type="dxa"/>
            <w:left w:w="0" w:type="dxa"/>
            <w:bottom w:w="0" w:type="dxa"/>
            <w:right w:w="0" w:type="dxa"/>
          </w:tblCellMar>
        </w:tblPrEx>
        <w:trPr>
          <w:trHeight w:val="195"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2763C">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7F20">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4E53">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428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（2）每年至少开展2项特色现场活动，1分；其余0分。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AF9C">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55C3">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3B74CE4">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CAC98FB">
            <w:pPr>
              <w:widowControl w:val="0"/>
              <w:spacing w:after="0" w:line="320" w:lineRule="exact"/>
              <w:textAlignment w:val="top"/>
              <w:rPr>
                <w:rFonts w:ascii="仿宋_GB2312" w:hAnsi="仿宋_GB2312" w:eastAsia="仿宋_GB2312" w:cs="仿宋_GB2312"/>
                <w:sz w:val="24"/>
                <w:szCs w:val="24"/>
              </w:rPr>
            </w:pPr>
          </w:p>
        </w:tc>
      </w:tr>
      <w:tr w14:paraId="5AB9EF70">
        <w:tblPrEx>
          <w:tblCellMar>
            <w:top w:w="0" w:type="dxa"/>
            <w:left w:w="0" w:type="dxa"/>
            <w:bottom w:w="0" w:type="dxa"/>
            <w:right w:w="0" w:type="dxa"/>
          </w:tblCellMar>
        </w:tblPrEx>
        <w:trPr>
          <w:trHeight w:val="391"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12D536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四、体系整合（30分）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DA4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（一）建立防治结合、分工协作、优势互补、上下联动的慢性病综合防治体系。（15分）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580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1.建立完善慢性病防控服务体系和分工明确、上下联动的工作机制。</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376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（1）辖区卫生健康行政部门制订实施慢性病防控服务体系建设的方案，4分；其余0分。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426E">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BE8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查阅资料（文件）。</w:t>
            </w:r>
          </w:p>
        </w:tc>
        <w:tc>
          <w:tcPr>
            <w:tcW w:w="1264"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339C6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3BD1A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7329C0D8">
        <w:tblPrEx>
          <w:tblCellMar>
            <w:top w:w="0" w:type="dxa"/>
            <w:left w:w="0" w:type="dxa"/>
            <w:bottom w:w="0" w:type="dxa"/>
            <w:right w:w="0" w:type="dxa"/>
          </w:tblCellMar>
        </w:tblPrEx>
        <w:trPr>
          <w:trHeight w:val="14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504D687">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1102">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4F21">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C71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（2）明确专业公共卫生机构、医院和基层医疗卫生机构职责，4分；其余0分。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3D1F4">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8E00">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4DB42E4">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F757B2">
            <w:pPr>
              <w:widowControl w:val="0"/>
              <w:spacing w:after="0" w:line="320" w:lineRule="exact"/>
              <w:textAlignment w:val="top"/>
              <w:rPr>
                <w:rFonts w:ascii="仿宋_GB2312" w:hAnsi="仿宋_GB2312" w:eastAsia="仿宋_GB2312" w:cs="仿宋_GB2312"/>
                <w:sz w:val="24"/>
                <w:szCs w:val="24"/>
              </w:rPr>
            </w:pPr>
          </w:p>
        </w:tc>
      </w:tr>
      <w:tr w14:paraId="60BF6335">
        <w:tblPrEx>
          <w:tblCellMar>
            <w:top w:w="0" w:type="dxa"/>
            <w:left w:w="0" w:type="dxa"/>
            <w:bottom w:w="0" w:type="dxa"/>
            <w:right w:w="0" w:type="dxa"/>
          </w:tblCellMar>
        </w:tblPrEx>
        <w:trPr>
          <w:trHeight w:val="686"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7E54AB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36AC">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DF6C">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2.建立完善信息共享、互联互通等的工作机制，推动慢性病防、治、管的整合。</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740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（1）卫生健康行政部门负责督导慢性病防控服务体系的有效运行，2分；其余0分。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7749">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73B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查看相关的制度及信息平台,查看防、治、管的情况，查阅相关的文件以及考核兑现情况。</w:t>
            </w: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22797F8">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BFF87E8">
            <w:pPr>
              <w:widowControl w:val="0"/>
              <w:spacing w:after="0" w:line="320" w:lineRule="exact"/>
              <w:textAlignment w:val="top"/>
              <w:rPr>
                <w:rFonts w:ascii="仿宋_GB2312" w:hAnsi="仿宋_GB2312" w:eastAsia="仿宋_GB2312" w:cs="仿宋_GB2312"/>
                <w:sz w:val="24"/>
                <w:szCs w:val="24"/>
              </w:rPr>
            </w:pPr>
          </w:p>
        </w:tc>
      </w:tr>
      <w:tr w14:paraId="38CF766B">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57D836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525D">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0611">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620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（2）建立完善慢性病防控服务体系的运行、质控、绩效评价机制，3分；其余0分。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5830">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4FA84">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7D551B3">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8584AD7">
            <w:pPr>
              <w:widowControl w:val="0"/>
              <w:spacing w:after="0" w:line="320" w:lineRule="exact"/>
              <w:textAlignment w:val="top"/>
              <w:rPr>
                <w:rFonts w:ascii="仿宋_GB2312" w:hAnsi="仿宋_GB2312" w:eastAsia="仿宋_GB2312" w:cs="仿宋_GB2312"/>
                <w:sz w:val="24"/>
                <w:szCs w:val="24"/>
              </w:rPr>
            </w:pPr>
          </w:p>
        </w:tc>
      </w:tr>
      <w:tr w14:paraId="16F278ED">
        <w:tblPrEx>
          <w:tblCellMar>
            <w:top w:w="0" w:type="dxa"/>
            <w:left w:w="0" w:type="dxa"/>
            <w:bottom w:w="0" w:type="dxa"/>
            <w:right w:w="0" w:type="dxa"/>
          </w:tblCellMar>
        </w:tblPrEx>
        <w:trPr>
          <w:trHeight w:val="452"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902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3C3A">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D9D3">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3947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（3）疾控机构、医院对基层医疗卫生机构进行的技术指导和对口支援，建立有效的合作关系，2分；其余0分。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F4CC">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9642">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493AE8A">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7A36748">
            <w:pPr>
              <w:widowControl w:val="0"/>
              <w:spacing w:after="0" w:line="320" w:lineRule="exact"/>
              <w:textAlignment w:val="top"/>
              <w:rPr>
                <w:rFonts w:ascii="仿宋_GB2312" w:hAnsi="仿宋_GB2312" w:eastAsia="仿宋_GB2312" w:cs="仿宋_GB2312"/>
                <w:sz w:val="24"/>
                <w:szCs w:val="24"/>
              </w:rPr>
            </w:pPr>
          </w:p>
        </w:tc>
      </w:tr>
      <w:tr w14:paraId="74A320E3">
        <w:tblPrEx>
          <w:tblCellMar>
            <w:top w:w="0" w:type="dxa"/>
            <w:left w:w="0" w:type="dxa"/>
            <w:bottom w:w="0" w:type="dxa"/>
            <w:right w:w="0" w:type="dxa"/>
          </w:tblCellMar>
        </w:tblPrEx>
        <w:trPr>
          <w:trHeight w:val="1265"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1EC81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四、体系整合（30分）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107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（二）加强慢性病防控队伍建设。（15分）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942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1.加强疾病预防控制机构慢性病防控专业技术人员能力建设</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B780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（1）疾病预防控制机构每年组织本单位慢性病防控专业技术人员参加专业培训不少于2次，5分；1次，2分； 其余0分。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F642">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110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F91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969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县疾控中心</w:t>
            </w:r>
          </w:p>
        </w:tc>
      </w:tr>
      <w:tr w14:paraId="6950C5C2">
        <w:tblPrEx>
          <w:tblCellMar>
            <w:top w:w="0" w:type="dxa"/>
            <w:left w:w="0" w:type="dxa"/>
            <w:bottom w:w="0" w:type="dxa"/>
            <w:right w:w="0" w:type="dxa"/>
          </w:tblCellMar>
        </w:tblPrEx>
        <w:trPr>
          <w:trHeight w:val="578"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A3D11F">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D954">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E1A6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2.提升二级以上医院公共卫生专业人员能力</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2B5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（1）二级及以上医院每年组织本单位承担疾病预防控制工作的专业技术人员接受专业培训不少于2次，2分；1次，1分；未接受培训不得分。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CFE9">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252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3DA2">
            <w:pPr>
              <w:widowControl w:val="0"/>
              <w:spacing w:after="0" w:line="320" w:lineRule="exact"/>
              <w:textAlignment w:val="top"/>
              <w:rPr>
                <w:rFonts w:ascii="仿宋_GB2312" w:hAnsi="仿宋_GB2312" w:eastAsia="仿宋_GB2312" w:cs="仿宋_GB2312"/>
                <w:sz w:val="24"/>
                <w:szCs w:val="24"/>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820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县级医疗机构</w:t>
            </w:r>
          </w:p>
        </w:tc>
      </w:tr>
      <w:tr w14:paraId="2A440747">
        <w:tblPrEx>
          <w:tblCellMar>
            <w:top w:w="0" w:type="dxa"/>
            <w:left w:w="0" w:type="dxa"/>
            <w:bottom w:w="0" w:type="dxa"/>
            <w:right w:w="0" w:type="dxa"/>
          </w:tblCellMar>
        </w:tblPrEx>
        <w:trPr>
          <w:trHeight w:val="49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68E455B">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C44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BA7E">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A6D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（2）二级及以上医院每年组织对辖区基层医疗机构的慢病专业培训不少于2次，2分；1次，1分；未接受培训不得分。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727C">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0882">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BB2D">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47C7">
            <w:pPr>
              <w:widowControl w:val="0"/>
              <w:spacing w:after="0" w:line="320" w:lineRule="exact"/>
              <w:textAlignment w:val="top"/>
              <w:rPr>
                <w:rFonts w:ascii="仿宋_GB2312" w:hAnsi="仿宋_GB2312" w:eastAsia="仿宋_GB2312" w:cs="仿宋_GB2312"/>
                <w:sz w:val="24"/>
                <w:szCs w:val="24"/>
              </w:rPr>
            </w:pPr>
          </w:p>
        </w:tc>
      </w:tr>
      <w:tr w14:paraId="3F14E4A2">
        <w:tblPrEx>
          <w:tblCellMar>
            <w:top w:w="0" w:type="dxa"/>
            <w:left w:w="0" w:type="dxa"/>
            <w:bottom w:w="0" w:type="dxa"/>
            <w:right w:w="0" w:type="dxa"/>
          </w:tblCellMar>
        </w:tblPrEx>
        <w:trPr>
          <w:trHeight w:val="33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79F10C">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C201C">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3C10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3.加强基层医疗卫生机构公共卫生服务能力建设，承担所在区域慢性病防控工作。</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71B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（1）基层医疗机构每年接受上级疾控机构慢性病防控专业技术培训不少于2次，2分；1次，1分；未接受培训不得分。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1C9A">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684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F246">
            <w:pPr>
              <w:widowControl w:val="0"/>
              <w:spacing w:after="0" w:line="320" w:lineRule="exact"/>
              <w:textAlignment w:val="top"/>
              <w:rPr>
                <w:rFonts w:ascii="仿宋_GB2312" w:hAnsi="仿宋_GB2312" w:eastAsia="仿宋_GB2312" w:cs="仿宋_GB2312"/>
                <w:sz w:val="24"/>
                <w:szCs w:val="24"/>
              </w:rPr>
            </w:pP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BA3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各镇卫生院、社区卫生服务中心</w:t>
            </w:r>
          </w:p>
        </w:tc>
      </w:tr>
      <w:tr w14:paraId="76AB6029">
        <w:tblPrEx>
          <w:tblCellMar>
            <w:top w:w="0" w:type="dxa"/>
            <w:left w:w="0" w:type="dxa"/>
            <w:bottom w:w="0" w:type="dxa"/>
            <w:right w:w="0" w:type="dxa"/>
          </w:tblCellMar>
        </w:tblPrEx>
        <w:trPr>
          <w:trHeight w:val="58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FBE9C2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803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292F5">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EED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（2）基层医疗卫生机构每年接受上级医疗机构慢性病防治专业技术培训不少于2次，2分；1次，1分；未接受培训不得分。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2A68">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069C0">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9649">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6884">
            <w:pPr>
              <w:widowControl w:val="0"/>
              <w:spacing w:after="0" w:line="320" w:lineRule="exact"/>
              <w:textAlignment w:val="top"/>
              <w:rPr>
                <w:rFonts w:ascii="仿宋_GB2312" w:hAnsi="仿宋_GB2312" w:eastAsia="仿宋_GB2312" w:cs="仿宋_GB2312"/>
                <w:sz w:val="24"/>
                <w:szCs w:val="24"/>
              </w:rPr>
            </w:pPr>
          </w:p>
        </w:tc>
      </w:tr>
      <w:tr w14:paraId="578FD013">
        <w:tblPrEx>
          <w:tblCellMar>
            <w:top w:w="0" w:type="dxa"/>
            <w:left w:w="0" w:type="dxa"/>
            <w:bottom w:w="0" w:type="dxa"/>
            <w:right w:w="0" w:type="dxa"/>
          </w:tblCellMar>
        </w:tblPrEx>
        <w:trPr>
          <w:trHeight w:val="160"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7EA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A2D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4A53">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0C7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（3）基层医疗卫生机构每年组织对村卫生室或社区卫生服务站医护人员的培训不少于2次，2分；1次，1分；未接受培训不得分。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80297">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46C8C">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576D">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50B6">
            <w:pPr>
              <w:widowControl w:val="0"/>
              <w:spacing w:after="0" w:line="320" w:lineRule="exact"/>
              <w:textAlignment w:val="top"/>
              <w:rPr>
                <w:rFonts w:ascii="仿宋_GB2312" w:hAnsi="仿宋_GB2312" w:eastAsia="仿宋_GB2312" w:cs="仿宋_GB2312"/>
                <w:sz w:val="24"/>
                <w:szCs w:val="24"/>
              </w:rPr>
            </w:pPr>
          </w:p>
        </w:tc>
      </w:tr>
      <w:tr w14:paraId="28164557">
        <w:tblPrEx>
          <w:tblCellMar>
            <w:top w:w="0" w:type="dxa"/>
            <w:left w:w="0" w:type="dxa"/>
            <w:bottom w:w="0" w:type="dxa"/>
            <w:right w:w="0" w:type="dxa"/>
          </w:tblCellMar>
        </w:tblPrEx>
        <w:trPr>
          <w:trHeight w:val="90"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22EE0E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五、健康教育与健康促进（20分）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E5DA40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（一）通过多种渠道积</w:t>
            </w:r>
            <w:r>
              <w:rPr>
                <w:rFonts w:hint="eastAsia" w:ascii="仿宋_GB2312" w:hAnsi="仿宋_GB2312" w:eastAsia="仿宋_GB2312" w:cs="仿宋_GB2312"/>
                <w:spacing w:val="-6"/>
                <w:sz w:val="24"/>
                <w:szCs w:val="24"/>
              </w:rPr>
              <w:t>极开展慢性病防治全民健康教育。（6分）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7B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1.广泛开展健康教育，定期传播慢性病防治和健康素养知识和技能。</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3B8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（1）当地社会主流媒体和互联网等新媒体广泛开展慢性病防治和健康教育，每月不少于2次，0.5分；其余0分。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4B5">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817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1B8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县委宣传部、县卫健局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758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64A069F0">
        <w:tblPrEx>
          <w:tblCellMar>
            <w:top w:w="0" w:type="dxa"/>
            <w:left w:w="0" w:type="dxa"/>
            <w:bottom w:w="0" w:type="dxa"/>
            <w:right w:w="0" w:type="dxa"/>
          </w:tblCellMar>
        </w:tblPrEx>
        <w:trPr>
          <w:trHeight w:val="318"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575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5D45">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04DE">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F93E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（2）建立医疗机构和医务人员开展健康教育和健康促进的绩效考核机制，0.5分；其余0分。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63B8">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F798">
            <w:pPr>
              <w:widowControl w:val="0"/>
              <w:spacing w:after="0" w:line="320" w:lineRule="exact"/>
              <w:textAlignment w:val="top"/>
              <w:rPr>
                <w:rFonts w:ascii="仿宋_GB2312" w:hAnsi="仿宋_GB2312" w:eastAsia="仿宋_GB2312" w:cs="仿宋_GB2312"/>
                <w:sz w:val="24"/>
                <w:szCs w:val="24"/>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7C63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3BA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164E02BE">
        <w:tblPrEx>
          <w:tblCellMar>
            <w:top w:w="0" w:type="dxa"/>
            <w:left w:w="0" w:type="dxa"/>
            <w:bottom w:w="0" w:type="dxa"/>
            <w:right w:w="0" w:type="dxa"/>
          </w:tblCellMar>
        </w:tblPrEx>
        <w:trPr>
          <w:trHeight w:val="1595"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A0BCAF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五、健康教育与健康促进（20分）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BC241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（一）通过多种渠道积</w:t>
            </w:r>
            <w:r>
              <w:rPr>
                <w:rFonts w:hint="eastAsia" w:ascii="仿宋_GB2312" w:hAnsi="仿宋_GB2312" w:eastAsia="仿宋_GB2312" w:cs="仿宋_GB2312"/>
                <w:spacing w:val="-6"/>
                <w:sz w:val="24"/>
                <w:szCs w:val="24"/>
              </w:rPr>
              <w:t>极开展慢性病防治全民健康教育。（6分）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AD4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2.开展形式多样的健康教育与健康促进活动，扩大</w:t>
            </w:r>
            <w:r>
              <w:rPr>
                <w:rFonts w:hint="eastAsia" w:ascii="仿宋_GB2312" w:hAnsi="仿宋_GB2312" w:eastAsia="仿宋_GB2312" w:cs="仿宋_GB2312"/>
                <w:spacing w:val="-6"/>
                <w:sz w:val="24"/>
                <w:szCs w:val="24"/>
              </w:rPr>
              <w:t>传播慢性病防治和慢病健康素养知识和技能的范围。</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90A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辖区每年至少开展6次围绕全国肿瘤防治宣传周、世界无烟日、全国高血压日、世界卒中日、联合国糖尿病日、世界慢阻肺日等慢性病防治主题宣传日的形式多样的健康教育与健康促进宣传活动，每次0.5分，共3分；其余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FB81">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A43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4F3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县委宣传部、县卫健局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E14D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526B8FD5">
        <w:tblPrEx>
          <w:tblCellMar>
            <w:top w:w="0" w:type="dxa"/>
            <w:left w:w="0" w:type="dxa"/>
            <w:bottom w:w="0" w:type="dxa"/>
            <w:right w:w="0" w:type="dxa"/>
          </w:tblCellMar>
        </w:tblPrEx>
        <w:trPr>
          <w:trHeight w:val="61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2A148F">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C60306E">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B74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3.开展幼儿园、中小学校健康行为方式教育。</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BC6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（1）幼儿园、中小学校开设健康教育课覆盖率达100%，0.5分；其余0分。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BCE9">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DE4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查阅资料、现场评估。查阅教育计划；查阅课程表、教材与教参，抽取1个点现场观察实际执行情况。</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132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县教体局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D3F1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辖区幼儿园、中小学校</w:t>
            </w:r>
          </w:p>
        </w:tc>
      </w:tr>
      <w:tr w14:paraId="4CD9534E">
        <w:tblPrEx>
          <w:tblCellMar>
            <w:top w:w="0" w:type="dxa"/>
            <w:left w:w="0" w:type="dxa"/>
            <w:bottom w:w="0" w:type="dxa"/>
            <w:right w:w="0" w:type="dxa"/>
          </w:tblCellMar>
        </w:tblPrEx>
        <w:trPr>
          <w:trHeight w:val="616"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B7AAE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DF42C0C">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DD0C">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8DB0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（2）健康教育课包括营养均衡、口腔保健、健康体重、视力保护、心理健康、伤害预防（溺水、烧烫伤）等内容，每学期以班级为单位，课程≥6学时，0.5分；低于6学时0分。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C3B0">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1F2F">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DD63">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97C9">
            <w:pPr>
              <w:widowControl w:val="0"/>
              <w:spacing w:after="0" w:line="320" w:lineRule="exact"/>
              <w:textAlignment w:val="top"/>
              <w:rPr>
                <w:rFonts w:ascii="仿宋_GB2312" w:hAnsi="仿宋_GB2312" w:eastAsia="仿宋_GB2312" w:cs="仿宋_GB2312"/>
                <w:sz w:val="24"/>
                <w:szCs w:val="24"/>
              </w:rPr>
            </w:pPr>
          </w:p>
        </w:tc>
      </w:tr>
      <w:tr w14:paraId="3868A8B6">
        <w:tblPrEx>
          <w:tblCellMar>
            <w:top w:w="0" w:type="dxa"/>
            <w:left w:w="0" w:type="dxa"/>
            <w:bottom w:w="0" w:type="dxa"/>
            <w:right w:w="0" w:type="dxa"/>
          </w:tblCellMar>
        </w:tblPrEx>
        <w:trPr>
          <w:trHeight w:val="92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040539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60674A">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0CA5">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8CF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（3）寄宿制中小学校或600名学生以上的非寄宿制中小学校配备专职卫生专业技术人员、600名学生以下的非寄宿制中小学校配备专兼职保健教师或卫生专业技术人员的比例达到70%，0.5分；其余0分。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91A4">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96E1">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CFC0">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640B">
            <w:pPr>
              <w:widowControl w:val="0"/>
              <w:spacing w:after="0" w:line="320" w:lineRule="exact"/>
              <w:textAlignment w:val="top"/>
              <w:rPr>
                <w:rFonts w:ascii="仿宋_GB2312" w:hAnsi="仿宋_GB2312" w:eastAsia="仿宋_GB2312" w:cs="仿宋_GB2312"/>
                <w:sz w:val="24"/>
                <w:szCs w:val="24"/>
              </w:rPr>
            </w:pPr>
          </w:p>
        </w:tc>
      </w:tr>
      <w:tr w14:paraId="2AAFF3BB">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75FC6F">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A6AD">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A88A">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E3B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（4）配备专兼职心理健康工作人员的中小学校比例达到80%，0.5分；其余0分。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426D">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7133">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3376">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D2DF">
            <w:pPr>
              <w:widowControl w:val="0"/>
              <w:spacing w:after="0" w:line="320" w:lineRule="exact"/>
              <w:textAlignment w:val="top"/>
              <w:rPr>
                <w:rFonts w:ascii="仿宋_GB2312" w:hAnsi="仿宋_GB2312" w:eastAsia="仿宋_GB2312" w:cs="仿宋_GB2312"/>
                <w:sz w:val="24"/>
                <w:szCs w:val="24"/>
              </w:rPr>
            </w:pPr>
          </w:p>
        </w:tc>
      </w:tr>
      <w:tr w14:paraId="1C0F5DB6">
        <w:tblPrEx>
          <w:tblCellMar>
            <w:top w:w="0" w:type="dxa"/>
            <w:left w:w="0" w:type="dxa"/>
            <w:bottom w:w="0" w:type="dxa"/>
            <w:right w:w="0" w:type="dxa"/>
          </w:tblCellMar>
        </w:tblPrEx>
        <w:trPr>
          <w:trHeight w:val="8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C18650">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1CF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（二）提高居民重点慢性病核</w:t>
            </w:r>
            <w:r>
              <w:rPr>
                <w:rFonts w:hint="eastAsia" w:ascii="仿宋_GB2312" w:hAnsi="仿宋_GB2312" w:eastAsia="仿宋_GB2312" w:cs="仿宋_GB2312"/>
                <w:spacing w:val="-6"/>
                <w:sz w:val="24"/>
                <w:szCs w:val="24"/>
              </w:rPr>
              <w:t>心知识知晓率和居民健康素养水平（9分）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E14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1.提高居民重点慢性病核心知识知晓率。</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7F3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居民重点慢性病核心知识知晓率≧70%，5分；60-70%，2分；60%以下0分。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FF23">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6C6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查阅社会因素调查报告。</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4130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49B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1D41736A">
        <w:tblPrEx>
          <w:tblCellMar>
            <w:top w:w="0" w:type="dxa"/>
            <w:left w:w="0" w:type="dxa"/>
            <w:bottom w:w="0" w:type="dxa"/>
            <w:right w:w="0" w:type="dxa"/>
          </w:tblCellMar>
        </w:tblPrEx>
        <w:trPr>
          <w:trHeight w:val="972"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AE5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E724F">
            <w:pPr>
              <w:widowControl w:val="0"/>
              <w:spacing w:after="0" w:line="32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F83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2.提高居民健康素养水平。</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DB6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居民健康素养水平≥25%，4分；20-25%，2分；20%以下不得分。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95351">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A62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9C76">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F599">
            <w:pPr>
              <w:widowControl w:val="0"/>
              <w:spacing w:after="0" w:line="320" w:lineRule="exact"/>
              <w:textAlignment w:val="top"/>
              <w:rPr>
                <w:rFonts w:ascii="仿宋_GB2312" w:hAnsi="仿宋_GB2312" w:eastAsia="仿宋_GB2312" w:cs="仿宋_GB2312"/>
                <w:sz w:val="24"/>
                <w:szCs w:val="24"/>
              </w:rPr>
            </w:pPr>
          </w:p>
        </w:tc>
      </w:tr>
      <w:tr w14:paraId="4237FBC2">
        <w:tblPrEx>
          <w:tblCellMar>
            <w:top w:w="0" w:type="dxa"/>
            <w:left w:w="0" w:type="dxa"/>
            <w:bottom w:w="0" w:type="dxa"/>
            <w:right w:w="0" w:type="dxa"/>
          </w:tblCellMar>
        </w:tblPrEx>
        <w:trPr>
          <w:trHeight w:val="90"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A8FCBB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五、健康教育与健康促进（20分）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B9B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（三）发挥社会团体和群众组织在慢性病防控中的积极作用（5分）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AF1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1.辖区开展群众性健身运动。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723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（1）有5个及以上的群众健身团体，0.5分；其余0分。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526D">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E61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E5E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县教体局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43C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1CB05241">
        <w:tblPrEx>
          <w:tblCellMar>
            <w:top w:w="0" w:type="dxa"/>
            <w:left w:w="0" w:type="dxa"/>
            <w:bottom w:w="0" w:type="dxa"/>
            <w:right w:w="0" w:type="dxa"/>
          </w:tblCellMar>
        </w:tblPrEx>
        <w:trPr>
          <w:trHeight w:val="50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D86FF8F">
            <w:pPr>
              <w:widowControl w:val="0"/>
              <w:spacing w:after="0" w:line="30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45C6">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35F1">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649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（2）配有体育指导员和志愿者，0.5分；其余0分。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29285">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2A94">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4E21">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1C92E">
            <w:pPr>
              <w:widowControl w:val="0"/>
              <w:spacing w:after="0" w:line="320" w:lineRule="exact"/>
              <w:textAlignment w:val="top"/>
              <w:rPr>
                <w:rFonts w:ascii="仿宋_GB2312" w:hAnsi="仿宋_GB2312" w:eastAsia="仿宋_GB2312" w:cs="仿宋_GB2312"/>
                <w:sz w:val="24"/>
                <w:szCs w:val="24"/>
              </w:rPr>
            </w:pPr>
          </w:p>
        </w:tc>
      </w:tr>
      <w:tr w14:paraId="3F5AF88C">
        <w:tblPrEx>
          <w:tblCellMar>
            <w:top w:w="0" w:type="dxa"/>
            <w:left w:w="0" w:type="dxa"/>
            <w:bottom w:w="0" w:type="dxa"/>
            <w:right w:w="0" w:type="dxa"/>
          </w:tblCellMar>
        </w:tblPrEx>
        <w:trPr>
          <w:trHeight w:val="1099"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C96617B">
            <w:pPr>
              <w:widowControl w:val="0"/>
              <w:spacing w:after="0" w:line="30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08CC">
            <w:pPr>
              <w:widowControl w:val="0"/>
              <w:spacing w:after="0" w:line="30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3B9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2.每年至少开展1次由社会团体组织和参与的集体性健身活动。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5A72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定期开展政府支持、企事业单位承担参与并积极支持的健身活动，每年≥1次，1分；其余0分。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C951">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A54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16C7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县总工会、县教体局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7EF5">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4B914787">
        <w:tblPrEx>
          <w:tblCellMar>
            <w:top w:w="0" w:type="dxa"/>
            <w:left w:w="0" w:type="dxa"/>
            <w:bottom w:w="0" w:type="dxa"/>
            <w:right w:w="0" w:type="dxa"/>
          </w:tblCellMar>
        </w:tblPrEx>
        <w:trPr>
          <w:trHeight w:val="1151"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E1AA">
            <w:pPr>
              <w:widowControl w:val="0"/>
              <w:spacing w:after="0" w:line="30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2968">
            <w:pPr>
              <w:widowControl w:val="0"/>
              <w:spacing w:after="0" w:line="30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D5C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3.鼓励社区慢性病患者积极参与社区自我健康管理活动。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4D7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有自我健康管理小组并规范开展的社区覆盖率≥50%，3分；40-50%，2分；40%以下0分。不符合技术规范要求或每年参加人数不变者分数减半。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5B4D9">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941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8A9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D3C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各镇卫生院、社区卫生服务中心</w:t>
            </w:r>
          </w:p>
        </w:tc>
      </w:tr>
      <w:tr w14:paraId="05D10C80">
        <w:tblPrEx>
          <w:tblCellMar>
            <w:top w:w="0" w:type="dxa"/>
            <w:left w:w="0" w:type="dxa"/>
            <w:bottom w:w="0" w:type="dxa"/>
            <w:right w:w="0" w:type="dxa"/>
          </w:tblCellMar>
        </w:tblPrEx>
        <w:trPr>
          <w:trHeight w:val="90"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04813C">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六、慢性病全程管理（70分）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BBFF92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（一）规范健康体检，开展高危人群筛查与干预，加强癌症、心脑血管疾病等重大慢性病的早期发现与管理。（17分）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9FCC">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1.开展学生、老年人等重点人群和职工定期健康体检和健康指导。</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49F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（1）学校对学生体检结果进行分析和反馈覆盖率≥50%及学生健康体检率≥90%，2分，80-90%，1分；80%以下不得分。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5588">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B4D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查阅教育部门统计数据、基本公共卫生服务项目统计数据、工会统计数据等。</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FF3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县教体局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32DD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各中小学校</w:t>
            </w:r>
          </w:p>
        </w:tc>
      </w:tr>
      <w:tr w14:paraId="39A4D41B">
        <w:tblPrEx>
          <w:tblCellMar>
            <w:top w:w="0" w:type="dxa"/>
            <w:left w:w="0" w:type="dxa"/>
            <w:bottom w:w="0" w:type="dxa"/>
            <w:right w:w="0" w:type="dxa"/>
          </w:tblCellMar>
        </w:tblPrEx>
        <w:trPr>
          <w:trHeight w:val="11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5440F8E">
            <w:pPr>
              <w:widowControl w:val="0"/>
              <w:spacing w:after="0" w:line="30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635086">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D034">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C8C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（2）65岁及以上老年人健康体检率≥90%，2分；80-90%，1分；80%以下0分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5D86">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C31B">
            <w:pPr>
              <w:widowControl w:val="0"/>
              <w:spacing w:after="0" w:line="300" w:lineRule="exact"/>
              <w:textAlignment w:val="top"/>
              <w:rPr>
                <w:rFonts w:ascii="仿宋_GB2312" w:hAnsi="仿宋_GB2312" w:eastAsia="仿宋_GB2312" w:cs="仿宋_GB2312"/>
                <w:sz w:val="24"/>
                <w:szCs w:val="24"/>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F32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63C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4EE30EDC">
        <w:tblPrEx>
          <w:tblCellMar>
            <w:top w:w="0" w:type="dxa"/>
            <w:left w:w="0" w:type="dxa"/>
            <w:bottom w:w="0" w:type="dxa"/>
            <w:right w:w="0" w:type="dxa"/>
          </w:tblCellMar>
        </w:tblPrEx>
        <w:trPr>
          <w:trHeight w:val="31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95D7700">
            <w:pPr>
              <w:widowControl w:val="0"/>
              <w:spacing w:after="0" w:line="30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D6A4B2">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37C6">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C59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（3）每2年1次体检并开展健康指导的机关事业单位和员工数超过50人的企业覆盖率≥50%，3分；40-50%，2分；40%以下0分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9E30">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5AD2">
            <w:pPr>
              <w:widowControl w:val="0"/>
              <w:spacing w:after="0" w:line="300" w:lineRule="exact"/>
              <w:textAlignment w:val="top"/>
              <w:rPr>
                <w:rFonts w:ascii="仿宋_GB2312" w:hAnsi="仿宋_GB2312" w:eastAsia="仿宋_GB2312" w:cs="仿宋_GB2312"/>
                <w:sz w:val="24"/>
                <w:szCs w:val="24"/>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8EA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县总工会</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A30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19E0F651">
        <w:tblPrEx>
          <w:tblCellMar>
            <w:top w:w="0" w:type="dxa"/>
            <w:left w:w="0" w:type="dxa"/>
            <w:bottom w:w="0" w:type="dxa"/>
            <w:right w:w="0" w:type="dxa"/>
          </w:tblCellMar>
        </w:tblPrEx>
        <w:trPr>
          <w:trHeight w:val="724"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6625EB">
            <w:pPr>
              <w:widowControl w:val="0"/>
              <w:spacing w:after="0" w:line="30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4079A5">
            <w:pPr>
              <w:widowControl w:val="0"/>
              <w:spacing w:after="0" w:line="30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9A81F2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2.应用推广成熟的适宜技术，早期发现诊治患者，及时纳入基本公共卫生服务管理。</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FC7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（1）医疗机构首诊测血压率达到100%，2分；其余0分。</w:t>
            </w:r>
          </w:p>
        </w:tc>
        <w:tc>
          <w:tcPr>
            <w:tcW w:w="5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BF69203">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5F619E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查阅资料，现场评估，抽样调查医疗机构资料、信息系统。</w:t>
            </w:r>
          </w:p>
        </w:tc>
        <w:tc>
          <w:tcPr>
            <w:tcW w:w="12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F2AFC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C08E5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060B4663">
        <w:tblPrEx>
          <w:tblCellMar>
            <w:top w:w="0" w:type="dxa"/>
            <w:left w:w="0" w:type="dxa"/>
            <w:bottom w:w="0" w:type="dxa"/>
            <w:right w:w="0" w:type="dxa"/>
          </w:tblCellMar>
        </w:tblPrEx>
        <w:trPr>
          <w:trHeight w:val="1211"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46E18">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4808">
            <w:pPr>
              <w:widowControl w:val="0"/>
              <w:spacing w:after="0" w:line="310" w:lineRule="exact"/>
              <w:textAlignment w:val="top"/>
              <w:rPr>
                <w:rFonts w:ascii="仿宋_GB2312" w:hAnsi="仿宋_GB2312" w:eastAsia="仿宋_GB2312" w:cs="仿宋_GB2312"/>
                <w:sz w:val="24"/>
                <w:szCs w:val="24"/>
              </w:rPr>
            </w:pPr>
          </w:p>
        </w:tc>
        <w:tc>
          <w:tcPr>
            <w:tcW w:w="18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F224">
            <w:pPr>
              <w:widowControl w:val="0"/>
              <w:spacing w:after="0" w:line="31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2B1E">
            <w:pPr>
              <w:widowControl w:val="0"/>
              <w:spacing w:after="0" w:line="31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（2）开展心脑血管疾病、重点癌症、糖尿病、慢性阻塞性肺病等重大慢性病的筛查和早期诊断，每1项1分，满分4分。</w:t>
            </w:r>
          </w:p>
        </w:tc>
        <w:tc>
          <w:tcPr>
            <w:tcW w:w="5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488E">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1C9BA">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9413">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C197">
            <w:pPr>
              <w:widowControl w:val="0"/>
              <w:spacing w:after="0" w:line="320" w:lineRule="exact"/>
              <w:textAlignment w:val="top"/>
              <w:rPr>
                <w:rFonts w:ascii="仿宋_GB2312" w:hAnsi="仿宋_GB2312" w:eastAsia="仿宋_GB2312" w:cs="仿宋_GB2312"/>
                <w:sz w:val="24"/>
                <w:szCs w:val="24"/>
              </w:rPr>
            </w:pPr>
          </w:p>
        </w:tc>
      </w:tr>
      <w:tr w14:paraId="0DC4C5E1">
        <w:tblPrEx>
          <w:tblCellMar>
            <w:top w:w="0" w:type="dxa"/>
            <w:left w:w="0" w:type="dxa"/>
            <w:bottom w:w="0" w:type="dxa"/>
            <w:right w:w="0" w:type="dxa"/>
          </w:tblCellMar>
        </w:tblPrEx>
        <w:trPr>
          <w:trHeight w:val="1410"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235C31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六、慢性病全程管理（70分）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61062B4">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（一）规范健康体检，开展高危人群筛查与干预，加强癌症、心脑血管疾病等重大慢性病的早期发现与管理。（17分）</w:t>
            </w:r>
          </w:p>
        </w:tc>
        <w:tc>
          <w:tcPr>
            <w:tcW w:w="18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1D681F">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2.应用推广成熟的适宜技术，早期发现诊治患者，及时纳入基本公共卫生服务管理。</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D1B1">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（3）具备血糖、血脂、简易肺功能测定和大便隐血检测等4种技术并提供服务的社区卫生服务中心和乡镇卫生院的覆盖率≥70%，2分；50-70%，1分；50%以下0分。</w:t>
            </w:r>
          </w:p>
        </w:tc>
        <w:tc>
          <w:tcPr>
            <w:tcW w:w="5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C82534C">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E93C722">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查阅资料，现场评估，抽样调查医疗机构资料、信息系统。</w:t>
            </w:r>
          </w:p>
        </w:tc>
        <w:tc>
          <w:tcPr>
            <w:tcW w:w="12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78FB519">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EDFFE2">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54F581B3">
        <w:tblPrEx>
          <w:tblCellMar>
            <w:top w:w="0" w:type="dxa"/>
            <w:left w:w="0" w:type="dxa"/>
            <w:bottom w:w="0" w:type="dxa"/>
            <w:right w:w="0" w:type="dxa"/>
          </w:tblCellMar>
        </w:tblPrEx>
        <w:trPr>
          <w:trHeight w:val="92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3379EDC">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E788">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A642">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86DC">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（4）提高加强个人健康档案与健康体检信息的利用，发现高危人群筛查登记率100%，1分，其余0分；高危人群纳入健康管理率≥30%，1分，其余0分。</w:t>
            </w:r>
          </w:p>
        </w:tc>
        <w:tc>
          <w:tcPr>
            <w:tcW w:w="5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A4EA9">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93B2">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CEBD">
            <w:pPr>
              <w:widowControl w:val="0"/>
              <w:spacing w:after="0" w:line="290" w:lineRule="exact"/>
              <w:textAlignment w:val="top"/>
              <w:rPr>
                <w:rFonts w:ascii="仿宋_GB2312" w:hAnsi="仿宋_GB2312" w:eastAsia="仿宋_GB2312" w:cs="仿宋_GB2312"/>
                <w:sz w:val="24"/>
                <w:szCs w:val="24"/>
              </w:rPr>
            </w:pPr>
          </w:p>
        </w:tc>
        <w:tc>
          <w:tcPr>
            <w:tcW w:w="13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3FF5">
            <w:pPr>
              <w:widowControl w:val="0"/>
              <w:spacing w:after="0" w:line="290" w:lineRule="exact"/>
              <w:textAlignment w:val="top"/>
              <w:rPr>
                <w:rFonts w:ascii="仿宋_GB2312" w:hAnsi="仿宋_GB2312" w:eastAsia="仿宋_GB2312" w:cs="仿宋_GB2312"/>
                <w:sz w:val="24"/>
                <w:szCs w:val="24"/>
              </w:rPr>
            </w:pPr>
          </w:p>
        </w:tc>
      </w:tr>
      <w:tr w14:paraId="45FCC9CB">
        <w:tblPrEx>
          <w:tblCellMar>
            <w:top w:w="0" w:type="dxa"/>
            <w:left w:w="0" w:type="dxa"/>
            <w:bottom w:w="0" w:type="dxa"/>
            <w:right w:w="0" w:type="dxa"/>
          </w:tblCellMar>
        </w:tblPrEx>
        <w:trPr>
          <w:trHeight w:val="39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D5332D4">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934243E">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（二）建立分级诊疗制度，推进家庭医生签约服务，开展高血压、糖尿病等重点慢性病规范化管理。（20分）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8CD2">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1.开展基层首诊、双向转诊、急慢分治、上下联动的慢性病分级诊疗服务。</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5225">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（1）建立分级诊疗制度，1分，其余0分。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24D8">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8A98">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2550">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8734">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10490EFF">
        <w:tblPrEx>
          <w:tblCellMar>
            <w:top w:w="0" w:type="dxa"/>
            <w:left w:w="0" w:type="dxa"/>
            <w:bottom w:w="0" w:type="dxa"/>
            <w:right w:w="0" w:type="dxa"/>
          </w:tblCellMar>
        </w:tblPrEx>
        <w:trPr>
          <w:trHeight w:val="108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BF352F9">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B220B0">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984C">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DF3D">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（2）落实并开展高血压与糖尿病基层首诊、双向转诊、急慢分治、上下联动的分级诊疗服务，基层医疗机构门诊量占比≥50%，2分；其余0分。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47C6">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A1C6">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98AB">
            <w:pPr>
              <w:widowControl w:val="0"/>
              <w:spacing w:after="0" w:line="29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1101">
            <w:pPr>
              <w:widowControl w:val="0"/>
              <w:spacing w:after="0" w:line="290" w:lineRule="exact"/>
              <w:textAlignment w:val="top"/>
              <w:rPr>
                <w:rFonts w:ascii="仿宋_GB2312" w:hAnsi="仿宋_GB2312" w:eastAsia="仿宋_GB2312" w:cs="仿宋_GB2312"/>
                <w:sz w:val="24"/>
                <w:szCs w:val="24"/>
              </w:rPr>
            </w:pPr>
          </w:p>
        </w:tc>
      </w:tr>
      <w:tr w14:paraId="74FC59A3">
        <w:tblPrEx>
          <w:tblCellMar>
            <w:top w:w="0" w:type="dxa"/>
            <w:left w:w="0" w:type="dxa"/>
            <w:bottom w:w="0" w:type="dxa"/>
            <w:right w:w="0" w:type="dxa"/>
          </w:tblCellMar>
        </w:tblPrEx>
        <w:trPr>
          <w:trHeight w:val="457"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2C9CDA">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664C5BB">
            <w:pPr>
              <w:widowControl w:val="0"/>
              <w:spacing w:after="0" w:line="29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C330">
            <w:pPr>
              <w:widowControl w:val="0"/>
              <w:spacing w:after="0" w:line="29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1133">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（3）依托信息平台实现分级诊疗，2分；其余0分。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C86E">
            <w:pPr>
              <w:widowControl w:val="0"/>
              <w:spacing w:after="0" w:line="29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8BCA">
            <w:pPr>
              <w:widowControl w:val="0"/>
              <w:spacing w:after="0" w:line="29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B79D">
            <w:pPr>
              <w:widowControl w:val="0"/>
              <w:spacing w:after="0" w:line="29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C189C">
            <w:pPr>
              <w:widowControl w:val="0"/>
              <w:spacing w:after="0" w:line="290" w:lineRule="exact"/>
              <w:textAlignment w:val="top"/>
              <w:rPr>
                <w:rFonts w:ascii="仿宋_GB2312" w:hAnsi="仿宋_GB2312" w:eastAsia="仿宋_GB2312" w:cs="仿宋_GB2312"/>
                <w:sz w:val="24"/>
                <w:szCs w:val="24"/>
              </w:rPr>
            </w:pPr>
          </w:p>
        </w:tc>
      </w:tr>
      <w:tr w14:paraId="2ADADB99">
        <w:tblPrEx>
          <w:tblCellMar>
            <w:top w:w="0" w:type="dxa"/>
            <w:left w:w="0" w:type="dxa"/>
            <w:bottom w:w="0" w:type="dxa"/>
            <w:right w:w="0" w:type="dxa"/>
          </w:tblCellMar>
        </w:tblPrEx>
        <w:trPr>
          <w:trHeight w:val="1644"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0E67E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7DC67F">
            <w:pPr>
              <w:widowControl w:val="0"/>
              <w:spacing w:after="0" w:line="29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4A97">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2.推进家庭医生签约服务，签约团队负责提供约定的基本医疗、公共卫生和健康管理服务。</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2805">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家庭医生签约服务覆盖率≥本省平均水平30%及以上（相对数），3分； 25-30%，1分；25%以下0分。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E531">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A649">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查阅省级统计数据。</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1C12">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34F9">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2753DEC2">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AC2AD0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8803DAE">
            <w:pPr>
              <w:widowControl w:val="0"/>
              <w:spacing w:after="0" w:line="29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D137">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3.提高人群高血压、糖尿病知晓率。</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8B97">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（1）30岁以上高血压知晓率≥60%，2分；55-60%，1分；55%以下0分。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3484">
            <w:pPr>
              <w:widowControl w:val="0"/>
              <w:spacing w:after="0" w:line="29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6997">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查阅监测报告数据（慢性病及危险因素监测）。</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9BE8">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2707">
            <w:pPr>
              <w:widowControl w:val="0"/>
              <w:spacing w:after="0" w:line="29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00788FAF">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5CB0">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1729">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6E5E">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820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（2）18岁以上糖尿病知晓率≥55%，2分；50-55％，1分； 55%以下0分。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7F1C">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CA9DA">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7C84">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32F4">
            <w:pPr>
              <w:widowControl w:val="0"/>
              <w:spacing w:after="0" w:line="320" w:lineRule="exact"/>
              <w:textAlignment w:val="top"/>
              <w:rPr>
                <w:rFonts w:ascii="仿宋_GB2312" w:hAnsi="仿宋_GB2312" w:eastAsia="仿宋_GB2312" w:cs="仿宋_GB2312"/>
                <w:sz w:val="24"/>
                <w:szCs w:val="24"/>
              </w:rPr>
            </w:pPr>
          </w:p>
        </w:tc>
      </w:tr>
      <w:tr w14:paraId="6262BC46">
        <w:tblPrEx>
          <w:tblCellMar>
            <w:top w:w="0" w:type="dxa"/>
            <w:left w:w="0" w:type="dxa"/>
            <w:bottom w:w="0" w:type="dxa"/>
            <w:right w:w="0" w:type="dxa"/>
          </w:tblCellMar>
        </w:tblPrEx>
        <w:trPr>
          <w:trHeight w:val="623"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28CFFD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六、慢性病全程管理（70分）</w:t>
            </w:r>
          </w:p>
        </w:tc>
        <w:tc>
          <w:tcPr>
            <w:tcW w:w="14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48B78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（二）建立分级诊疗制度，推进家庭医生签约服务，开展高血压、糖尿病等重点慢性病规范化管理。（20分）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4DE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4.提高高血压、糖尿病患者规范管理率。</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0D1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（1）35岁以上高血压患者规范管理率达到70%，2分；60-70%，1分；60%以下不得分。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DE2C">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8EE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查阅国家基本公共卫生服务项目数据。</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5F6F">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52E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10C3410A">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E9C3BAD">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0DE62C6">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54F7">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812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（2）35岁以上糖尿病患者规范管理率达到70%，2分；60-70%，1分；60%以下不得分。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E218">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4F290">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E4272">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43A2">
            <w:pPr>
              <w:widowControl w:val="0"/>
              <w:spacing w:after="0" w:line="300" w:lineRule="exact"/>
              <w:textAlignment w:val="top"/>
              <w:rPr>
                <w:rFonts w:ascii="仿宋_GB2312" w:hAnsi="仿宋_GB2312" w:eastAsia="仿宋_GB2312" w:cs="仿宋_GB2312"/>
                <w:sz w:val="24"/>
                <w:szCs w:val="24"/>
              </w:rPr>
            </w:pPr>
          </w:p>
        </w:tc>
      </w:tr>
      <w:tr w14:paraId="07932665">
        <w:tblPrEx>
          <w:tblCellMar>
            <w:top w:w="0" w:type="dxa"/>
            <w:left w:w="0" w:type="dxa"/>
            <w:bottom w:w="0" w:type="dxa"/>
            <w:right w:w="0" w:type="dxa"/>
          </w:tblCellMar>
        </w:tblPrEx>
        <w:trPr>
          <w:trHeight w:val="431"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28FCD17">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03BEAB">
            <w:pPr>
              <w:widowControl w:val="0"/>
              <w:spacing w:after="0" w:line="30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15B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5.提高管理人群高血压、糖尿病患者的控制率。</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59E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（1）高血压患者血压控制率高于全省平均水平5%及以上，2分；高于3-5%，1分；低于3%不得分。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F295">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145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查阅国家基本公共卫生服务项目数据。</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E2D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97F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72267949">
        <w:tblPrEx>
          <w:tblCellMar>
            <w:top w:w="0" w:type="dxa"/>
            <w:left w:w="0" w:type="dxa"/>
            <w:bottom w:w="0" w:type="dxa"/>
            <w:right w:w="0" w:type="dxa"/>
          </w:tblCellMar>
        </w:tblPrEx>
        <w:trPr>
          <w:trHeight w:val="62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566FFF9">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A656">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84E0">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9FE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（2）糖尿病患者血糖控制率高于全省平均水平5%，2分；高于3-5%，1分；低于3%不得分。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6CE5">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BD55">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0581">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B2F2">
            <w:pPr>
              <w:widowControl w:val="0"/>
              <w:spacing w:after="0" w:line="300" w:lineRule="exact"/>
              <w:textAlignment w:val="top"/>
              <w:rPr>
                <w:rFonts w:ascii="仿宋_GB2312" w:hAnsi="仿宋_GB2312" w:eastAsia="仿宋_GB2312" w:cs="仿宋_GB2312"/>
                <w:sz w:val="24"/>
                <w:szCs w:val="24"/>
              </w:rPr>
            </w:pPr>
          </w:p>
        </w:tc>
      </w:tr>
      <w:tr w14:paraId="49820505">
        <w:tblPrEx>
          <w:tblCellMar>
            <w:top w:w="0" w:type="dxa"/>
            <w:left w:w="0" w:type="dxa"/>
            <w:bottom w:w="0" w:type="dxa"/>
            <w:right w:w="0" w:type="dxa"/>
          </w:tblCellMar>
        </w:tblPrEx>
        <w:trPr>
          <w:trHeight w:val="421"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4C36C5E">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338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（三）完善区域信息平台，实现医疗卫生机构间互联互通、信息共享。（15分）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79C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1.建立区域卫生信息平台，实现公共卫生服务、诊疗信息互联互通。</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B069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（1）建立区域卫生信息平台，4分；其余0分。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FDB1">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91C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38241">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5A41">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5C63E325">
        <w:tblPrEx>
          <w:tblCellMar>
            <w:top w:w="0" w:type="dxa"/>
            <w:left w:w="0" w:type="dxa"/>
            <w:bottom w:w="0" w:type="dxa"/>
            <w:right w:w="0" w:type="dxa"/>
          </w:tblCellMar>
        </w:tblPrEx>
        <w:trPr>
          <w:trHeight w:val="121"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0C02A18">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1402">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44EB">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BC9F1">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11"/>
                <w:sz w:val="24"/>
                <w:szCs w:val="24"/>
              </w:rPr>
              <w:t>（2）专业公共卫生机构、二级及以上医院和基层医疗卫生机构之间实现互联互通和信息共享，3分；其余0分。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6CBD">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F4DF">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87E5">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F5DB">
            <w:pPr>
              <w:widowControl w:val="0"/>
              <w:spacing w:after="0" w:line="300" w:lineRule="exact"/>
              <w:textAlignment w:val="top"/>
              <w:rPr>
                <w:rFonts w:ascii="仿宋_GB2312" w:hAnsi="仿宋_GB2312" w:eastAsia="仿宋_GB2312" w:cs="仿宋_GB2312"/>
                <w:sz w:val="24"/>
                <w:szCs w:val="24"/>
              </w:rPr>
            </w:pPr>
          </w:p>
        </w:tc>
      </w:tr>
      <w:tr w14:paraId="1EFFB442">
        <w:tblPrEx>
          <w:tblCellMar>
            <w:top w:w="0" w:type="dxa"/>
            <w:left w:w="0" w:type="dxa"/>
            <w:bottom w:w="0" w:type="dxa"/>
            <w:right w:w="0" w:type="dxa"/>
          </w:tblCellMar>
        </w:tblPrEx>
        <w:trPr>
          <w:trHeight w:val="34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44D6C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0B83">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768E8">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550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（3）实现电子健康档案和电子病历的连续记录和信息共享，3分。其余0分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5EFF4">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DFC2">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6765">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B432">
            <w:pPr>
              <w:widowControl w:val="0"/>
              <w:spacing w:after="0" w:line="300" w:lineRule="exact"/>
              <w:textAlignment w:val="top"/>
              <w:rPr>
                <w:rFonts w:ascii="仿宋_GB2312" w:hAnsi="仿宋_GB2312" w:eastAsia="仿宋_GB2312" w:cs="仿宋_GB2312"/>
                <w:sz w:val="24"/>
                <w:szCs w:val="24"/>
              </w:rPr>
            </w:pPr>
          </w:p>
        </w:tc>
      </w:tr>
      <w:tr w14:paraId="5105A946">
        <w:tblPrEx>
          <w:tblCellMar>
            <w:top w:w="0" w:type="dxa"/>
            <w:left w:w="0" w:type="dxa"/>
            <w:bottom w:w="0" w:type="dxa"/>
            <w:right w:w="0" w:type="dxa"/>
          </w:tblCellMar>
        </w:tblPrEx>
        <w:trPr>
          <w:trHeight w:val="283"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E2AAF00">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B552">
            <w:pPr>
              <w:widowControl w:val="0"/>
              <w:spacing w:after="0" w:line="30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A61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2.应用互联网+、健康大数据提供便捷、高效的健康管理服务。</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93E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（1）应用互联网+技术为签约服务的患者提供健康管理和诊疗服务，3分；其余0分。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656A7">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7A7E">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473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600C">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4BDE56DB">
        <w:tblPrEx>
          <w:tblCellMar>
            <w:top w:w="0" w:type="dxa"/>
            <w:left w:w="0" w:type="dxa"/>
            <w:bottom w:w="0" w:type="dxa"/>
            <w:right w:w="0" w:type="dxa"/>
          </w:tblCellMar>
        </w:tblPrEx>
        <w:trPr>
          <w:trHeight w:val="39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C1FD2B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1D76">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60E2">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D274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（2）应用健康大数据为签约服务的患者提供健康管理和诊疗服务，2分；其余0分。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E9F1">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1DD88">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3895">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AE3B">
            <w:pPr>
              <w:widowControl w:val="0"/>
              <w:spacing w:after="0" w:line="300" w:lineRule="exact"/>
              <w:textAlignment w:val="top"/>
              <w:rPr>
                <w:rFonts w:ascii="仿宋_GB2312" w:hAnsi="仿宋_GB2312" w:eastAsia="仿宋_GB2312" w:cs="仿宋_GB2312"/>
                <w:sz w:val="24"/>
                <w:szCs w:val="24"/>
              </w:rPr>
            </w:pPr>
          </w:p>
        </w:tc>
      </w:tr>
      <w:tr w14:paraId="71FD56C6">
        <w:tblPrEx>
          <w:tblCellMar>
            <w:top w:w="0" w:type="dxa"/>
            <w:left w:w="0" w:type="dxa"/>
            <w:bottom w:w="0" w:type="dxa"/>
            <w:right w:w="0" w:type="dxa"/>
          </w:tblCellMar>
        </w:tblPrEx>
        <w:trPr>
          <w:trHeight w:val="19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FD48AD3">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0A1F">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11"/>
                <w:sz w:val="24"/>
                <w:szCs w:val="24"/>
              </w:rPr>
              <w:t>（四）中西医并重，发挥中医药在慢性病预防、保健、诊疗、康复中的作用。（7分）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2C1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1.辖区各社区卫生服务中心、乡镇卫生院有中医综合服务区。</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ACD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（1）乡镇卫生院/社区卫生服务中心提供6类以上中医非药物疗法的比例达到100%，2分。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4BED">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943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FE0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106A">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各镇卫生院、社区卫生服务中心</w:t>
            </w:r>
          </w:p>
        </w:tc>
      </w:tr>
      <w:tr w14:paraId="38D20A4D">
        <w:tblPrEx>
          <w:tblCellMar>
            <w:top w:w="0" w:type="dxa"/>
            <w:left w:w="0" w:type="dxa"/>
            <w:bottom w:w="0" w:type="dxa"/>
            <w:right w:w="0" w:type="dxa"/>
          </w:tblCellMar>
        </w:tblPrEx>
        <w:trPr>
          <w:trHeight w:val="99"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304171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8F69">
            <w:pPr>
              <w:widowControl w:val="0"/>
              <w:spacing w:after="0" w:line="30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21FF1">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6002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（2）社区卫生服务站/村卫生室提供4类以上中医非药物疗法的比例达到70%，2分；70%以下不得分。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189C">
            <w:pPr>
              <w:widowControl w:val="0"/>
              <w:spacing w:after="0" w:line="30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A759">
            <w:pPr>
              <w:widowControl w:val="0"/>
              <w:spacing w:after="0" w:line="30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CB7D">
            <w:pPr>
              <w:widowControl w:val="0"/>
              <w:spacing w:after="0" w:line="30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A41C">
            <w:pPr>
              <w:widowControl w:val="0"/>
              <w:spacing w:after="0" w:line="300" w:lineRule="exact"/>
              <w:textAlignment w:val="top"/>
              <w:rPr>
                <w:rFonts w:ascii="仿宋_GB2312" w:hAnsi="仿宋_GB2312" w:eastAsia="仿宋_GB2312" w:cs="仿宋_GB2312"/>
                <w:sz w:val="24"/>
                <w:szCs w:val="24"/>
              </w:rPr>
            </w:pPr>
          </w:p>
        </w:tc>
      </w:tr>
      <w:tr w14:paraId="7708B16E">
        <w:tblPrEx>
          <w:tblCellMar>
            <w:top w:w="0" w:type="dxa"/>
            <w:left w:w="0" w:type="dxa"/>
            <w:bottom w:w="0" w:type="dxa"/>
            <w:right w:w="0" w:type="dxa"/>
          </w:tblCellMar>
        </w:tblPrEx>
        <w:trPr>
          <w:trHeight w:val="342"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455F09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1316">
            <w:pPr>
              <w:widowControl w:val="0"/>
              <w:spacing w:after="0" w:line="30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00F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2.开展中医药养生保健知识的宣传及中医适宜技术广。</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E38E">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（1）宣传中医药养生保健知识，1分。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7306">
            <w:pPr>
              <w:widowControl w:val="0"/>
              <w:spacing w:after="0" w:line="30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E0E9">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8871">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D4B6">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1603782C">
        <w:tblPrEx>
          <w:tblCellMar>
            <w:top w:w="0" w:type="dxa"/>
            <w:left w:w="0" w:type="dxa"/>
            <w:bottom w:w="0" w:type="dxa"/>
            <w:right w:w="0" w:type="dxa"/>
          </w:tblCellMar>
        </w:tblPrEx>
        <w:trPr>
          <w:trHeight w:val="379"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D6DAB3">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A755">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CCB6">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D9BA">
            <w:pPr>
              <w:widowControl w:val="0"/>
              <w:spacing w:after="0" w:line="28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（2）推广使用中医防治慢性病适宜技术，1分。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651F">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74B7">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A07E">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35D3">
            <w:pPr>
              <w:widowControl w:val="0"/>
              <w:spacing w:after="0" w:line="320" w:lineRule="exact"/>
              <w:textAlignment w:val="top"/>
              <w:rPr>
                <w:rFonts w:ascii="仿宋_GB2312" w:hAnsi="仿宋_GB2312" w:eastAsia="仿宋_GB2312" w:cs="仿宋_GB2312"/>
                <w:sz w:val="24"/>
                <w:szCs w:val="24"/>
              </w:rPr>
            </w:pPr>
          </w:p>
        </w:tc>
      </w:tr>
      <w:tr w14:paraId="5B7FCACF">
        <w:tblPrEx>
          <w:tblCellMar>
            <w:top w:w="0" w:type="dxa"/>
            <w:left w:w="0" w:type="dxa"/>
            <w:bottom w:w="0" w:type="dxa"/>
            <w:right w:w="0" w:type="dxa"/>
          </w:tblCellMar>
        </w:tblPrEx>
        <w:trPr>
          <w:trHeight w:val="386"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7600">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AB3B">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54E60">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F298">
            <w:pPr>
              <w:widowControl w:val="0"/>
              <w:spacing w:after="0" w:line="28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（3）对65岁以上老年人提供中医药健康管理，1分。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265B9">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944E">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A6135">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D653">
            <w:pPr>
              <w:widowControl w:val="0"/>
              <w:spacing w:after="0" w:line="320" w:lineRule="exact"/>
              <w:textAlignment w:val="top"/>
              <w:rPr>
                <w:rFonts w:ascii="仿宋_GB2312" w:hAnsi="仿宋_GB2312" w:eastAsia="仿宋_GB2312" w:cs="仿宋_GB2312"/>
                <w:sz w:val="24"/>
                <w:szCs w:val="24"/>
              </w:rPr>
            </w:pPr>
          </w:p>
        </w:tc>
      </w:tr>
      <w:tr w14:paraId="103A5EBB">
        <w:tblPrEx>
          <w:tblCellMar>
            <w:top w:w="0" w:type="dxa"/>
            <w:left w:w="0" w:type="dxa"/>
            <w:bottom w:w="0" w:type="dxa"/>
            <w:right w:w="0" w:type="dxa"/>
          </w:tblCellMar>
        </w:tblPrEx>
        <w:trPr>
          <w:trHeight w:val="381" w:hRule="atLeast"/>
          <w:jc w:val="center"/>
        </w:trPr>
        <w:tc>
          <w:tcPr>
            <w:tcW w:w="9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4967F0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六、慢性病全程管理（70分）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F9D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（五）做好基本医疗保险、城乡居民大病保险和医疗救助重大疾病保障的衔接。（4分）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AC9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1.做好基本医疗保险、城乡居民大病保险和医疗救助重大疾病保障。</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A846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（1）落实基本医疗保险、大病保险和医疗救助重大疾病保障等相关政策，1分；其余0分。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9371">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DD9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B11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县医保局、县卫健局、县残联、县民政局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486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县医保局、县卫健局、县残联、县民政局</w:t>
            </w:r>
          </w:p>
        </w:tc>
      </w:tr>
      <w:tr w14:paraId="64620C00">
        <w:tblPrEx>
          <w:tblCellMar>
            <w:top w:w="0" w:type="dxa"/>
            <w:left w:w="0" w:type="dxa"/>
            <w:bottom w:w="0" w:type="dxa"/>
            <w:right w:w="0" w:type="dxa"/>
          </w:tblCellMar>
        </w:tblPrEx>
        <w:trPr>
          <w:trHeight w:val="266"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7CD5B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FFAF">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20FB">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A10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（2）提高签约慢性病患者的医疗保障水平和残疾人、流动人口、低收入等人群医疗救助水平的具体措施，1分；其余0分。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5FC35">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45B6">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6F61">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96292">
            <w:pPr>
              <w:widowControl w:val="0"/>
              <w:spacing w:after="0" w:line="320" w:lineRule="exact"/>
              <w:textAlignment w:val="top"/>
              <w:rPr>
                <w:rFonts w:ascii="仿宋_GB2312" w:hAnsi="仿宋_GB2312" w:eastAsia="仿宋_GB2312" w:cs="仿宋_GB2312"/>
                <w:sz w:val="24"/>
                <w:szCs w:val="24"/>
              </w:rPr>
            </w:pPr>
          </w:p>
        </w:tc>
      </w:tr>
      <w:tr w14:paraId="2966C849">
        <w:tblPrEx>
          <w:tblCellMar>
            <w:top w:w="0" w:type="dxa"/>
            <w:left w:w="0" w:type="dxa"/>
            <w:bottom w:w="0" w:type="dxa"/>
            <w:right w:w="0" w:type="dxa"/>
          </w:tblCellMar>
        </w:tblPrEx>
        <w:trPr>
          <w:trHeight w:val="92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5A6B89">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14C9">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B3B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2.基层医疗卫生机构优先配备使用基本药物，根据省级医保药品报销目录，配备使用一定数量或比例的药品。</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3EF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（1）按基本药物目录配置，辖区基层医疗卫生服务机构设立药物绿色通道（包括延伸处方或长处方），1分。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6E1FD">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3EF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EDC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县卫健局、县医保局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E40B">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各镇卫生院、社区卫生服务中心</w:t>
            </w:r>
          </w:p>
        </w:tc>
      </w:tr>
      <w:tr w14:paraId="28A38C59">
        <w:tblPrEx>
          <w:tblCellMar>
            <w:top w:w="0" w:type="dxa"/>
            <w:left w:w="0" w:type="dxa"/>
            <w:bottom w:w="0" w:type="dxa"/>
            <w:right w:w="0" w:type="dxa"/>
          </w:tblCellMar>
        </w:tblPrEx>
        <w:trPr>
          <w:trHeight w:val="86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FB378E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35C6">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9F91">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87A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（2）按省级卫生健康行政部门规定和要求配备使用医保报销药物，1分；其余0分。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7512">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28D9">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78B3">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6310">
            <w:pPr>
              <w:widowControl w:val="0"/>
              <w:spacing w:after="0" w:line="320" w:lineRule="exact"/>
              <w:textAlignment w:val="top"/>
              <w:rPr>
                <w:rFonts w:ascii="仿宋_GB2312" w:hAnsi="仿宋_GB2312" w:eastAsia="仿宋_GB2312" w:cs="仿宋_GB2312"/>
                <w:sz w:val="24"/>
                <w:szCs w:val="24"/>
              </w:rPr>
            </w:pPr>
          </w:p>
        </w:tc>
      </w:tr>
      <w:tr w14:paraId="2457CCCC">
        <w:tblPrEx>
          <w:tblCellMar>
            <w:top w:w="0" w:type="dxa"/>
            <w:left w:w="0" w:type="dxa"/>
            <w:bottom w:w="0" w:type="dxa"/>
            <w:right w:w="0" w:type="dxa"/>
          </w:tblCellMar>
        </w:tblPrEx>
        <w:trPr>
          <w:trHeight w:val="205"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F82CF37">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EAE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（六）动员社会力量参与慢性病防控工作，促进医养结合。（7分）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2B6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1.政府引导、市场驱动、社会力量参与，为慢性病患者提供健康管理服务。</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8FE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（1）有效引进社会资本参与慢性病防控，1分；其余0分。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34AA">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D16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A9EC55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县卫健局、县医保局、县民政局      </w:t>
            </w:r>
          </w:p>
        </w:tc>
        <w:tc>
          <w:tcPr>
            <w:tcW w:w="13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8D0FB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各镇街、各民营医院、县医保局</w:t>
            </w:r>
          </w:p>
        </w:tc>
      </w:tr>
      <w:tr w14:paraId="5A8894C2">
        <w:tblPrEx>
          <w:tblCellMar>
            <w:top w:w="0" w:type="dxa"/>
            <w:left w:w="0" w:type="dxa"/>
            <w:bottom w:w="0" w:type="dxa"/>
            <w:right w:w="0" w:type="dxa"/>
          </w:tblCellMar>
        </w:tblPrEx>
        <w:trPr>
          <w:trHeight w:val="508"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CDFA1D5">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B94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4C57">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695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（2）商业健康保险参与医疗救助，1分；其余0分。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016B">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D96D">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E9F331">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C8CD94D">
            <w:pPr>
              <w:widowControl w:val="0"/>
              <w:spacing w:after="0" w:line="320" w:lineRule="exact"/>
              <w:textAlignment w:val="top"/>
              <w:rPr>
                <w:rFonts w:ascii="仿宋_GB2312" w:hAnsi="仿宋_GB2312" w:eastAsia="仿宋_GB2312" w:cs="仿宋_GB2312"/>
                <w:sz w:val="24"/>
                <w:szCs w:val="24"/>
              </w:rPr>
            </w:pPr>
          </w:p>
        </w:tc>
      </w:tr>
      <w:tr w14:paraId="65DD5C3F">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BE8E58A">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B353E">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9B2A">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D73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（3）通过向社会力量购买服务的方式，为慢性病患者提供健康管理服务，2分；其余0分。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737D">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790F2">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C4BC">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0975">
            <w:pPr>
              <w:widowControl w:val="0"/>
              <w:spacing w:after="0" w:line="320" w:lineRule="exact"/>
              <w:textAlignment w:val="top"/>
              <w:rPr>
                <w:rFonts w:ascii="仿宋_GB2312" w:hAnsi="仿宋_GB2312" w:eastAsia="仿宋_GB2312" w:cs="仿宋_GB2312"/>
                <w:sz w:val="24"/>
                <w:szCs w:val="24"/>
              </w:rPr>
            </w:pPr>
          </w:p>
        </w:tc>
      </w:tr>
      <w:tr w14:paraId="21B3DE1F">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E8AF5D">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1E136">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219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2.促进慢性病全程防治管理服务与居家养老、社区养老和机构养老服务融合。</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DCD5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（1）辖区内每个街道（乡镇除外）均设有为居家养老的半失能老年人提供日间托养服务的社区老年人日间照料中心，1分；其余0分。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FFA1">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19E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EA2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县民政局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1E3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各镇街</w:t>
            </w:r>
          </w:p>
        </w:tc>
      </w:tr>
      <w:tr w14:paraId="1A0D7D75">
        <w:tblPrEx>
          <w:tblCellMar>
            <w:top w:w="0" w:type="dxa"/>
            <w:left w:w="0" w:type="dxa"/>
            <w:bottom w:w="0" w:type="dxa"/>
            <w:right w:w="0"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0A5B83">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CCCD">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2A3A">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DB4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（2）以不同形式为入住老年人提供医疗卫生服务的养老机构比例达到100%，1分；其余0分。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FCFA">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2F2D">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ECF5">
            <w:pPr>
              <w:widowControl w:val="0"/>
              <w:spacing w:after="0" w:line="320" w:lineRule="exact"/>
              <w:textAlignment w:val="top"/>
              <w:rPr>
                <w:rFonts w:ascii="仿宋_GB2312" w:hAnsi="仿宋_GB2312" w:eastAsia="仿宋_GB2312" w:cs="仿宋_GB2312"/>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9A7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各镇街、县卫健局</w:t>
            </w:r>
          </w:p>
        </w:tc>
      </w:tr>
      <w:tr w14:paraId="78E21B62">
        <w:tblPrEx>
          <w:tblCellMar>
            <w:top w:w="0" w:type="dxa"/>
            <w:left w:w="0" w:type="dxa"/>
            <w:bottom w:w="0" w:type="dxa"/>
            <w:right w:w="0" w:type="dxa"/>
          </w:tblCellMar>
        </w:tblPrEx>
        <w:trPr>
          <w:trHeight w:val="165" w:hRule="atLeast"/>
          <w:jc w:val="center"/>
        </w:trPr>
        <w:tc>
          <w:tcPr>
            <w:tcW w:w="9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D10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90FD">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4233">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E28D">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（3）设置老年医学科的二级及以上综合性医院比例达到70%，得1分；50-70%，得0.5分；50%以下0分。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9E22">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F748">
            <w:pPr>
              <w:widowControl w:val="0"/>
              <w:spacing w:after="0" w:line="320" w:lineRule="exact"/>
              <w:textAlignment w:val="top"/>
              <w:rPr>
                <w:rFonts w:ascii="仿宋_GB2312" w:hAnsi="仿宋_GB2312" w:eastAsia="仿宋_GB2312" w:cs="仿宋_GB2312"/>
                <w:sz w:val="24"/>
                <w:szCs w:val="24"/>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BA5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465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县级医疗机构</w:t>
            </w:r>
          </w:p>
        </w:tc>
      </w:tr>
      <w:tr w14:paraId="3E887430">
        <w:tblPrEx>
          <w:tblCellMar>
            <w:top w:w="0" w:type="dxa"/>
            <w:left w:w="0" w:type="dxa"/>
            <w:bottom w:w="0" w:type="dxa"/>
            <w:right w:w="0" w:type="dxa"/>
          </w:tblCellMar>
        </w:tblPrEx>
        <w:trPr>
          <w:trHeight w:val="653"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4BF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七、监测评估（30分）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4F5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（一）开展过程质量控制和重点慢性病监测工作。（20分）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60E0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1.规范开展覆盖辖区慢性病及相关危险因素监测，掌握辖区重点慢性病状况、影响因素和疾病负担。</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0D83">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（1）死因监测，2分，其余0分。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9798">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FF04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A32F">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678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县公安局、县统计局、县民政局、县医保局</w:t>
            </w:r>
          </w:p>
        </w:tc>
      </w:tr>
      <w:tr w14:paraId="1FDC4011">
        <w:tblPrEx>
          <w:tblCellMar>
            <w:top w:w="0" w:type="dxa"/>
            <w:left w:w="0" w:type="dxa"/>
            <w:bottom w:w="0" w:type="dxa"/>
            <w:right w:w="0" w:type="dxa"/>
          </w:tblCellMar>
        </w:tblPrEx>
        <w:trPr>
          <w:trHeight w:val="653"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F54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B447">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0B13">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CF4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（2）慢病与营养监测，6分。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4A627">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D2F0">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B2C7">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174F">
            <w:pPr>
              <w:widowControl w:val="0"/>
              <w:spacing w:after="0" w:line="320" w:lineRule="exact"/>
              <w:textAlignment w:val="top"/>
              <w:rPr>
                <w:rFonts w:ascii="仿宋_GB2312" w:hAnsi="仿宋_GB2312" w:eastAsia="仿宋_GB2312" w:cs="仿宋_GB2312"/>
                <w:sz w:val="24"/>
                <w:szCs w:val="24"/>
              </w:rPr>
            </w:pPr>
          </w:p>
        </w:tc>
      </w:tr>
      <w:tr w14:paraId="3413BAEE">
        <w:tblPrEx>
          <w:tblCellMar>
            <w:top w:w="0" w:type="dxa"/>
            <w:left w:w="0" w:type="dxa"/>
            <w:bottom w:w="0" w:type="dxa"/>
            <w:right w:w="0" w:type="dxa"/>
          </w:tblCellMar>
        </w:tblPrEx>
        <w:trPr>
          <w:trHeight w:val="90"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3FA72">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0107">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6986">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F43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（3）肿瘤随访登记，2分，其余0分。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C500">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F554">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FAB5">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0745">
            <w:pPr>
              <w:widowControl w:val="0"/>
              <w:spacing w:after="0" w:line="320" w:lineRule="exact"/>
              <w:textAlignment w:val="top"/>
              <w:rPr>
                <w:rFonts w:ascii="仿宋_GB2312" w:hAnsi="仿宋_GB2312" w:eastAsia="仿宋_GB2312" w:cs="仿宋_GB2312"/>
                <w:sz w:val="24"/>
                <w:szCs w:val="24"/>
              </w:rPr>
            </w:pPr>
          </w:p>
        </w:tc>
      </w:tr>
      <w:tr w14:paraId="4172E186">
        <w:tblPrEx>
          <w:tblCellMar>
            <w:top w:w="0" w:type="dxa"/>
            <w:left w:w="0" w:type="dxa"/>
            <w:bottom w:w="0" w:type="dxa"/>
            <w:right w:w="0" w:type="dxa"/>
          </w:tblCellMar>
        </w:tblPrEx>
        <w:trPr>
          <w:trHeight w:val="650"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C366">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8010">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7028">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2.慢性病监测数据互联互通。</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4421">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（1）利用省、地市、县三级人口健康信息和疾病预防控制信息管理系统，实现重点慢性病监测数据互联互通，5分，其余0分。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330C">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F77E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9EF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171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各医疗卫生机构</w:t>
            </w:r>
          </w:p>
        </w:tc>
      </w:tr>
      <w:tr w14:paraId="353F1ED6">
        <w:tblPrEx>
          <w:tblCellMar>
            <w:top w:w="0" w:type="dxa"/>
            <w:left w:w="0" w:type="dxa"/>
            <w:bottom w:w="0" w:type="dxa"/>
            <w:right w:w="0" w:type="dxa"/>
          </w:tblCellMar>
        </w:tblPrEx>
        <w:trPr>
          <w:trHeight w:val="193"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A4B4">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F564">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C0F1E">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420B">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（2）慢性病监测数据管理利用得到省级及以上卫生行政部门认可推广，5分；其余0分。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D05F">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D7C1">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8EBC4">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336F">
            <w:pPr>
              <w:widowControl w:val="0"/>
              <w:spacing w:after="0" w:line="320" w:lineRule="exact"/>
              <w:textAlignment w:val="top"/>
              <w:rPr>
                <w:rFonts w:ascii="仿宋_GB2312" w:hAnsi="仿宋_GB2312" w:eastAsia="仿宋_GB2312" w:cs="仿宋_GB2312"/>
                <w:sz w:val="24"/>
                <w:szCs w:val="24"/>
              </w:rPr>
            </w:pPr>
          </w:p>
        </w:tc>
      </w:tr>
      <w:tr w14:paraId="215BE2D2">
        <w:tblPrEx>
          <w:tblCellMar>
            <w:top w:w="0" w:type="dxa"/>
            <w:left w:w="0" w:type="dxa"/>
            <w:bottom w:w="0" w:type="dxa"/>
            <w:right w:w="0" w:type="dxa"/>
          </w:tblCellMar>
        </w:tblPrEx>
        <w:trPr>
          <w:trHeight w:val="655"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A545">
            <w:pPr>
              <w:widowControl w:val="0"/>
              <w:spacing w:after="0" w:line="320" w:lineRule="exact"/>
              <w:textAlignment w:val="top"/>
              <w:rPr>
                <w:rFonts w:ascii="仿宋_GB2312" w:hAnsi="仿宋_GB2312" w:eastAsia="仿宋_GB2312" w:cs="仿宋_GB2312"/>
                <w:sz w:val="24"/>
                <w:szCs w:val="24"/>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91BA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（二）开展慢性病防控社会因素调查。（10分）</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2722">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 辖区每5年开展一次慢性病防控及社会因素状况调查。</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C9F0">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（1）规范制定慢性病及社会影响因素状况调查方案，2分；其余0分。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2FDE">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C73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查阅资料。</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703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县政府办公室、县卫健局</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597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6B7E4540">
        <w:tblPrEx>
          <w:tblCellMar>
            <w:top w:w="0" w:type="dxa"/>
            <w:left w:w="0" w:type="dxa"/>
            <w:bottom w:w="0" w:type="dxa"/>
            <w:right w:w="0" w:type="dxa"/>
          </w:tblCellMar>
        </w:tblPrEx>
        <w:trPr>
          <w:trHeight w:val="346"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FD25">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F7FC">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99DD">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0B4D">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（2）综合运用社会学、流行病学及管理学理论与方法开展慢性病及社会影响因素状况调查，完成调查技术报告，2分；其余0分。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BE79">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3EF5">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14D2">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9DE00">
            <w:pPr>
              <w:widowControl w:val="0"/>
              <w:spacing w:after="0" w:line="320" w:lineRule="exact"/>
              <w:textAlignment w:val="top"/>
              <w:rPr>
                <w:rFonts w:ascii="仿宋_GB2312" w:hAnsi="仿宋_GB2312" w:eastAsia="仿宋_GB2312" w:cs="仿宋_GB2312"/>
                <w:sz w:val="24"/>
                <w:szCs w:val="24"/>
              </w:rPr>
            </w:pPr>
          </w:p>
        </w:tc>
      </w:tr>
      <w:tr w14:paraId="1BD8EE95">
        <w:tblPrEx>
          <w:tblCellMar>
            <w:top w:w="0" w:type="dxa"/>
            <w:left w:w="0" w:type="dxa"/>
            <w:bottom w:w="0" w:type="dxa"/>
            <w:right w:w="0" w:type="dxa"/>
          </w:tblCellMar>
        </w:tblPrEx>
        <w:trPr>
          <w:trHeight w:val="420"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AB5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2214">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F43B0">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A9B5">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（3）技术报告信息来源权威、准确、多元、综合，报告结构完整，有背景、方法、现状与主要问题、资源分析、预期目标、主要对策与具体措施等内容，2分；其余0分。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2C9C">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D79C">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465D">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487B">
            <w:pPr>
              <w:widowControl w:val="0"/>
              <w:spacing w:after="0" w:line="320" w:lineRule="exact"/>
              <w:textAlignment w:val="top"/>
              <w:rPr>
                <w:rFonts w:ascii="仿宋_GB2312" w:hAnsi="仿宋_GB2312" w:eastAsia="仿宋_GB2312" w:cs="仿宋_GB2312"/>
                <w:sz w:val="24"/>
                <w:szCs w:val="24"/>
              </w:rPr>
            </w:pPr>
          </w:p>
        </w:tc>
      </w:tr>
      <w:tr w14:paraId="4F74F035">
        <w:tblPrEx>
          <w:tblCellMar>
            <w:top w:w="0" w:type="dxa"/>
            <w:left w:w="0" w:type="dxa"/>
            <w:bottom w:w="0" w:type="dxa"/>
            <w:right w:w="0" w:type="dxa"/>
          </w:tblCellMar>
        </w:tblPrEx>
        <w:trPr>
          <w:trHeight w:val="1080"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00FB">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FE82">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F19D">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2DCA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（4）技术报告调查结果清晰、调查依据正确、对策合乎逻辑、目标设定科学、措施设计得当，2分；其余0分。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CB52">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5587">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8019">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735D">
            <w:pPr>
              <w:widowControl w:val="0"/>
              <w:spacing w:after="0" w:line="320" w:lineRule="exact"/>
              <w:textAlignment w:val="top"/>
              <w:rPr>
                <w:rFonts w:ascii="仿宋_GB2312" w:hAnsi="仿宋_GB2312" w:eastAsia="仿宋_GB2312" w:cs="仿宋_GB2312"/>
                <w:sz w:val="24"/>
                <w:szCs w:val="24"/>
              </w:rPr>
            </w:pPr>
          </w:p>
        </w:tc>
      </w:tr>
      <w:tr w14:paraId="09E734DF">
        <w:tblPrEx>
          <w:tblCellMar>
            <w:top w:w="0" w:type="dxa"/>
            <w:left w:w="0" w:type="dxa"/>
            <w:bottom w:w="0" w:type="dxa"/>
            <w:right w:w="0" w:type="dxa"/>
          </w:tblCellMar>
        </w:tblPrEx>
        <w:trPr>
          <w:trHeight w:val="755"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654C">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5B66">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8092">
            <w:pPr>
              <w:widowControl w:val="0"/>
              <w:spacing w:after="0" w:line="30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3DD4">
            <w:pPr>
              <w:widowControl w:val="0"/>
              <w:spacing w:after="0" w:line="30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（5）技术报告结果用于指引、评估示范区建设及慢性病综合防控工作计划的制定，2分；其余0分。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DC89">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98AD8">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AE76">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66EDF">
            <w:pPr>
              <w:widowControl w:val="0"/>
              <w:spacing w:after="0" w:line="320" w:lineRule="exact"/>
              <w:textAlignment w:val="top"/>
              <w:rPr>
                <w:rFonts w:ascii="仿宋_GB2312" w:hAnsi="仿宋_GB2312" w:eastAsia="仿宋_GB2312" w:cs="仿宋_GB2312"/>
                <w:sz w:val="24"/>
                <w:szCs w:val="24"/>
              </w:rPr>
            </w:pPr>
          </w:p>
        </w:tc>
      </w:tr>
      <w:tr w14:paraId="73854D3B">
        <w:tblPrEx>
          <w:tblCellMar>
            <w:top w:w="0" w:type="dxa"/>
            <w:left w:w="0" w:type="dxa"/>
            <w:bottom w:w="0" w:type="dxa"/>
            <w:right w:w="0" w:type="dxa"/>
          </w:tblCellMar>
        </w:tblPrEx>
        <w:trPr>
          <w:trHeight w:val="1470"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27A1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八、创新引领（35分）</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005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慢性病综合防控工作有特色、可复制、可推广。（35分）</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2F8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1.倡导慢性病综合防控工作与当地社会、文化等建设和公共服务、公共产品供给相结合。</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B600">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慢性病综合防控工作与辖区社区文化建设、健康城市建设、文明创建、公共服务与公共产品等相关项目有机衔接整合，以达到1+1&gt;2的实际效果。建立协同工作机制并有效衔接达5项，10分；2-4项，5分；其余0分。未达到提高实际效果者分数减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25D7">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4BA4">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查阅项目计划书与总结报告等资料，现场评估。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C8E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示范区建设领导小组办公室</w:t>
            </w:r>
          </w:p>
        </w:tc>
        <w:tc>
          <w:tcPr>
            <w:tcW w:w="13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B4D5A98">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5134EC53">
        <w:tblPrEx>
          <w:tblCellMar>
            <w:top w:w="0" w:type="dxa"/>
            <w:left w:w="0" w:type="dxa"/>
            <w:bottom w:w="0" w:type="dxa"/>
            <w:right w:w="0" w:type="dxa"/>
          </w:tblCellMar>
        </w:tblPrEx>
        <w:trPr>
          <w:trHeight w:val="1830"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BF41">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D2DD">
            <w:pPr>
              <w:widowControl w:val="0"/>
              <w:spacing w:after="0" w:line="320" w:lineRule="exact"/>
              <w:textAlignment w:val="top"/>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2E1E">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2.总结有创新、特色案例。</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B0A1C">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创新特色案例达3个，案例撰写符合要求，15分；2个，10分；其余0分。案例撰写不符合要求者分数减半。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2EF3">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D526">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查阅案例文件，查阅该案例的相关原始素材等资料，现场评估。</w:t>
            </w: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BA50A">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14FCC">
            <w:pPr>
              <w:widowControl w:val="0"/>
              <w:spacing w:after="0" w:line="320" w:lineRule="exact"/>
              <w:textAlignment w:val="top"/>
              <w:rPr>
                <w:rFonts w:ascii="仿宋_GB2312" w:hAnsi="仿宋_GB2312" w:eastAsia="仿宋_GB2312" w:cs="仿宋_GB2312"/>
                <w:sz w:val="24"/>
                <w:szCs w:val="24"/>
              </w:rPr>
            </w:pPr>
          </w:p>
        </w:tc>
      </w:tr>
      <w:tr w14:paraId="00C4B73B">
        <w:tblPrEx>
          <w:tblCellMar>
            <w:top w:w="0" w:type="dxa"/>
            <w:left w:w="0" w:type="dxa"/>
            <w:bottom w:w="0" w:type="dxa"/>
            <w:right w:w="0" w:type="dxa"/>
          </w:tblCellMar>
        </w:tblPrEx>
        <w:trPr>
          <w:trHeight w:val="304"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76CAE">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A960">
            <w:pPr>
              <w:widowControl w:val="0"/>
              <w:spacing w:after="0" w:line="320" w:lineRule="exact"/>
              <w:textAlignment w:val="top"/>
              <w:rPr>
                <w:rFonts w:ascii="仿宋_GB2312" w:hAnsi="仿宋_GB2312" w:eastAsia="仿宋_GB2312" w:cs="仿宋_GB2312"/>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9C23">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3.示范区建设成功经验起到示范引领作用。</w:t>
            </w: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ADB9">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（1）示范区建设成功经验在本辖区得到有效推广应用2项及以上，5分；1项，2分；其余0分。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BA63">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F621">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查阅每项被推广应查看成功经验描述件、推广后的反响等资料，现场评估。</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BDA32">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示范区建设领导小组办公室</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FAAA">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领导小组成员单位</w:t>
            </w:r>
          </w:p>
        </w:tc>
      </w:tr>
      <w:tr w14:paraId="3907655B">
        <w:tblPrEx>
          <w:tblCellMar>
            <w:top w:w="0" w:type="dxa"/>
            <w:left w:w="0" w:type="dxa"/>
            <w:bottom w:w="0" w:type="dxa"/>
            <w:right w:w="0" w:type="dxa"/>
          </w:tblCellMar>
        </w:tblPrEx>
        <w:trPr>
          <w:trHeight w:val="1475"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25E90">
            <w:pPr>
              <w:widowControl w:val="0"/>
              <w:spacing w:after="0" w:line="320" w:lineRule="exact"/>
              <w:textAlignment w:val="top"/>
              <w:rPr>
                <w:rFonts w:ascii="仿宋_GB2312" w:hAnsi="仿宋_GB2312" w:eastAsia="仿宋_GB2312" w:cs="仿宋_GB2312"/>
                <w:sz w:val="24"/>
                <w:szCs w:val="24"/>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EC62">
            <w:pPr>
              <w:widowControl w:val="0"/>
              <w:spacing w:after="0" w:line="320" w:lineRule="exact"/>
              <w:textAlignment w:val="top"/>
              <w:rPr>
                <w:rFonts w:ascii="仿宋_GB2312" w:hAnsi="仿宋_GB2312" w:eastAsia="仿宋_GB2312" w:cs="仿宋_GB2312"/>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7E92">
            <w:pPr>
              <w:widowControl w:val="0"/>
              <w:spacing w:after="0" w:line="320" w:lineRule="exact"/>
              <w:textAlignment w:val="top"/>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6137">
            <w:pPr>
              <w:widowControl w:val="0"/>
              <w:spacing w:after="0" w:line="320" w:lineRule="exact"/>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（2）示范区建设成果经验在辖区外得到有效推广应用2项及以上，5分；1项，2分；其余0分。</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A45A">
            <w:pPr>
              <w:widowControl w:val="0"/>
              <w:spacing w:after="0" w:line="320" w:lineRule="exact"/>
              <w:jc w:val="center"/>
              <w:textAlignment w:val="top"/>
              <w:rPr>
                <w:rFonts w:ascii="仿宋_GB2312" w:hAnsi="仿宋_GB2312" w:eastAsia="仿宋_GB2312" w:cs="仿宋_GB2312"/>
                <w:sz w:val="24"/>
                <w:szCs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411A">
            <w:pPr>
              <w:widowControl w:val="0"/>
              <w:spacing w:after="0" w:line="320" w:lineRule="exact"/>
              <w:textAlignment w:val="top"/>
              <w:rPr>
                <w:rFonts w:ascii="仿宋_GB2312" w:hAnsi="仿宋_GB2312" w:eastAsia="仿宋_GB2312" w:cs="仿宋_GB2312"/>
                <w:sz w:val="24"/>
                <w:szCs w:val="24"/>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5591">
            <w:pPr>
              <w:widowControl w:val="0"/>
              <w:spacing w:after="0" w:line="320" w:lineRule="exact"/>
              <w:textAlignment w:val="top"/>
              <w:rPr>
                <w:rFonts w:ascii="仿宋_GB2312" w:hAnsi="仿宋_GB2312" w:eastAsia="仿宋_GB2312" w:cs="仿宋_GB2312"/>
                <w:sz w:val="24"/>
                <w:szCs w:val="24"/>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D6F9">
            <w:pPr>
              <w:widowControl w:val="0"/>
              <w:spacing w:after="0" w:line="320" w:lineRule="exact"/>
              <w:textAlignment w:val="top"/>
              <w:rPr>
                <w:rFonts w:ascii="仿宋_GB2312" w:hAnsi="仿宋_GB2312" w:eastAsia="仿宋_GB2312" w:cs="仿宋_GB2312"/>
                <w:sz w:val="24"/>
                <w:szCs w:val="24"/>
              </w:rPr>
            </w:pPr>
          </w:p>
        </w:tc>
      </w:tr>
      <w:tr w14:paraId="5BD8F5C3">
        <w:tblPrEx>
          <w:tblCellMar>
            <w:top w:w="0" w:type="dxa"/>
            <w:left w:w="0" w:type="dxa"/>
            <w:bottom w:w="0" w:type="dxa"/>
            <w:right w:w="0" w:type="dxa"/>
          </w:tblCellMar>
        </w:tblPrEx>
        <w:trPr>
          <w:trHeight w:val="587"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3B3D">
            <w:pPr>
              <w:widowControl w:val="0"/>
              <w:spacing w:after="0"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65C5">
            <w:pPr>
              <w:widowControl w:val="0"/>
              <w:spacing w:after="0" w:line="320" w:lineRule="exact"/>
              <w:jc w:val="center"/>
              <w:rPr>
                <w:rFonts w:ascii="仿宋_GB2312" w:hAnsi="仿宋_GB2312" w:eastAsia="仿宋_GB2312" w:cs="仿宋_GB2312"/>
                <w:sz w:val="24"/>
                <w:szCs w:val="24"/>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6EBB">
            <w:pPr>
              <w:widowControl w:val="0"/>
              <w:spacing w:after="0" w:line="320" w:lineRule="exact"/>
              <w:jc w:val="center"/>
              <w:rPr>
                <w:rFonts w:ascii="仿宋_GB2312" w:hAnsi="仿宋_GB2312" w:eastAsia="仿宋_GB2312" w:cs="仿宋_GB2312"/>
                <w:sz w:val="24"/>
                <w:szCs w:val="24"/>
              </w:rPr>
            </w:pPr>
          </w:p>
        </w:tc>
        <w:tc>
          <w:tcPr>
            <w:tcW w:w="5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14BB">
            <w:pPr>
              <w:widowControl w:val="0"/>
              <w:spacing w:after="0" w:line="320" w:lineRule="exact"/>
              <w:jc w:val="center"/>
              <w:rPr>
                <w:rFonts w:ascii="仿宋_GB2312" w:hAnsi="仿宋_GB2312" w:eastAsia="仿宋_GB2312" w:cs="仿宋_GB2312"/>
                <w:sz w:val="24"/>
                <w:szCs w:val="24"/>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202C">
            <w:pPr>
              <w:widowControl w:val="0"/>
              <w:spacing w:after="0" w:line="320" w:lineRule="exact"/>
              <w:jc w:val="center"/>
              <w:textAlignment w:val="top"/>
              <w:rPr>
                <w:rFonts w:ascii="仿宋_GB2312" w:hAnsi="仿宋_GB2312" w:eastAsia="仿宋_GB2312" w:cs="仿宋_GB2312"/>
                <w:sz w:val="24"/>
                <w:szCs w:val="24"/>
              </w:rPr>
            </w:pPr>
            <w:r>
              <w:rPr>
                <w:rFonts w:hint="eastAsia" w:ascii="仿宋_GB2312" w:hAnsi="仿宋_GB2312" w:eastAsia="仿宋_GB2312" w:cs="仿宋_GB2312"/>
                <w:sz w:val="24"/>
                <w:szCs w:val="24"/>
              </w:rPr>
              <w:t>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F656">
            <w:pPr>
              <w:widowControl w:val="0"/>
              <w:spacing w:after="0" w:line="320" w:lineRule="exact"/>
              <w:textAlignment w:val="top"/>
              <w:rPr>
                <w:rFonts w:ascii="仿宋_GB2312" w:hAnsi="仿宋_GB2312" w:eastAsia="仿宋_GB2312" w:cs="仿宋_GB2312"/>
                <w:sz w:val="24"/>
                <w:szCs w:val="24"/>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944C">
            <w:pPr>
              <w:widowControl w:val="0"/>
              <w:spacing w:after="0" w:line="320" w:lineRule="exact"/>
              <w:jc w:val="center"/>
              <w:rPr>
                <w:rFonts w:ascii="仿宋_GB2312" w:hAnsi="仿宋_GB2312" w:eastAsia="仿宋_GB2312" w:cs="仿宋_GB2312"/>
                <w:sz w:val="24"/>
                <w:szCs w:val="24"/>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E95D">
            <w:pPr>
              <w:widowControl w:val="0"/>
              <w:spacing w:after="0" w:line="320" w:lineRule="exact"/>
              <w:jc w:val="center"/>
              <w:rPr>
                <w:rFonts w:ascii="仿宋_GB2312" w:hAnsi="仿宋_GB2312" w:eastAsia="仿宋_GB2312" w:cs="仿宋_GB2312"/>
                <w:sz w:val="24"/>
                <w:szCs w:val="24"/>
              </w:rPr>
            </w:pPr>
          </w:p>
        </w:tc>
      </w:tr>
    </w:tbl>
    <w:p w14:paraId="3A194225">
      <w:pPr>
        <w:spacing w:line="220" w:lineRule="atLeast"/>
        <w:rPr>
          <w:rFonts w:ascii="仿宋" w:hAnsi="仿宋" w:eastAsia="仿宋" w:cs="仿宋"/>
          <w:b/>
          <w:sz w:val="24"/>
          <w:szCs w:val="24"/>
        </w:rPr>
        <w:sectPr>
          <w:pgSz w:w="16838" w:h="11906" w:orient="landscape"/>
          <w:pgMar w:top="1701" w:right="1417" w:bottom="1417" w:left="1417" w:header="709" w:footer="907" w:gutter="0"/>
          <w:pgNumType w:fmt="numberInDash"/>
          <w:cols w:space="0" w:num="1"/>
          <w:docGrid w:linePitch="315" w:charSpace="0"/>
        </w:sectPr>
      </w:pPr>
    </w:p>
    <w:p w14:paraId="7F527CFF">
      <w:pPr>
        <w:pStyle w:val="2"/>
        <w:sectPr>
          <w:pgSz w:w="11906" w:h="16838"/>
          <w:pgMar w:top="1417" w:right="1417" w:bottom="1417" w:left="1701" w:header="709" w:footer="907" w:gutter="0"/>
          <w:pgNumType w:fmt="numberInDash"/>
          <w:cols w:space="0" w:num="1"/>
          <w:docGrid w:linePitch="315" w:charSpace="0"/>
        </w:sectPr>
      </w:pPr>
    </w:p>
    <w:p w14:paraId="101566CF">
      <w:pPr>
        <w:spacing w:line="220" w:lineRule="atLeast"/>
        <w:rPr>
          <w:rFonts w:ascii="仿宋" w:hAnsi="仿宋" w:eastAsia="仿宋" w:cs="仿宋"/>
          <w:b/>
          <w:sz w:val="24"/>
          <w:szCs w:val="24"/>
        </w:rPr>
      </w:pPr>
    </w:p>
    <w:p w14:paraId="02ED652F">
      <w:pPr>
        <w:spacing w:line="220" w:lineRule="atLeast"/>
        <w:rPr>
          <w:rFonts w:ascii="仿宋" w:hAnsi="仿宋" w:eastAsia="仿宋" w:cs="仿宋"/>
          <w:b/>
          <w:sz w:val="24"/>
          <w:szCs w:val="24"/>
        </w:rPr>
      </w:pPr>
    </w:p>
    <w:p w14:paraId="31BCD799">
      <w:pPr>
        <w:spacing w:line="220" w:lineRule="atLeast"/>
        <w:rPr>
          <w:rFonts w:ascii="仿宋" w:hAnsi="仿宋" w:eastAsia="仿宋" w:cs="仿宋"/>
          <w:b/>
          <w:sz w:val="24"/>
          <w:szCs w:val="24"/>
        </w:rPr>
      </w:pPr>
    </w:p>
    <w:p w14:paraId="11A4B182">
      <w:pPr>
        <w:spacing w:line="220" w:lineRule="atLeast"/>
        <w:rPr>
          <w:rFonts w:ascii="仿宋" w:hAnsi="仿宋" w:eastAsia="仿宋" w:cs="仿宋"/>
          <w:b/>
          <w:sz w:val="24"/>
          <w:szCs w:val="24"/>
        </w:rPr>
      </w:pPr>
    </w:p>
    <w:p w14:paraId="0F1344C0">
      <w:pPr>
        <w:spacing w:line="220" w:lineRule="atLeast"/>
        <w:rPr>
          <w:rFonts w:ascii="仿宋" w:hAnsi="仿宋" w:eastAsia="仿宋" w:cs="仿宋"/>
          <w:b/>
          <w:sz w:val="24"/>
          <w:szCs w:val="24"/>
        </w:rPr>
      </w:pPr>
    </w:p>
    <w:p w14:paraId="2A15529B">
      <w:pPr>
        <w:spacing w:line="220" w:lineRule="atLeast"/>
        <w:rPr>
          <w:rFonts w:ascii="仿宋" w:hAnsi="仿宋" w:eastAsia="仿宋" w:cs="仿宋"/>
          <w:b/>
          <w:sz w:val="24"/>
          <w:szCs w:val="24"/>
        </w:rPr>
      </w:pPr>
    </w:p>
    <w:p w14:paraId="791B4261">
      <w:pPr>
        <w:spacing w:line="220" w:lineRule="atLeast"/>
        <w:rPr>
          <w:rFonts w:ascii="仿宋" w:hAnsi="仿宋" w:eastAsia="仿宋" w:cs="仿宋"/>
          <w:b/>
          <w:sz w:val="24"/>
          <w:szCs w:val="24"/>
        </w:rPr>
      </w:pPr>
    </w:p>
    <w:p w14:paraId="52047BF9">
      <w:pPr>
        <w:pStyle w:val="2"/>
      </w:pPr>
    </w:p>
    <w:p w14:paraId="636B67EC"/>
    <w:p w14:paraId="0A47B2B3">
      <w:pPr>
        <w:pStyle w:val="2"/>
      </w:pPr>
    </w:p>
    <w:p w14:paraId="08FAEF20"/>
    <w:p w14:paraId="63E225D0">
      <w:pPr>
        <w:pStyle w:val="2"/>
      </w:pPr>
    </w:p>
    <w:p w14:paraId="1CA1BBAD"/>
    <w:p w14:paraId="5B1F11C5">
      <w:pPr>
        <w:pStyle w:val="2"/>
      </w:pPr>
    </w:p>
    <w:p w14:paraId="77D36B73"/>
    <w:p w14:paraId="1DC5557E">
      <w:pPr>
        <w:pStyle w:val="2"/>
      </w:pPr>
    </w:p>
    <w:p w14:paraId="6E982405"/>
    <w:p w14:paraId="66DFA918">
      <w:pPr>
        <w:pStyle w:val="2"/>
      </w:pPr>
    </w:p>
    <w:p w14:paraId="43CF2F91"/>
    <w:p w14:paraId="2AA49B3D"/>
    <w:p w14:paraId="11371E7E">
      <w:pPr>
        <w:pStyle w:val="2"/>
      </w:pPr>
    </w:p>
    <w:p w14:paraId="58D912A0"/>
    <w:p w14:paraId="6F79C250">
      <w:pPr>
        <w:pStyle w:val="2"/>
      </w:pPr>
    </w:p>
    <w:p w14:paraId="02477FB0"/>
    <w:p w14:paraId="3536B09E"/>
    <w:p w14:paraId="7F439835">
      <w:pPr>
        <w:spacing w:line="60" w:lineRule="exact"/>
      </w:pPr>
    </w:p>
    <w:p w14:paraId="2E7A2F16">
      <w:pPr>
        <w:widowControl w:val="0"/>
        <w:pBdr>
          <w:top w:val="single" w:color="auto" w:sz="4" w:space="0"/>
        </w:pBdr>
        <w:adjustRightInd/>
        <w:snapToGrid/>
        <w:spacing w:after="0" w:line="500" w:lineRule="exact"/>
        <w:ind w:firstLine="280" w:firstLineChars="1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抄送：县委办，县人大办，县政协办，县纪委监委，县委宣传部，县</w:t>
      </w:r>
    </w:p>
    <w:p w14:paraId="32EA28E4">
      <w:pPr>
        <w:widowControl w:val="0"/>
        <w:pBdr>
          <w:top w:val="single" w:color="auto" w:sz="4" w:space="0"/>
        </w:pBdr>
        <w:adjustRightInd/>
        <w:snapToGrid/>
        <w:spacing w:after="0" w:line="500" w:lineRule="exact"/>
        <w:ind w:firstLine="1120" w:firstLineChars="400"/>
        <w:jc w:val="both"/>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总工会，团县委，县科协，县妇联，县残联。   </w:t>
      </w:r>
    </w:p>
    <w:p w14:paraId="5C6CDF18">
      <w:pPr>
        <w:pStyle w:val="2"/>
        <w:spacing w:after="0" w:line="60" w:lineRule="exact"/>
      </w:pPr>
    </w:p>
    <w:p w14:paraId="641E6DB6">
      <w:pPr>
        <w:widowControl w:val="0"/>
        <w:pBdr>
          <w:top w:val="single" w:color="auto" w:sz="4" w:space="0"/>
        </w:pBdr>
        <w:adjustRightInd/>
        <w:snapToGrid/>
        <w:spacing w:after="0" w:line="560" w:lineRule="exact"/>
        <w:jc w:val="both"/>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  眉县人民政府办公室                      2024年1月30日印发</w:t>
      </w:r>
    </w:p>
    <w:p w14:paraId="74660EB0">
      <w:pPr>
        <w:pStyle w:val="2"/>
        <w:pBdr>
          <w:bottom w:val="single" w:color="auto" w:sz="4" w:space="0"/>
        </w:pBdr>
        <w:spacing w:after="0" w:line="60" w:lineRule="exact"/>
      </w:pPr>
    </w:p>
    <w:sectPr>
      <w:pgSz w:w="11906" w:h="16838"/>
      <w:pgMar w:top="1417" w:right="1417" w:bottom="1417" w:left="1701" w:header="709" w:footer="907" w:gutter="0"/>
      <w:pgNumType w:fmt="numberInDash"/>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D81C">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E7717">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DE7717">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42CD1B">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42CD1B">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220"/>
  <w:drawingGridVerticalSpacing w:val="-7946"/>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NGQzMmUwY2Q0MTQyZjZmNzJkM2E5MzE1NzQwY2UifQ=="/>
  </w:docVars>
  <w:rsids>
    <w:rsidRoot w:val="0651319A"/>
    <w:rsid w:val="0003732C"/>
    <w:rsid w:val="005B2BB9"/>
    <w:rsid w:val="007B6EC9"/>
    <w:rsid w:val="008B67D4"/>
    <w:rsid w:val="00A123ED"/>
    <w:rsid w:val="00DB5B81"/>
    <w:rsid w:val="00EC2B46"/>
    <w:rsid w:val="023D2340"/>
    <w:rsid w:val="02CD7F31"/>
    <w:rsid w:val="02F74ED2"/>
    <w:rsid w:val="030A027C"/>
    <w:rsid w:val="03580D1D"/>
    <w:rsid w:val="03776204"/>
    <w:rsid w:val="03C9092D"/>
    <w:rsid w:val="03F139E0"/>
    <w:rsid w:val="045974CE"/>
    <w:rsid w:val="054144F3"/>
    <w:rsid w:val="05D2767B"/>
    <w:rsid w:val="05D60361"/>
    <w:rsid w:val="05FD6150"/>
    <w:rsid w:val="0651319A"/>
    <w:rsid w:val="069377A6"/>
    <w:rsid w:val="07392313"/>
    <w:rsid w:val="0765096C"/>
    <w:rsid w:val="079552E3"/>
    <w:rsid w:val="08027F60"/>
    <w:rsid w:val="08717F7D"/>
    <w:rsid w:val="08964B56"/>
    <w:rsid w:val="09373142"/>
    <w:rsid w:val="096A6B7D"/>
    <w:rsid w:val="09734141"/>
    <w:rsid w:val="09A72E3C"/>
    <w:rsid w:val="09E244F6"/>
    <w:rsid w:val="0A0B44D8"/>
    <w:rsid w:val="0A500705"/>
    <w:rsid w:val="0A96547F"/>
    <w:rsid w:val="0AA479FE"/>
    <w:rsid w:val="0AF72B25"/>
    <w:rsid w:val="0B48482D"/>
    <w:rsid w:val="0B752DE8"/>
    <w:rsid w:val="0BA47589"/>
    <w:rsid w:val="0BF83A12"/>
    <w:rsid w:val="0C1C35C4"/>
    <w:rsid w:val="0C250319"/>
    <w:rsid w:val="0CB36A94"/>
    <w:rsid w:val="0CC163E7"/>
    <w:rsid w:val="0D415CEC"/>
    <w:rsid w:val="0DBE7793"/>
    <w:rsid w:val="0E803731"/>
    <w:rsid w:val="0EF024FE"/>
    <w:rsid w:val="0F890F70"/>
    <w:rsid w:val="0FD24606"/>
    <w:rsid w:val="10B136C4"/>
    <w:rsid w:val="1175312F"/>
    <w:rsid w:val="119268BE"/>
    <w:rsid w:val="11AE0F2F"/>
    <w:rsid w:val="11AE762E"/>
    <w:rsid w:val="123450DF"/>
    <w:rsid w:val="12B24643"/>
    <w:rsid w:val="13054DB2"/>
    <w:rsid w:val="13410600"/>
    <w:rsid w:val="136A276F"/>
    <w:rsid w:val="13CA1B57"/>
    <w:rsid w:val="140E7C96"/>
    <w:rsid w:val="145853B5"/>
    <w:rsid w:val="148D505F"/>
    <w:rsid w:val="14C52004"/>
    <w:rsid w:val="15525368"/>
    <w:rsid w:val="15C247D9"/>
    <w:rsid w:val="15E009CA"/>
    <w:rsid w:val="15E55E13"/>
    <w:rsid w:val="162C7EE0"/>
    <w:rsid w:val="16816DD7"/>
    <w:rsid w:val="16A926CA"/>
    <w:rsid w:val="16DC73F7"/>
    <w:rsid w:val="16FA6BD4"/>
    <w:rsid w:val="170D0E14"/>
    <w:rsid w:val="17506740"/>
    <w:rsid w:val="17914E66"/>
    <w:rsid w:val="180E295A"/>
    <w:rsid w:val="18115E7D"/>
    <w:rsid w:val="185834AB"/>
    <w:rsid w:val="18813540"/>
    <w:rsid w:val="18F7519C"/>
    <w:rsid w:val="19532DBE"/>
    <w:rsid w:val="19E338C6"/>
    <w:rsid w:val="1AC63078"/>
    <w:rsid w:val="1B0C521C"/>
    <w:rsid w:val="1B2B082A"/>
    <w:rsid w:val="1C1E6EE4"/>
    <w:rsid w:val="1D1F1166"/>
    <w:rsid w:val="1D3073A2"/>
    <w:rsid w:val="1D3913B3"/>
    <w:rsid w:val="1D5C0B93"/>
    <w:rsid w:val="1D807E56"/>
    <w:rsid w:val="1DAB47A7"/>
    <w:rsid w:val="1DD737EE"/>
    <w:rsid w:val="1DDB3E89"/>
    <w:rsid w:val="1E276524"/>
    <w:rsid w:val="1E341299"/>
    <w:rsid w:val="1EE16EAF"/>
    <w:rsid w:val="1EE863A0"/>
    <w:rsid w:val="1F3A6678"/>
    <w:rsid w:val="1F4D3D68"/>
    <w:rsid w:val="1F7166FA"/>
    <w:rsid w:val="200E789E"/>
    <w:rsid w:val="201C439D"/>
    <w:rsid w:val="20281D1D"/>
    <w:rsid w:val="208A2D9A"/>
    <w:rsid w:val="215E2202"/>
    <w:rsid w:val="21F575A1"/>
    <w:rsid w:val="22FD1499"/>
    <w:rsid w:val="2346143F"/>
    <w:rsid w:val="236100AC"/>
    <w:rsid w:val="23791DA0"/>
    <w:rsid w:val="23FE3883"/>
    <w:rsid w:val="24B6761D"/>
    <w:rsid w:val="258F4E6B"/>
    <w:rsid w:val="25A74480"/>
    <w:rsid w:val="261E1681"/>
    <w:rsid w:val="26D35251"/>
    <w:rsid w:val="270716BD"/>
    <w:rsid w:val="27D01396"/>
    <w:rsid w:val="27DD6BCA"/>
    <w:rsid w:val="281A4A03"/>
    <w:rsid w:val="28A856BF"/>
    <w:rsid w:val="28BD058B"/>
    <w:rsid w:val="296D5007"/>
    <w:rsid w:val="297D6AB3"/>
    <w:rsid w:val="299824CF"/>
    <w:rsid w:val="29D93055"/>
    <w:rsid w:val="2A952A67"/>
    <w:rsid w:val="2ABB1AA3"/>
    <w:rsid w:val="2B757D04"/>
    <w:rsid w:val="2C101344"/>
    <w:rsid w:val="2C385F05"/>
    <w:rsid w:val="2C3D6F12"/>
    <w:rsid w:val="2C7B1D25"/>
    <w:rsid w:val="2C842D93"/>
    <w:rsid w:val="2C857833"/>
    <w:rsid w:val="2CFA4E04"/>
    <w:rsid w:val="2D745F65"/>
    <w:rsid w:val="2DA90D03"/>
    <w:rsid w:val="2E9759B4"/>
    <w:rsid w:val="2F0A7DF7"/>
    <w:rsid w:val="2F5966F9"/>
    <w:rsid w:val="30034594"/>
    <w:rsid w:val="302600BA"/>
    <w:rsid w:val="30B1397D"/>
    <w:rsid w:val="313C67FA"/>
    <w:rsid w:val="313D0621"/>
    <w:rsid w:val="31633CD7"/>
    <w:rsid w:val="31665203"/>
    <w:rsid w:val="32F77851"/>
    <w:rsid w:val="33937A31"/>
    <w:rsid w:val="33947D70"/>
    <w:rsid w:val="339E4A9C"/>
    <w:rsid w:val="34A1781A"/>
    <w:rsid w:val="34F13EED"/>
    <w:rsid w:val="35505487"/>
    <w:rsid w:val="35584DBD"/>
    <w:rsid w:val="359C169E"/>
    <w:rsid w:val="35AD7627"/>
    <w:rsid w:val="360769F0"/>
    <w:rsid w:val="36432875"/>
    <w:rsid w:val="37783789"/>
    <w:rsid w:val="37B00EE0"/>
    <w:rsid w:val="385941AF"/>
    <w:rsid w:val="38C31480"/>
    <w:rsid w:val="39004805"/>
    <w:rsid w:val="393A4E8A"/>
    <w:rsid w:val="398C4829"/>
    <w:rsid w:val="39EF71D4"/>
    <w:rsid w:val="3A0D3E86"/>
    <w:rsid w:val="3A3758E9"/>
    <w:rsid w:val="3A49026A"/>
    <w:rsid w:val="3AEF3068"/>
    <w:rsid w:val="3AFE6F49"/>
    <w:rsid w:val="3B9A1C8B"/>
    <w:rsid w:val="3BF770CE"/>
    <w:rsid w:val="3C335C3C"/>
    <w:rsid w:val="3C636521"/>
    <w:rsid w:val="3CB254D4"/>
    <w:rsid w:val="3CC87038"/>
    <w:rsid w:val="3D084BFA"/>
    <w:rsid w:val="3D60245C"/>
    <w:rsid w:val="3D683D5C"/>
    <w:rsid w:val="3D712EC0"/>
    <w:rsid w:val="3DDF7450"/>
    <w:rsid w:val="3EFC7CA9"/>
    <w:rsid w:val="40622392"/>
    <w:rsid w:val="407D23AC"/>
    <w:rsid w:val="40C559FD"/>
    <w:rsid w:val="41466299"/>
    <w:rsid w:val="41A53FD8"/>
    <w:rsid w:val="41C54322"/>
    <w:rsid w:val="41DA12FA"/>
    <w:rsid w:val="42422989"/>
    <w:rsid w:val="4242307D"/>
    <w:rsid w:val="426B25D4"/>
    <w:rsid w:val="42CE3645"/>
    <w:rsid w:val="42EF7B9C"/>
    <w:rsid w:val="437A483E"/>
    <w:rsid w:val="438C029D"/>
    <w:rsid w:val="44591477"/>
    <w:rsid w:val="446C2633"/>
    <w:rsid w:val="448E5239"/>
    <w:rsid w:val="44923985"/>
    <w:rsid w:val="44D15A1D"/>
    <w:rsid w:val="44E26451"/>
    <w:rsid w:val="44EC1DC1"/>
    <w:rsid w:val="45287A02"/>
    <w:rsid w:val="45976808"/>
    <w:rsid w:val="46597552"/>
    <w:rsid w:val="476E343F"/>
    <w:rsid w:val="477947D7"/>
    <w:rsid w:val="47973EFD"/>
    <w:rsid w:val="48072DCC"/>
    <w:rsid w:val="48872BF4"/>
    <w:rsid w:val="48895FCE"/>
    <w:rsid w:val="48C76A84"/>
    <w:rsid w:val="49655193"/>
    <w:rsid w:val="49C3357A"/>
    <w:rsid w:val="49DF517B"/>
    <w:rsid w:val="49FC5DE1"/>
    <w:rsid w:val="4A1C2405"/>
    <w:rsid w:val="4AA96916"/>
    <w:rsid w:val="4AAA17BF"/>
    <w:rsid w:val="4AB14962"/>
    <w:rsid w:val="4B650304"/>
    <w:rsid w:val="4B871B00"/>
    <w:rsid w:val="4C523EBC"/>
    <w:rsid w:val="4CB6269D"/>
    <w:rsid w:val="4CDB48AA"/>
    <w:rsid w:val="4CE92A73"/>
    <w:rsid w:val="4D52234C"/>
    <w:rsid w:val="4DA07ED8"/>
    <w:rsid w:val="4DDB7E79"/>
    <w:rsid w:val="4E8F5FDC"/>
    <w:rsid w:val="4EDA40EC"/>
    <w:rsid w:val="4F6C798B"/>
    <w:rsid w:val="4FA7190A"/>
    <w:rsid w:val="4FBF5195"/>
    <w:rsid w:val="4FCE41A2"/>
    <w:rsid w:val="4FCF176C"/>
    <w:rsid w:val="4FDC68BF"/>
    <w:rsid w:val="4FFD7808"/>
    <w:rsid w:val="502A5717"/>
    <w:rsid w:val="50342624"/>
    <w:rsid w:val="5079502B"/>
    <w:rsid w:val="50A373DC"/>
    <w:rsid w:val="50EC00E3"/>
    <w:rsid w:val="519A6399"/>
    <w:rsid w:val="51AA5359"/>
    <w:rsid w:val="52242BA1"/>
    <w:rsid w:val="527032EE"/>
    <w:rsid w:val="528C2B45"/>
    <w:rsid w:val="52F76825"/>
    <w:rsid w:val="53DF0DAF"/>
    <w:rsid w:val="540E2DBF"/>
    <w:rsid w:val="54436DD4"/>
    <w:rsid w:val="557A3D34"/>
    <w:rsid w:val="558D118A"/>
    <w:rsid w:val="55DF6961"/>
    <w:rsid w:val="560872C6"/>
    <w:rsid w:val="567D7B45"/>
    <w:rsid w:val="569539AF"/>
    <w:rsid w:val="56F83F68"/>
    <w:rsid w:val="584D65AC"/>
    <w:rsid w:val="586C4558"/>
    <w:rsid w:val="594A4899"/>
    <w:rsid w:val="59B43FCD"/>
    <w:rsid w:val="59D35B1C"/>
    <w:rsid w:val="5A0C1B4F"/>
    <w:rsid w:val="5A2C5D6D"/>
    <w:rsid w:val="5ACE4E7E"/>
    <w:rsid w:val="5AE361A1"/>
    <w:rsid w:val="5B773940"/>
    <w:rsid w:val="5B8816A9"/>
    <w:rsid w:val="5C9C6700"/>
    <w:rsid w:val="5CBA1507"/>
    <w:rsid w:val="5CCF4CA9"/>
    <w:rsid w:val="5D517622"/>
    <w:rsid w:val="5DC712A0"/>
    <w:rsid w:val="5DCB29AC"/>
    <w:rsid w:val="5DF2572A"/>
    <w:rsid w:val="5E0B7FB9"/>
    <w:rsid w:val="5E396FBB"/>
    <w:rsid w:val="5FC50B3F"/>
    <w:rsid w:val="5FDA403D"/>
    <w:rsid w:val="602F3240"/>
    <w:rsid w:val="610A7F94"/>
    <w:rsid w:val="61122EDB"/>
    <w:rsid w:val="615734FE"/>
    <w:rsid w:val="61BD3385"/>
    <w:rsid w:val="61DB4776"/>
    <w:rsid w:val="6244444C"/>
    <w:rsid w:val="62A50892"/>
    <w:rsid w:val="62B2507E"/>
    <w:rsid w:val="62DC5115"/>
    <w:rsid w:val="631A4FCC"/>
    <w:rsid w:val="63396E04"/>
    <w:rsid w:val="634377E4"/>
    <w:rsid w:val="636E2CC1"/>
    <w:rsid w:val="636F2C1D"/>
    <w:rsid w:val="63706EB5"/>
    <w:rsid w:val="639B14F1"/>
    <w:rsid w:val="63C62B9A"/>
    <w:rsid w:val="640636C9"/>
    <w:rsid w:val="64534196"/>
    <w:rsid w:val="648A46E4"/>
    <w:rsid w:val="64B612B1"/>
    <w:rsid w:val="64EA1116"/>
    <w:rsid w:val="65614A64"/>
    <w:rsid w:val="65BA3E5A"/>
    <w:rsid w:val="65DD6A95"/>
    <w:rsid w:val="66C23CA0"/>
    <w:rsid w:val="672863FB"/>
    <w:rsid w:val="67915D89"/>
    <w:rsid w:val="679368FC"/>
    <w:rsid w:val="67B70DE6"/>
    <w:rsid w:val="680B02A7"/>
    <w:rsid w:val="680F1DE0"/>
    <w:rsid w:val="6853337F"/>
    <w:rsid w:val="689B0928"/>
    <w:rsid w:val="68D144B9"/>
    <w:rsid w:val="69252C2D"/>
    <w:rsid w:val="693052F5"/>
    <w:rsid w:val="693829AB"/>
    <w:rsid w:val="696C35AC"/>
    <w:rsid w:val="69AB3E1D"/>
    <w:rsid w:val="6A231FA8"/>
    <w:rsid w:val="6A2627B9"/>
    <w:rsid w:val="6AC67AF8"/>
    <w:rsid w:val="6B817247"/>
    <w:rsid w:val="6C0B1ECE"/>
    <w:rsid w:val="6CA30C53"/>
    <w:rsid w:val="6D2D20B0"/>
    <w:rsid w:val="6E254E9D"/>
    <w:rsid w:val="6E3000AA"/>
    <w:rsid w:val="6F511DEA"/>
    <w:rsid w:val="6FDA663E"/>
    <w:rsid w:val="7061537A"/>
    <w:rsid w:val="706202C3"/>
    <w:rsid w:val="706C581E"/>
    <w:rsid w:val="70A1335C"/>
    <w:rsid w:val="70CE53DA"/>
    <w:rsid w:val="70DF1B33"/>
    <w:rsid w:val="71B35417"/>
    <w:rsid w:val="72592EBE"/>
    <w:rsid w:val="72DB435C"/>
    <w:rsid w:val="72E51E04"/>
    <w:rsid w:val="73005FA5"/>
    <w:rsid w:val="739509AF"/>
    <w:rsid w:val="74243ACE"/>
    <w:rsid w:val="74876E78"/>
    <w:rsid w:val="74CE4926"/>
    <w:rsid w:val="74F1432C"/>
    <w:rsid w:val="750000AA"/>
    <w:rsid w:val="756D1C2A"/>
    <w:rsid w:val="75C763F3"/>
    <w:rsid w:val="7650147A"/>
    <w:rsid w:val="76550DFC"/>
    <w:rsid w:val="768118E9"/>
    <w:rsid w:val="76815B81"/>
    <w:rsid w:val="77B000C5"/>
    <w:rsid w:val="77C23AA5"/>
    <w:rsid w:val="78401773"/>
    <w:rsid w:val="79C532D9"/>
    <w:rsid w:val="79E04A68"/>
    <w:rsid w:val="7A5A5A59"/>
    <w:rsid w:val="7AA967AC"/>
    <w:rsid w:val="7ABF0675"/>
    <w:rsid w:val="7B045ED3"/>
    <w:rsid w:val="7B561462"/>
    <w:rsid w:val="7B917B5A"/>
    <w:rsid w:val="7C0D1A2A"/>
    <w:rsid w:val="7C2C5E06"/>
    <w:rsid w:val="7CC540B3"/>
    <w:rsid w:val="7D951CD7"/>
    <w:rsid w:val="7DCA1DA6"/>
    <w:rsid w:val="7DD662DA"/>
    <w:rsid w:val="7DD853E0"/>
    <w:rsid w:val="7EA06B86"/>
    <w:rsid w:val="7EE657D2"/>
    <w:rsid w:val="7F1172E6"/>
    <w:rsid w:val="7F3745C0"/>
    <w:rsid w:val="7F3F6648"/>
    <w:rsid w:val="7F674059"/>
    <w:rsid w:val="7FE7364F"/>
    <w:rsid w:val="DFBFC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3">
    <w:name w:val="footer"/>
    <w:basedOn w:val="1"/>
    <w:unhideWhenUsed/>
    <w:qFormat/>
    <w:uiPriority w:val="0"/>
    <w:pPr>
      <w:tabs>
        <w:tab w:val="center" w:pos="4153"/>
        <w:tab w:val="right" w:pos="8306"/>
      </w:tabs>
    </w:pPr>
    <w:rPr>
      <w:sz w:val="18"/>
    </w:rPr>
  </w:style>
  <w:style w:type="paragraph" w:styleId="4">
    <w:name w:val="Normal (Web)"/>
    <w:basedOn w:val="1"/>
    <w:qFormat/>
    <w:uiPriority w:val="0"/>
    <w:pPr>
      <w:spacing w:beforeAutospacing="1" w:after="0" w:afterAutospacing="1"/>
    </w:pPr>
    <w:rPr>
      <w:rFonts w:cs="Times New Roman"/>
      <w:sz w:val="24"/>
    </w:rPr>
  </w:style>
  <w:style w:type="character" w:customStyle="1" w:styleId="7">
    <w:name w:val="font11"/>
    <w:basedOn w:val="6"/>
    <w:autoRedefine/>
    <w:qFormat/>
    <w:uiPriority w:val="0"/>
    <w:rPr>
      <w:rFonts w:hint="eastAsia" w:ascii="仿宋" w:hAnsi="仿宋" w:eastAsia="仿宋" w:cs="仿宋"/>
      <w:b/>
      <w:color w:val="3366FF"/>
      <w:sz w:val="24"/>
      <w:szCs w:val="24"/>
      <w:u w:val="none"/>
    </w:rPr>
  </w:style>
  <w:style w:type="paragraph" w:customStyle="1" w:styleId="8">
    <w:name w:val="NormalIndent"/>
    <w:basedOn w:val="1"/>
    <w:autoRedefine/>
    <w:qFormat/>
    <w:uiPriority w:val="0"/>
    <w:pPr>
      <w:ind w:firstLine="420" w:firstLineChars="200"/>
      <w:textAlignment w:val="baseline"/>
    </w:pPr>
  </w:style>
  <w:style w:type="paragraph" w:customStyle="1" w:styleId="9">
    <w:name w:val="正文首缩两字 Char"/>
    <w:basedOn w:val="1"/>
    <w:autoRedefine/>
    <w:qFormat/>
    <w:uiPriority w:val="99"/>
    <w:rPr>
      <w:rFonts w:ascii="Verdana" w:hAnsi="Verdana"/>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9677</Words>
  <Characters>9960</Characters>
  <Lines>130</Lines>
  <Paragraphs>36</Paragraphs>
  <TotalTime>3</TotalTime>
  <ScaleCrop>false</ScaleCrop>
  <LinksUpToDate>false</LinksUpToDate>
  <CharactersWithSpaces>10744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2024-02-29T08:23:00Z</dcterms:created>
  <dc:creator>教育印务</dc:creator>
  <cp:lastModifiedBy>原原~~豆豆</cp:lastModifiedBy>
  <cp:lastPrinted>2024-01-31T13:20:00Z</cp:lastPrinted>
  <dcterms:modified xsi:type="dcterms:W3CDTF">2025-05-09T06:54:36Z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13E96B65D6F64B7E93510E94D16B4AAF_13</vt:lpwstr>
  </property>
  <property fmtid="{D5CDD505-2E9C-101B-9397-08002B2CF9AE}" pid="4" name="KSOTemplateDocerSaveRecord">
    <vt:lpwstr>eyJoZGlkIjoiOGQ2ZGQyZWY5MTY3MzE4YmMzYzBkYzA4NDFjM2UyZWIiLCJ1c2VySWQiOiI0NTM1NjEyMTQifQ==</vt:lpwstr>
  </property>
</Properties>
</file>