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7189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2EB3960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302747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698894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789DA04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518BB5C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18812CA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692AA2EC">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5AFAA5E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baseline"/>
        <w:outlineLvl w:val="9"/>
        <w:rPr>
          <w:rFonts w:hint="eastAsia"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眉</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号</w:t>
      </w:r>
    </w:p>
    <w:bookmarkEnd w:id="0"/>
    <w:p w14:paraId="60EC278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sz w:val="44"/>
          <w:szCs w:val="44"/>
        </w:rPr>
      </w:pPr>
    </w:p>
    <w:p w14:paraId="18941CD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snapToGrid/>
          <w:spacing w:val="0"/>
          <w:w w:val="100"/>
          <w:kern w:val="21"/>
          <w:sz w:val="44"/>
          <w:szCs w:val="44"/>
          <w:lang w:val="en-US" w:eastAsia="zh-CN"/>
        </w:rPr>
      </w:pPr>
      <w:r>
        <w:rPr>
          <w:rFonts w:hint="eastAsia" w:ascii="方正小标宋简体" w:hAnsi="方正小标宋简体" w:eastAsia="方正小标宋简体" w:cs="方正小标宋简体"/>
          <w:snapToGrid/>
          <w:spacing w:val="0"/>
          <w:w w:val="100"/>
          <w:kern w:val="21"/>
          <w:sz w:val="44"/>
          <w:szCs w:val="44"/>
          <w:lang w:val="en-US" w:eastAsia="zh-CN"/>
        </w:rPr>
        <w:t>眉县人民政府办公室</w:t>
      </w:r>
    </w:p>
    <w:p w14:paraId="78E1CF5B">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snapToGrid/>
          <w:spacing w:val="0"/>
          <w:w w:val="100"/>
          <w:kern w:val="21"/>
          <w:sz w:val="44"/>
          <w:szCs w:val="44"/>
          <w:lang w:val="en-US" w:eastAsia="zh-CN"/>
        </w:rPr>
      </w:pPr>
      <w:r>
        <w:rPr>
          <w:rFonts w:hint="eastAsia" w:ascii="方正小标宋简体" w:hAnsi="方正小标宋简体" w:eastAsia="方正小标宋简体" w:cs="方正小标宋简体"/>
          <w:snapToGrid/>
          <w:spacing w:val="0"/>
          <w:w w:val="100"/>
          <w:kern w:val="21"/>
          <w:sz w:val="44"/>
          <w:szCs w:val="44"/>
          <w:lang w:val="en-US" w:eastAsia="zh-CN"/>
        </w:rPr>
        <w:t>关于印发《眉县</w:t>
      </w:r>
      <w:r>
        <w:rPr>
          <w:rFonts w:hint="eastAsia" w:ascii="方正小标宋简体" w:hAnsi="方正小标宋简体" w:eastAsia="方正小标宋简体" w:cs="方正小标宋简体"/>
          <w:snapToGrid/>
          <w:spacing w:val="0"/>
          <w:w w:val="100"/>
          <w:kern w:val="21"/>
          <w:sz w:val="44"/>
          <w:szCs w:val="44"/>
        </w:rPr>
        <w:t>打造“宝您满意·眉好政务</w:t>
      </w:r>
      <w:r>
        <w:rPr>
          <w:rFonts w:hint="eastAsia" w:ascii="方正小标宋简体" w:hAnsi="方正小标宋简体" w:eastAsia="方正小标宋简体" w:cs="方正小标宋简体"/>
          <w:snapToGrid/>
          <w:spacing w:val="0"/>
          <w:w w:val="100"/>
          <w:kern w:val="21"/>
          <w:sz w:val="44"/>
          <w:szCs w:val="44"/>
          <w:lang w:eastAsia="zh-CN"/>
        </w:rPr>
        <w:t>”</w:t>
      </w:r>
      <w:r>
        <w:rPr>
          <w:rFonts w:hint="eastAsia" w:ascii="方正小标宋简体" w:hAnsi="方正小标宋简体" w:eastAsia="方正小标宋简体" w:cs="方正小标宋简体"/>
          <w:snapToGrid/>
          <w:spacing w:val="0"/>
          <w:w w:val="100"/>
          <w:kern w:val="21"/>
          <w:sz w:val="44"/>
          <w:szCs w:val="44"/>
        </w:rPr>
        <w:t>服务品牌</w:t>
      </w:r>
      <w:r>
        <w:rPr>
          <w:rFonts w:hint="eastAsia" w:ascii="方正小标宋简体" w:hAnsi="方正小标宋简体" w:eastAsia="方正小标宋简体" w:cs="方正小标宋简体"/>
          <w:snapToGrid/>
          <w:spacing w:val="0"/>
          <w:w w:val="100"/>
          <w:kern w:val="21"/>
          <w:sz w:val="44"/>
          <w:szCs w:val="44"/>
          <w:lang w:val="en-US" w:eastAsia="zh-CN"/>
        </w:rPr>
        <w:t>建设</w:t>
      </w:r>
      <w:r>
        <w:rPr>
          <w:rFonts w:hint="eastAsia" w:ascii="方正小标宋简体" w:hAnsi="方正小标宋简体" w:eastAsia="方正小标宋简体" w:cs="方正小标宋简体"/>
          <w:snapToGrid/>
          <w:spacing w:val="0"/>
          <w:w w:val="100"/>
          <w:kern w:val="21"/>
          <w:sz w:val="44"/>
          <w:szCs w:val="44"/>
        </w:rPr>
        <w:t>实施方案</w:t>
      </w:r>
      <w:r>
        <w:rPr>
          <w:rFonts w:hint="eastAsia" w:ascii="方正小标宋简体" w:hAnsi="方正小标宋简体" w:eastAsia="方正小标宋简体" w:cs="方正小标宋简体"/>
          <w:snapToGrid/>
          <w:spacing w:val="0"/>
          <w:w w:val="100"/>
          <w:kern w:val="21"/>
          <w:sz w:val="44"/>
          <w:szCs w:val="44"/>
          <w:lang w:val="en-US" w:eastAsia="zh-CN"/>
        </w:rPr>
        <w:t>》</w:t>
      </w:r>
      <w:r>
        <w:rPr>
          <w:rFonts w:hint="eastAsia" w:ascii="方正小标宋简体" w:hAnsi="方正小标宋简体" w:eastAsia="方正小标宋简体" w:cs="方正小标宋简体"/>
          <w:snapToGrid/>
          <w:spacing w:val="0"/>
          <w:w w:val="100"/>
          <w:kern w:val="21"/>
          <w:sz w:val="44"/>
          <w:szCs w:val="44"/>
        </w:rPr>
        <w:t>的</w:t>
      </w:r>
      <w:r>
        <w:rPr>
          <w:rFonts w:hint="eastAsia" w:ascii="方正小标宋简体" w:hAnsi="方正小标宋简体" w:eastAsia="方正小标宋简体" w:cs="方正小标宋简体"/>
          <w:snapToGrid/>
          <w:spacing w:val="0"/>
          <w:w w:val="100"/>
          <w:kern w:val="21"/>
          <w:sz w:val="44"/>
          <w:szCs w:val="44"/>
          <w:lang w:val="en-US" w:eastAsia="zh-CN"/>
        </w:rPr>
        <w:t>通知</w:t>
      </w:r>
    </w:p>
    <w:p w14:paraId="39EA8C8B">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napToGrid/>
          <w:spacing w:val="0"/>
          <w:w w:val="100"/>
          <w:kern w:val="21"/>
          <w:sz w:val="44"/>
          <w:szCs w:val="44"/>
        </w:rPr>
      </w:pPr>
    </w:p>
    <w:p w14:paraId="3447B2B6">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napToGrid/>
          <w:spacing w:val="0"/>
          <w:w w:val="100"/>
          <w:kern w:val="21"/>
          <w:sz w:val="32"/>
          <w:szCs w:val="32"/>
        </w:rPr>
      </w:pPr>
      <w:r>
        <w:rPr>
          <w:rFonts w:hint="eastAsia" w:ascii="仿宋_GB2312" w:hAnsi="华文仿宋" w:eastAsia="仿宋_GB2312" w:cs="华文仿宋"/>
          <w:snapToGrid/>
          <w:color w:val="000000"/>
          <w:spacing w:val="0"/>
          <w:w w:val="100"/>
          <w:kern w:val="21"/>
          <w:sz w:val="32"/>
          <w:szCs w:val="32"/>
        </w:rPr>
        <w:t>各镇人民政府、街道办事处，县政府各</w:t>
      </w:r>
      <w:r>
        <w:rPr>
          <w:rFonts w:hint="eastAsia" w:ascii="仿宋_GB2312" w:hAnsi="华文仿宋" w:eastAsia="仿宋_GB2312" w:cs="华文仿宋"/>
          <w:snapToGrid/>
          <w:color w:val="000000"/>
          <w:spacing w:val="0"/>
          <w:w w:val="100"/>
          <w:kern w:val="21"/>
          <w:sz w:val="32"/>
          <w:szCs w:val="32"/>
          <w:lang w:eastAsia="zh-CN"/>
        </w:rPr>
        <w:t>有关</w:t>
      </w:r>
      <w:r>
        <w:rPr>
          <w:rFonts w:hint="eastAsia" w:ascii="仿宋_GB2312" w:hAnsi="华文仿宋" w:eastAsia="仿宋_GB2312" w:cs="华文仿宋"/>
          <w:snapToGrid/>
          <w:color w:val="000000"/>
          <w:spacing w:val="0"/>
          <w:w w:val="100"/>
          <w:kern w:val="21"/>
          <w:sz w:val="32"/>
          <w:szCs w:val="32"/>
        </w:rPr>
        <w:t>部门：</w:t>
      </w:r>
    </w:p>
    <w:p w14:paraId="0FAAA3E5">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snapToGrid/>
          <w:spacing w:val="0"/>
          <w:w w:val="100"/>
          <w:kern w:val="21"/>
          <w:sz w:val="32"/>
          <w:szCs w:val="32"/>
          <w:lang w:val="en-US" w:eastAsia="zh-CN"/>
        </w:rPr>
        <w:t>现将《眉县打造“宝您满意·眉好政务”服务品牌建设实施方案》印发给你们，请结合实际，认真抓好贯彻落实。</w:t>
      </w:r>
    </w:p>
    <w:p w14:paraId="6B49724F">
      <w:pPr>
        <w:pStyle w:val="8"/>
        <w:keepNext w:val="0"/>
        <w:keepLines w:val="0"/>
        <w:pageBreakBefore w:val="0"/>
        <w:widowControl w:val="0"/>
        <w:kinsoku/>
        <w:wordWrap/>
        <w:overflowPunct/>
        <w:topLinePunct w:val="0"/>
        <w:autoSpaceDE/>
        <w:autoSpaceDN/>
        <w:bidi w:val="0"/>
        <w:spacing w:after="0" w:line="540" w:lineRule="exact"/>
        <w:ind w:left="0" w:leftChars="0"/>
        <w:textAlignment w:val="auto"/>
        <w:outlineLvl w:val="9"/>
        <w:rPr>
          <w:rFonts w:hint="eastAsia" w:ascii="仿宋_GB2312" w:eastAsia="仿宋_GB2312"/>
          <w:snapToGrid/>
          <w:color w:val="000000"/>
          <w:spacing w:val="0"/>
          <w:w w:val="100"/>
          <w:kern w:val="21"/>
        </w:rPr>
      </w:pPr>
    </w:p>
    <w:p w14:paraId="4C5FD5CF">
      <w:pPr>
        <w:keepNext w:val="0"/>
        <w:keepLines w:val="0"/>
        <w:pageBreakBefore w:val="0"/>
        <w:kinsoku/>
        <w:wordWrap/>
        <w:overflowPunct/>
        <w:topLinePunct w:val="0"/>
        <w:autoSpaceDE/>
        <w:autoSpaceDN/>
        <w:bidi w:val="0"/>
        <w:spacing w:line="540" w:lineRule="exact"/>
        <w:rPr>
          <w:rFonts w:hint="eastAsia"/>
          <w:snapToGrid/>
          <w:spacing w:val="0"/>
          <w:w w:val="100"/>
          <w:kern w:val="21"/>
        </w:rPr>
      </w:pPr>
    </w:p>
    <w:p w14:paraId="560B1ADE">
      <w:pPr>
        <w:keepNext w:val="0"/>
        <w:keepLines w:val="0"/>
        <w:pageBreakBefore w:val="0"/>
        <w:kinsoku/>
        <w:wordWrap/>
        <w:overflowPunct/>
        <w:topLinePunct w:val="0"/>
        <w:autoSpaceDE/>
        <w:autoSpaceDN/>
        <w:bidi w:val="0"/>
        <w:spacing w:line="540" w:lineRule="exact"/>
        <w:rPr>
          <w:rFonts w:hint="eastAsia"/>
          <w:snapToGrid/>
          <w:spacing w:val="0"/>
          <w:w w:val="100"/>
          <w:kern w:val="21"/>
        </w:rPr>
      </w:pPr>
    </w:p>
    <w:p w14:paraId="034EDC47">
      <w:pPr>
        <w:keepNext w:val="0"/>
        <w:keepLines w:val="0"/>
        <w:pageBreakBefore w:val="0"/>
        <w:widowControl w:val="0"/>
        <w:tabs>
          <w:tab w:val="left" w:pos="7380"/>
        </w:tabs>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eastAsia" w:ascii="仿宋_GB2312" w:hAnsi="华文仿宋" w:eastAsia="仿宋_GB2312" w:cs="华文仿宋"/>
          <w:snapToGrid/>
          <w:color w:val="000000"/>
          <w:spacing w:val="0"/>
          <w:w w:val="100"/>
          <w:kern w:val="21"/>
          <w:sz w:val="32"/>
          <w:szCs w:val="32"/>
        </w:rPr>
      </w:pPr>
      <w:r>
        <w:rPr>
          <w:rFonts w:hint="eastAsia" w:ascii="仿宋_GB2312" w:hAnsi="华文仿宋" w:eastAsia="仿宋_GB2312" w:cs="华文仿宋"/>
          <w:snapToGrid/>
          <w:color w:val="000000"/>
          <w:spacing w:val="0"/>
          <w:w w:val="100"/>
          <w:kern w:val="21"/>
          <w:sz w:val="32"/>
          <w:szCs w:val="32"/>
          <w:lang w:val="en-US" w:eastAsia="zh-CN"/>
        </w:rPr>
        <w:t xml:space="preserve">                       眉县</w:t>
      </w:r>
      <w:r>
        <w:rPr>
          <w:rFonts w:hint="eastAsia" w:ascii="仿宋_GB2312" w:hAnsi="华文仿宋" w:eastAsia="仿宋_GB2312" w:cs="华文仿宋"/>
          <w:snapToGrid/>
          <w:color w:val="000000"/>
          <w:spacing w:val="0"/>
          <w:w w:val="100"/>
          <w:kern w:val="21"/>
          <w:sz w:val="32"/>
          <w:szCs w:val="32"/>
        </w:rPr>
        <w:t>人民政府办公室</w:t>
      </w:r>
    </w:p>
    <w:p w14:paraId="76990131">
      <w:pPr>
        <w:keepNext w:val="0"/>
        <w:keepLines w:val="0"/>
        <w:pageBreakBefore w:val="0"/>
        <w:widowControl w:val="0"/>
        <w:tabs>
          <w:tab w:val="left" w:pos="7380"/>
        </w:tabs>
        <w:kinsoku/>
        <w:wordWrap/>
        <w:overflowPunct/>
        <w:topLinePunct w:val="0"/>
        <w:autoSpaceDE/>
        <w:autoSpaceDN/>
        <w:bidi w:val="0"/>
        <w:adjustRightInd w:val="0"/>
        <w:snapToGrid w:val="0"/>
        <w:spacing w:line="540" w:lineRule="exact"/>
        <w:ind w:left="0" w:leftChars="0" w:firstLine="640" w:firstLineChars="200"/>
        <w:textAlignment w:val="auto"/>
        <w:outlineLvl w:val="9"/>
        <w:rPr>
          <w:rFonts w:hint="eastAsia" w:ascii="仿宋_GB2312" w:hAnsi="华文仿宋" w:eastAsia="仿宋_GB2312" w:cs="华文仿宋"/>
          <w:snapToGrid/>
          <w:color w:val="000000"/>
          <w:spacing w:val="0"/>
          <w:w w:val="100"/>
          <w:kern w:val="21"/>
          <w:sz w:val="32"/>
          <w:szCs w:val="32"/>
        </w:rPr>
      </w:pPr>
      <w:r>
        <w:rPr>
          <w:rFonts w:hint="eastAsia" w:ascii="仿宋_GB2312" w:hAnsi="华文仿宋" w:eastAsia="仿宋_GB2312" w:cs="华文仿宋"/>
          <w:snapToGrid/>
          <w:color w:val="000000"/>
          <w:spacing w:val="0"/>
          <w:w w:val="100"/>
          <w:kern w:val="21"/>
          <w:sz w:val="32"/>
          <w:szCs w:val="32"/>
          <w:lang w:val="en-US" w:eastAsia="zh-CN"/>
        </w:rPr>
        <w:t xml:space="preserve">                        </w:t>
      </w:r>
      <w:r>
        <w:rPr>
          <w:rFonts w:hint="eastAsia" w:ascii="仿宋_GB2312" w:hAnsi="华文仿宋" w:eastAsia="仿宋_GB2312" w:cs="华文仿宋"/>
          <w:snapToGrid/>
          <w:color w:val="000000"/>
          <w:spacing w:val="0"/>
          <w:w w:val="100"/>
          <w:kern w:val="21"/>
          <w:sz w:val="32"/>
          <w:szCs w:val="32"/>
        </w:rPr>
        <w:t>202</w:t>
      </w:r>
      <w:r>
        <w:rPr>
          <w:rFonts w:hint="eastAsia" w:ascii="仿宋_GB2312" w:hAnsi="华文仿宋" w:eastAsia="仿宋_GB2312" w:cs="华文仿宋"/>
          <w:snapToGrid/>
          <w:color w:val="000000"/>
          <w:spacing w:val="0"/>
          <w:w w:val="100"/>
          <w:kern w:val="21"/>
          <w:sz w:val="32"/>
          <w:szCs w:val="32"/>
          <w:lang w:val="en-US" w:eastAsia="zh-CN"/>
        </w:rPr>
        <w:t>6</w:t>
      </w:r>
      <w:r>
        <w:rPr>
          <w:rFonts w:hint="eastAsia" w:ascii="仿宋_GB2312" w:hAnsi="华文仿宋" w:eastAsia="仿宋_GB2312" w:cs="华文仿宋"/>
          <w:snapToGrid/>
          <w:color w:val="000000"/>
          <w:spacing w:val="0"/>
          <w:w w:val="100"/>
          <w:kern w:val="21"/>
          <w:sz w:val="32"/>
          <w:szCs w:val="32"/>
        </w:rPr>
        <w:t>年</w:t>
      </w:r>
      <w:r>
        <w:rPr>
          <w:rFonts w:hint="default" w:ascii="仿宋_GB2312" w:hAnsi="华文仿宋" w:eastAsia="仿宋_GB2312" w:cs="华文仿宋"/>
          <w:snapToGrid/>
          <w:color w:val="000000"/>
          <w:spacing w:val="0"/>
          <w:w w:val="100"/>
          <w:kern w:val="21"/>
          <w:sz w:val="32"/>
          <w:szCs w:val="32"/>
          <w:lang w:val="en" w:eastAsia="zh-CN"/>
        </w:rPr>
        <w:t>1</w:t>
      </w:r>
      <w:r>
        <w:rPr>
          <w:rFonts w:hint="eastAsia" w:ascii="仿宋_GB2312" w:hAnsi="华文仿宋" w:eastAsia="仿宋_GB2312" w:cs="华文仿宋"/>
          <w:snapToGrid/>
          <w:color w:val="000000"/>
          <w:spacing w:val="0"/>
          <w:w w:val="100"/>
          <w:kern w:val="21"/>
          <w:sz w:val="32"/>
          <w:szCs w:val="32"/>
        </w:rPr>
        <w:t>月</w:t>
      </w:r>
      <w:r>
        <w:rPr>
          <w:rFonts w:hint="eastAsia" w:ascii="仿宋_GB2312" w:hAnsi="华文仿宋" w:eastAsia="仿宋_GB2312" w:cs="华文仿宋"/>
          <w:snapToGrid/>
          <w:color w:val="000000"/>
          <w:spacing w:val="0"/>
          <w:w w:val="100"/>
          <w:kern w:val="21"/>
          <w:sz w:val="32"/>
          <w:szCs w:val="32"/>
          <w:lang w:val="en-US" w:eastAsia="zh-CN"/>
        </w:rPr>
        <w:t>22</w:t>
      </w:r>
      <w:r>
        <w:rPr>
          <w:rFonts w:hint="eastAsia" w:ascii="仿宋_GB2312" w:hAnsi="华文仿宋" w:eastAsia="仿宋_GB2312" w:cs="华文仿宋"/>
          <w:snapToGrid/>
          <w:color w:val="000000"/>
          <w:spacing w:val="0"/>
          <w:w w:val="100"/>
          <w:kern w:val="21"/>
          <w:sz w:val="32"/>
          <w:szCs w:val="32"/>
        </w:rPr>
        <w:t>日</w:t>
      </w:r>
    </w:p>
    <w:p w14:paraId="332B511A">
      <w:pPr>
        <w:pStyle w:val="6"/>
        <w:rPr>
          <w:rFonts w:hint="eastAsia" w:ascii="仿宋_GB2312" w:hAnsi="华文仿宋" w:eastAsia="仿宋_GB2312" w:cs="华文仿宋"/>
          <w:snapToGrid/>
          <w:color w:val="000000"/>
          <w:spacing w:val="0"/>
          <w:w w:val="100"/>
          <w:kern w:val="21"/>
          <w:sz w:val="32"/>
          <w:szCs w:val="32"/>
        </w:rPr>
      </w:pPr>
    </w:p>
    <w:p w14:paraId="7DD4A7C4">
      <w:pPr>
        <w:pStyle w:val="7"/>
        <w:rPr>
          <w:rFonts w:hint="eastAsia" w:ascii="仿宋_GB2312" w:hAnsi="华文仿宋" w:eastAsia="仿宋_GB2312" w:cs="华文仿宋"/>
          <w:snapToGrid/>
          <w:color w:val="000000"/>
          <w:spacing w:val="0"/>
          <w:w w:val="100"/>
          <w:kern w:val="21"/>
          <w:sz w:val="32"/>
          <w:szCs w:val="32"/>
        </w:rPr>
      </w:pPr>
    </w:p>
    <w:p w14:paraId="608286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snapToGrid/>
          <w:spacing w:val="0"/>
          <w:w w:val="100"/>
          <w:kern w:val="21"/>
          <w:sz w:val="44"/>
          <w:szCs w:val="44"/>
        </w:rPr>
      </w:pPr>
      <w:r>
        <w:rPr>
          <w:rFonts w:hint="eastAsia" w:ascii="方正小标宋简体" w:hAnsi="方正小标宋简体" w:eastAsia="方正小标宋简体" w:cs="方正小标宋简体"/>
          <w:snapToGrid/>
          <w:spacing w:val="0"/>
          <w:w w:val="100"/>
          <w:kern w:val="21"/>
          <w:sz w:val="44"/>
          <w:szCs w:val="44"/>
          <w:lang w:val="en-US" w:eastAsia="zh-CN"/>
        </w:rPr>
        <w:t>眉县</w:t>
      </w:r>
      <w:r>
        <w:rPr>
          <w:rFonts w:hint="eastAsia" w:ascii="方正小标宋简体" w:hAnsi="方正小标宋简体" w:eastAsia="方正小标宋简体" w:cs="方正小标宋简体"/>
          <w:snapToGrid/>
          <w:spacing w:val="0"/>
          <w:w w:val="100"/>
          <w:kern w:val="21"/>
          <w:sz w:val="44"/>
          <w:szCs w:val="44"/>
        </w:rPr>
        <w:t>打造“宝您满意·眉好政务</w:t>
      </w:r>
      <w:r>
        <w:rPr>
          <w:rFonts w:hint="eastAsia" w:ascii="方正小标宋简体" w:hAnsi="方正小标宋简体" w:eastAsia="方正小标宋简体" w:cs="方正小标宋简体"/>
          <w:snapToGrid/>
          <w:spacing w:val="0"/>
          <w:w w:val="100"/>
          <w:kern w:val="21"/>
          <w:sz w:val="44"/>
          <w:szCs w:val="44"/>
          <w:lang w:eastAsia="zh-CN"/>
        </w:rPr>
        <w:t>”</w:t>
      </w:r>
      <w:r>
        <w:rPr>
          <w:rFonts w:hint="eastAsia" w:ascii="方正小标宋简体" w:hAnsi="方正小标宋简体" w:eastAsia="方正小标宋简体" w:cs="方正小标宋简体"/>
          <w:snapToGrid/>
          <w:spacing w:val="0"/>
          <w:w w:val="100"/>
          <w:kern w:val="21"/>
          <w:sz w:val="44"/>
          <w:szCs w:val="44"/>
        </w:rPr>
        <w:t>服务品牌</w:t>
      </w:r>
    </w:p>
    <w:p w14:paraId="39189F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snapToGrid/>
          <w:spacing w:val="0"/>
          <w:w w:val="100"/>
          <w:kern w:val="21"/>
          <w:sz w:val="44"/>
          <w:szCs w:val="44"/>
        </w:rPr>
      </w:pPr>
      <w:r>
        <w:rPr>
          <w:rFonts w:hint="eastAsia" w:ascii="方正小标宋简体" w:hAnsi="方正小标宋简体" w:eastAsia="方正小标宋简体" w:cs="方正小标宋简体"/>
          <w:snapToGrid/>
          <w:spacing w:val="0"/>
          <w:w w:val="100"/>
          <w:kern w:val="21"/>
          <w:sz w:val="44"/>
          <w:szCs w:val="44"/>
          <w:lang w:val="en-US" w:eastAsia="zh-CN"/>
        </w:rPr>
        <w:t>建设</w:t>
      </w:r>
      <w:r>
        <w:rPr>
          <w:rFonts w:hint="eastAsia" w:ascii="方正小标宋简体" w:hAnsi="方正小标宋简体" w:eastAsia="方正小标宋简体" w:cs="方正小标宋简体"/>
          <w:snapToGrid/>
          <w:spacing w:val="0"/>
          <w:w w:val="100"/>
          <w:kern w:val="21"/>
          <w:sz w:val="44"/>
          <w:szCs w:val="44"/>
        </w:rPr>
        <w:t>实施方案</w:t>
      </w:r>
    </w:p>
    <w:p w14:paraId="7542274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napToGrid/>
          <w:spacing w:val="0"/>
          <w:w w:val="100"/>
          <w:kern w:val="21"/>
          <w:sz w:val="32"/>
          <w:szCs w:val="32"/>
        </w:rPr>
      </w:pPr>
    </w:p>
    <w:p w14:paraId="77F7BA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napToGrid/>
          <w:spacing w:val="0"/>
          <w:w w:val="100"/>
          <w:kern w:val="21"/>
          <w:sz w:val="32"/>
          <w:szCs w:val="32"/>
        </w:rPr>
      </w:pPr>
      <w:r>
        <w:rPr>
          <w:rFonts w:hint="eastAsia" w:ascii="仿宋_GB2312" w:hAnsi="仿宋_GB2312" w:eastAsia="仿宋_GB2312" w:cs="仿宋_GB2312"/>
          <w:snapToGrid/>
          <w:spacing w:val="0"/>
          <w:w w:val="100"/>
          <w:kern w:val="21"/>
          <w:sz w:val="32"/>
          <w:szCs w:val="32"/>
        </w:rPr>
        <w:t>为深入贯彻落实“放管服”改革</w:t>
      </w:r>
      <w:r>
        <w:rPr>
          <w:rFonts w:hint="eastAsia" w:ascii="仿宋_GB2312" w:hAnsi="仿宋_GB2312" w:eastAsia="仿宋_GB2312" w:cs="仿宋_GB2312"/>
          <w:snapToGrid/>
          <w:color w:val="auto"/>
          <w:spacing w:val="0"/>
          <w:w w:val="100"/>
          <w:kern w:val="21"/>
          <w:sz w:val="32"/>
          <w:szCs w:val="32"/>
        </w:rPr>
        <w:t>要求</w:t>
      </w:r>
      <w:r>
        <w:rPr>
          <w:rFonts w:hint="eastAsia" w:ascii="仿宋_GB2312" w:hAnsi="仿宋_GB2312" w:eastAsia="仿宋_GB2312" w:cs="仿宋_GB2312"/>
          <w:snapToGrid/>
          <w:spacing w:val="0"/>
          <w:w w:val="100"/>
          <w:kern w:val="21"/>
          <w:sz w:val="32"/>
          <w:szCs w:val="32"/>
        </w:rPr>
        <w:t>，</w:t>
      </w:r>
      <w:r>
        <w:rPr>
          <w:rFonts w:hint="eastAsia" w:ascii="仿宋_GB2312" w:hAnsi="仿宋_GB2312" w:eastAsia="仿宋_GB2312" w:cs="仿宋_GB2312"/>
          <w:snapToGrid/>
          <w:spacing w:val="0"/>
          <w:w w:val="100"/>
          <w:kern w:val="21"/>
          <w:sz w:val="32"/>
          <w:szCs w:val="32"/>
          <w:lang w:val="en-US" w:eastAsia="zh-CN"/>
        </w:rPr>
        <w:t>根据市政府《关于印发宝鸡市</w:t>
      </w:r>
      <w:r>
        <w:rPr>
          <w:rFonts w:hint="eastAsia" w:ascii="仿宋_GB2312" w:hAnsi="仿宋_GB2312" w:eastAsia="仿宋_GB2312" w:cs="仿宋_GB2312"/>
          <w:snapToGrid/>
          <w:spacing w:val="0"/>
          <w:w w:val="100"/>
          <w:kern w:val="21"/>
          <w:sz w:val="32"/>
          <w:szCs w:val="32"/>
        </w:rPr>
        <w:t>“宝您满意”</w:t>
      </w:r>
      <w:r>
        <w:rPr>
          <w:rFonts w:hint="eastAsia" w:ascii="仿宋_GB2312" w:hAnsi="仿宋_GB2312" w:eastAsia="仿宋_GB2312" w:cs="仿宋_GB2312"/>
          <w:snapToGrid/>
          <w:spacing w:val="0"/>
          <w:w w:val="100"/>
          <w:kern w:val="21"/>
          <w:sz w:val="32"/>
          <w:szCs w:val="32"/>
          <w:lang w:val="en-US" w:eastAsia="zh-CN"/>
        </w:rPr>
        <w:t>政务服务品牌建设实施方案的通知》（宝政发〔2025〕8号）</w:t>
      </w:r>
      <w:r>
        <w:rPr>
          <w:rFonts w:hint="eastAsia" w:ascii="仿宋_GB2312" w:hAnsi="仿宋_GB2312" w:eastAsia="仿宋_GB2312" w:cs="仿宋_GB2312"/>
          <w:snapToGrid/>
          <w:spacing w:val="0"/>
          <w:w w:val="100"/>
          <w:kern w:val="21"/>
          <w:sz w:val="32"/>
          <w:szCs w:val="32"/>
        </w:rPr>
        <w:t>、</w:t>
      </w:r>
      <w:r>
        <w:rPr>
          <w:rFonts w:hint="eastAsia" w:ascii="仿宋_GB2312" w:hAnsi="仿宋_GB2312" w:eastAsia="仿宋_GB2312" w:cs="仿宋_GB2312"/>
          <w:snapToGrid/>
          <w:spacing w:val="0"/>
          <w:w w:val="100"/>
          <w:kern w:val="21"/>
          <w:sz w:val="32"/>
          <w:szCs w:val="32"/>
          <w:lang w:val="en-US" w:eastAsia="zh-CN"/>
        </w:rPr>
        <w:t>市政府办公室《关于印发宝鸡市</w:t>
      </w:r>
      <w:r>
        <w:rPr>
          <w:rFonts w:hint="eastAsia" w:ascii="仿宋_GB2312" w:hAnsi="仿宋_GB2312" w:eastAsia="仿宋_GB2312" w:cs="仿宋_GB2312"/>
          <w:snapToGrid/>
          <w:spacing w:val="0"/>
          <w:w w:val="100"/>
          <w:kern w:val="21"/>
          <w:sz w:val="32"/>
          <w:szCs w:val="32"/>
        </w:rPr>
        <w:t>“宝您满意”</w:t>
      </w:r>
      <w:r>
        <w:rPr>
          <w:rFonts w:hint="eastAsia" w:ascii="仿宋_GB2312" w:hAnsi="仿宋_GB2312" w:eastAsia="仿宋_GB2312" w:cs="仿宋_GB2312"/>
          <w:snapToGrid/>
          <w:spacing w:val="0"/>
          <w:w w:val="100"/>
          <w:kern w:val="21"/>
          <w:sz w:val="32"/>
          <w:szCs w:val="32"/>
          <w:lang w:val="en-US" w:eastAsia="zh-CN"/>
        </w:rPr>
        <w:t>政务服务品牌建设重点任务清单的通知》（宝政办函〔2025〕83号）文件要求，</w:t>
      </w:r>
      <w:r>
        <w:rPr>
          <w:rFonts w:hint="eastAsia" w:ascii="仿宋_GB2312" w:hAnsi="仿宋_GB2312" w:eastAsia="仿宋_GB2312" w:cs="仿宋_GB2312"/>
          <w:snapToGrid/>
          <w:spacing w:val="0"/>
          <w:w w:val="100"/>
          <w:kern w:val="21"/>
          <w:sz w:val="32"/>
          <w:szCs w:val="32"/>
        </w:rPr>
        <w:t>持续擦亮“眉”好</w:t>
      </w:r>
      <w:r>
        <w:rPr>
          <w:rFonts w:hint="eastAsia" w:ascii="仿宋_GB2312" w:hAnsi="仿宋_GB2312" w:eastAsia="仿宋_GB2312" w:cs="仿宋_GB2312"/>
          <w:snapToGrid/>
          <w:spacing w:val="0"/>
          <w:w w:val="100"/>
          <w:kern w:val="21"/>
          <w:sz w:val="32"/>
          <w:szCs w:val="32"/>
          <w:lang w:val="en-US" w:eastAsia="zh-CN"/>
        </w:rPr>
        <w:t>政务子</w:t>
      </w:r>
      <w:r>
        <w:rPr>
          <w:rFonts w:hint="eastAsia" w:ascii="仿宋_GB2312" w:hAnsi="仿宋_GB2312" w:eastAsia="仿宋_GB2312" w:cs="仿宋_GB2312"/>
          <w:snapToGrid/>
          <w:spacing w:val="0"/>
          <w:w w:val="100"/>
          <w:kern w:val="21"/>
          <w:sz w:val="32"/>
          <w:szCs w:val="32"/>
        </w:rPr>
        <w:t>品牌，全面提升政务服务标准化、规范化、便利化水平，着力打造一流营商环境，结合我</w:t>
      </w:r>
      <w:r>
        <w:rPr>
          <w:rFonts w:hint="eastAsia" w:ascii="仿宋_GB2312" w:hAnsi="仿宋_GB2312" w:eastAsia="仿宋_GB2312" w:cs="仿宋_GB2312"/>
          <w:snapToGrid/>
          <w:spacing w:val="0"/>
          <w:w w:val="100"/>
          <w:kern w:val="21"/>
          <w:sz w:val="32"/>
          <w:szCs w:val="32"/>
          <w:lang w:val="en-US" w:eastAsia="zh-CN"/>
        </w:rPr>
        <w:t>县</w:t>
      </w:r>
      <w:r>
        <w:rPr>
          <w:rFonts w:hint="eastAsia" w:ascii="仿宋_GB2312" w:hAnsi="仿宋_GB2312" w:eastAsia="仿宋_GB2312" w:cs="仿宋_GB2312"/>
          <w:snapToGrid/>
          <w:spacing w:val="0"/>
          <w:w w:val="100"/>
          <w:kern w:val="21"/>
          <w:sz w:val="32"/>
          <w:szCs w:val="32"/>
        </w:rPr>
        <w:t>实际，制定本实施方案。</w:t>
      </w:r>
    </w:p>
    <w:p w14:paraId="310D6A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napToGrid/>
          <w:spacing w:val="0"/>
          <w:w w:val="100"/>
          <w:kern w:val="21"/>
          <w:sz w:val="32"/>
          <w:szCs w:val="32"/>
        </w:rPr>
      </w:pPr>
      <w:r>
        <w:rPr>
          <w:rFonts w:hint="eastAsia" w:ascii="黑体" w:hAnsi="黑体" w:eastAsia="黑体" w:cs="黑体"/>
          <w:snapToGrid/>
          <w:spacing w:val="0"/>
          <w:w w:val="100"/>
          <w:kern w:val="21"/>
          <w:sz w:val="32"/>
          <w:szCs w:val="32"/>
        </w:rPr>
        <w:t>一、总体目标</w:t>
      </w:r>
    </w:p>
    <w:p w14:paraId="438D4C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napToGrid/>
          <w:spacing w:val="0"/>
          <w:w w:val="100"/>
          <w:kern w:val="21"/>
          <w:sz w:val="32"/>
          <w:szCs w:val="32"/>
        </w:rPr>
      </w:pPr>
      <w:r>
        <w:rPr>
          <w:rFonts w:hint="eastAsia" w:ascii="仿宋_GB2312" w:hAnsi="仿宋_GB2312" w:eastAsia="仿宋_GB2312" w:cs="仿宋_GB2312"/>
          <w:snapToGrid/>
          <w:spacing w:val="0"/>
          <w:w w:val="100"/>
          <w:kern w:val="21"/>
          <w:sz w:val="32"/>
          <w:szCs w:val="32"/>
        </w:rPr>
        <w:t>坚持以习近平新时代中国特色社会主义思想为指导，深入贯彻习近平总书记历次来陕和来宝考察重要讲话重要指示精神，锚定“企业群众满意”核心标尺，围绕高效服务、标准服务、规范服务、便利服务、暖心服务“五个</w:t>
      </w:r>
      <w:r>
        <w:rPr>
          <w:rFonts w:hint="eastAsia" w:ascii="仿宋_GB2312" w:hAnsi="仿宋_GB2312" w:eastAsia="仿宋_GB2312" w:cs="仿宋_GB2312"/>
          <w:snapToGrid/>
          <w:spacing w:val="0"/>
          <w:w w:val="100"/>
          <w:kern w:val="21"/>
          <w:sz w:val="32"/>
          <w:szCs w:val="32"/>
          <w:lang w:val="en-US" w:eastAsia="zh-CN"/>
        </w:rPr>
        <w:t>服务</w:t>
      </w:r>
      <w:r>
        <w:rPr>
          <w:rFonts w:hint="eastAsia" w:ascii="仿宋_GB2312" w:hAnsi="仿宋_GB2312" w:eastAsia="仿宋_GB2312" w:cs="仿宋_GB2312"/>
          <w:snapToGrid/>
          <w:spacing w:val="0"/>
          <w:w w:val="100"/>
          <w:kern w:val="21"/>
          <w:sz w:val="32"/>
          <w:szCs w:val="32"/>
        </w:rPr>
        <w:t>”目标，</w:t>
      </w:r>
      <w:r>
        <w:rPr>
          <w:rFonts w:hint="eastAsia" w:ascii="仿宋_GB2312" w:hAnsi="仿宋_GB2312" w:eastAsia="仿宋_GB2312" w:cs="仿宋_GB2312"/>
          <w:snapToGrid/>
          <w:spacing w:val="0"/>
          <w:w w:val="100"/>
          <w:kern w:val="21"/>
          <w:sz w:val="32"/>
          <w:szCs w:val="32"/>
          <w:lang w:val="en-US" w:eastAsia="zh-CN"/>
        </w:rPr>
        <w:t>积极推进</w:t>
      </w:r>
      <w:r>
        <w:rPr>
          <w:rFonts w:hint="eastAsia" w:ascii="仿宋_GB2312" w:hAnsi="仿宋_GB2312" w:eastAsia="仿宋_GB2312" w:cs="仿宋_GB2312"/>
          <w:snapToGrid/>
          <w:spacing w:val="0"/>
          <w:w w:val="100"/>
          <w:kern w:val="21"/>
          <w:sz w:val="32"/>
          <w:szCs w:val="32"/>
        </w:rPr>
        <w:t>“宝您满意”</w:t>
      </w:r>
      <w:r>
        <w:rPr>
          <w:rFonts w:hint="eastAsia" w:ascii="仿宋_GB2312" w:hAnsi="仿宋_GB2312" w:eastAsia="仿宋_GB2312" w:cs="仿宋_GB2312"/>
          <w:snapToGrid/>
          <w:spacing w:val="0"/>
          <w:w w:val="100"/>
          <w:kern w:val="21"/>
          <w:sz w:val="32"/>
          <w:szCs w:val="32"/>
          <w:lang w:val="en-US" w:eastAsia="zh-CN"/>
        </w:rPr>
        <w:t>和</w:t>
      </w:r>
      <w:r>
        <w:rPr>
          <w:rFonts w:hint="eastAsia" w:ascii="仿宋_GB2312" w:hAnsi="仿宋_GB2312" w:eastAsia="仿宋_GB2312" w:cs="仿宋_GB2312"/>
          <w:snapToGrid/>
          <w:spacing w:val="0"/>
          <w:w w:val="100"/>
          <w:kern w:val="21"/>
          <w:sz w:val="32"/>
          <w:szCs w:val="32"/>
        </w:rPr>
        <w:t>“眉</w:t>
      </w:r>
      <w:r>
        <w:rPr>
          <w:rFonts w:hint="eastAsia" w:ascii="仿宋_GB2312" w:hAnsi="仿宋_GB2312" w:eastAsia="仿宋_GB2312" w:cs="仿宋_GB2312"/>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rPr>
        <w:t>好政务服务品牌</w:t>
      </w:r>
      <w:r>
        <w:rPr>
          <w:rFonts w:hint="eastAsia" w:ascii="仿宋_GB2312" w:hAnsi="仿宋_GB2312" w:eastAsia="仿宋_GB2312" w:cs="仿宋_GB2312"/>
          <w:snapToGrid/>
          <w:spacing w:val="0"/>
          <w:w w:val="100"/>
          <w:kern w:val="21"/>
          <w:sz w:val="32"/>
          <w:szCs w:val="32"/>
          <w:lang w:val="en-US" w:eastAsia="zh-CN"/>
        </w:rPr>
        <w:t>相</w:t>
      </w:r>
      <w:r>
        <w:rPr>
          <w:rFonts w:hint="eastAsia" w:ascii="仿宋_GB2312" w:hAnsi="仿宋_GB2312" w:eastAsia="仿宋_GB2312" w:cs="仿宋_GB2312"/>
          <w:snapToGrid/>
          <w:spacing w:val="0"/>
          <w:w w:val="100"/>
          <w:kern w:val="21"/>
          <w:sz w:val="32"/>
          <w:szCs w:val="32"/>
        </w:rPr>
        <w:t>融合，</w:t>
      </w:r>
      <w:r>
        <w:rPr>
          <w:rFonts w:hint="eastAsia" w:ascii="仿宋_GB2312" w:hAnsi="仿宋_GB2312" w:eastAsia="仿宋_GB2312" w:cs="仿宋_GB2312"/>
          <w:snapToGrid/>
          <w:spacing w:val="0"/>
          <w:w w:val="100"/>
          <w:kern w:val="21"/>
          <w:sz w:val="32"/>
          <w:szCs w:val="32"/>
          <w:lang w:val="en-US" w:eastAsia="zh-CN"/>
        </w:rPr>
        <w:t>聚力</w:t>
      </w:r>
      <w:r>
        <w:rPr>
          <w:rFonts w:hint="eastAsia" w:ascii="仿宋_GB2312" w:hAnsi="仿宋_GB2312" w:eastAsia="仿宋_GB2312" w:cs="仿宋_GB2312"/>
          <w:snapToGrid/>
          <w:spacing w:val="0"/>
          <w:w w:val="100"/>
          <w:kern w:val="21"/>
          <w:sz w:val="32"/>
          <w:szCs w:val="32"/>
        </w:rPr>
        <w:t>打造</w:t>
      </w:r>
      <w:r>
        <w:rPr>
          <w:rFonts w:hint="eastAsia" w:ascii="仿宋_GB2312" w:hAnsi="仿宋_GB2312" w:eastAsia="仿宋_GB2312" w:cs="仿宋_GB2312"/>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政策最优、成本最低、服务最好、办事最快</w:t>
      </w:r>
      <w:r>
        <w:rPr>
          <w:rFonts w:hint="eastAsia" w:ascii="仿宋_GB2312" w:hAnsi="仿宋_GB2312" w:eastAsia="仿宋_GB2312" w:cs="仿宋_GB2312"/>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的</w:t>
      </w:r>
      <w:r>
        <w:rPr>
          <w:rFonts w:hint="eastAsia" w:ascii="仿宋_GB2312" w:hAnsi="仿宋_GB2312" w:eastAsia="仿宋_GB2312" w:cs="仿宋_GB2312"/>
          <w:snapToGrid/>
          <w:spacing w:val="0"/>
          <w:w w:val="100"/>
          <w:kern w:val="21"/>
          <w:sz w:val="32"/>
          <w:szCs w:val="32"/>
        </w:rPr>
        <w:t>营商环境。</w:t>
      </w:r>
      <w:r>
        <w:rPr>
          <w:rFonts w:hint="eastAsia" w:ascii="仿宋_GB2312" w:hAnsi="仿宋_GB2312" w:eastAsia="仿宋_GB2312" w:cs="仿宋_GB2312"/>
          <w:snapToGrid/>
          <w:color w:val="auto"/>
          <w:spacing w:val="0"/>
          <w:w w:val="100"/>
          <w:kern w:val="21"/>
          <w:sz w:val="32"/>
          <w:szCs w:val="32"/>
          <w:lang w:val="en-US" w:eastAsia="zh-CN"/>
        </w:rPr>
        <w:t>力争</w:t>
      </w:r>
      <w:r>
        <w:rPr>
          <w:rFonts w:hint="eastAsia" w:ascii="仿宋_GB2312" w:hAnsi="仿宋_GB2312" w:eastAsia="仿宋_GB2312" w:cs="仿宋_GB2312"/>
          <w:snapToGrid/>
          <w:spacing w:val="0"/>
          <w:w w:val="100"/>
          <w:kern w:val="21"/>
          <w:sz w:val="32"/>
          <w:szCs w:val="32"/>
        </w:rPr>
        <w:t>到2027年底，实现全</w:t>
      </w:r>
      <w:r>
        <w:rPr>
          <w:rFonts w:hint="eastAsia" w:ascii="仿宋_GB2312" w:hAnsi="仿宋_GB2312" w:eastAsia="仿宋_GB2312" w:cs="仿宋_GB2312"/>
          <w:snapToGrid/>
          <w:spacing w:val="0"/>
          <w:w w:val="100"/>
          <w:kern w:val="21"/>
          <w:sz w:val="32"/>
          <w:szCs w:val="32"/>
          <w:lang w:val="en-US" w:eastAsia="zh-CN"/>
        </w:rPr>
        <w:t>县</w:t>
      </w:r>
      <w:r>
        <w:rPr>
          <w:rFonts w:hint="eastAsia" w:ascii="仿宋_GB2312" w:hAnsi="仿宋_GB2312" w:eastAsia="仿宋_GB2312" w:cs="仿宋_GB2312"/>
          <w:snapToGrid/>
          <w:spacing w:val="0"/>
          <w:w w:val="100"/>
          <w:kern w:val="21"/>
          <w:sz w:val="32"/>
          <w:szCs w:val="32"/>
        </w:rPr>
        <w:t>政务服务事项按时办结率100%</w:t>
      </w:r>
      <w:r>
        <w:rPr>
          <w:rFonts w:hint="eastAsia" w:ascii="仿宋_GB2312" w:hAnsi="仿宋_GB2312" w:eastAsia="仿宋_GB2312" w:cs="仿宋_GB2312"/>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rPr>
        <w:t>网上可办率95%以上</w:t>
      </w:r>
      <w:r>
        <w:rPr>
          <w:rFonts w:hint="eastAsia" w:ascii="仿宋_GB2312" w:hAnsi="仿宋_GB2312" w:eastAsia="仿宋_GB2312" w:cs="仿宋_GB2312"/>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rPr>
        <w:t>“高效办成一件事”全程网办率100%，政务服务满意度达98%以上，为经济社会高质量发展注入强劲动能。</w:t>
      </w:r>
    </w:p>
    <w:p w14:paraId="6117DA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napToGrid/>
          <w:spacing w:val="0"/>
          <w:w w:val="100"/>
          <w:kern w:val="21"/>
          <w:sz w:val="32"/>
          <w:szCs w:val="32"/>
        </w:rPr>
      </w:pPr>
      <w:r>
        <w:rPr>
          <w:rFonts w:hint="eastAsia" w:ascii="黑体" w:hAnsi="黑体" w:eastAsia="黑体" w:cs="黑体"/>
          <w:snapToGrid/>
          <w:spacing w:val="0"/>
          <w:w w:val="100"/>
          <w:kern w:val="21"/>
          <w:sz w:val="32"/>
          <w:szCs w:val="32"/>
        </w:rPr>
        <w:t>二、重点任务</w:t>
      </w:r>
    </w:p>
    <w:p w14:paraId="6140E1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楷体_GB2312" w:hAnsi="楷体_GB2312" w:eastAsia="楷体_GB2312" w:cs="楷体_GB2312"/>
          <w:b/>
          <w:bCs/>
          <w:snapToGrid/>
          <w:spacing w:val="0"/>
          <w:w w:val="100"/>
          <w:kern w:val="21"/>
          <w:sz w:val="32"/>
          <w:szCs w:val="32"/>
          <w:lang w:eastAsia="zh-CN"/>
        </w:rPr>
      </w:pPr>
      <w:r>
        <w:rPr>
          <w:rFonts w:hint="eastAsia" w:ascii="楷体_GB2312" w:hAnsi="楷体_GB2312" w:eastAsia="楷体_GB2312" w:cs="楷体_GB2312"/>
          <w:b/>
          <w:bCs/>
          <w:snapToGrid/>
          <w:spacing w:val="0"/>
          <w:w w:val="100"/>
          <w:kern w:val="21"/>
          <w:sz w:val="32"/>
          <w:szCs w:val="32"/>
        </w:rPr>
        <w:t>（一）高效服务</w:t>
      </w:r>
      <w:r>
        <w:rPr>
          <w:rFonts w:hint="eastAsia" w:ascii="楷体_GB2312" w:hAnsi="楷体_GB2312" w:eastAsia="楷体_GB2312" w:cs="楷体_GB2312"/>
          <w:b/>
          <w:bCs/>
          <w:snapToGrid/>
          <w:spacing w:val="0"/>
          <w:w w:val="100"/>
          <w:kern w:val="21"/>
          <w:sz w:val="32"/>
          <w:szCs w:val="32"/>
          <w:lang w:eastAsia="zh-CN"/>
        </w:rPr>
        <w:t>。</w:t>
      </w:r>
    </w:p>
    <w:p w14:paraId="142359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1.限时办理保效能</w:t>
      </w:r>
      <w:r>
        <w:rPr>
          <w:rFonts w:hint="eastAsia" w:ascii="仿宋_GB2312" w:hAnsi="仿宋_GB2312" w:eastAsia="仿宋_GB2312" w:cs="仿宋_GB2312"/>
          <w:b/>
          <w:bCs/>
          <w:snapToGrid/>
          <w:spacing w:val="0"/>
          <w:w w:val="100"/>
          <w:kern w:val="21"/>
          <w:sz w:val="32"/>
          <w:szCs w:val="32"/>
        </w:rPr>
        <w:t>。</w:t>
      </w:r>
      <w:r>
        <w:rPr>
          <w:rFonts w:hint="eastAsia" w:ascii="仿宋_GB2312" w:hAnsi="仿宋_GB2312" w:eastAsia="仿宋_GB2312" w:cs="仿宋_GB2312"/>
          <w:snapToGrid/>
          <w:spacing w:val="0"/>
          <w:w w:val="100"/>
          <w:kern w:val="21"/>
          <w:sz w:val="32"/>
          <w:szCs w:val="32"/>
          <w:lang w:val="en-US" w:eastAsia="zh-CN"/>
        </w:rPr>
        <w:t>严格执行新修订的《限时办结制度》，通过政务服务网向社会公开所有政务服务事项的办件类型、法定时限、承诺时限，确保事项按时办结率达100%。建立“临期提醒、超时预警、专人督办”全流程管控机制，依托政务服务平台设置时限预警功能，对临近办结时限的事项提醒承办人员，对超时未办事项立即启动督办程序，约谈相关责任人。</w:t>
      </w:r>
    </w:p>
    <w:p w14:paraId="29DB1A5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2.</w:t>
      </w:r>
      <w:r>
        <w:rPr>
          <w:rFonts w:hint="eastAsia" w:ascii="仿宋_GB2312" w:hAnsi="仿宋_GB2312" w:eastAsia="仿宋_GB2312" w:cs="仿宋_GB2312"/>
          <w:b/>
          <w:bCs/>
          <w:snapToGrid/>
          <w:color w:val="auto"/>
          <w:spacing w:val="0"/>
          <w:w w:val="100"/>
          <w:kern w:val="21"/>
          <w:sz w:val="32"/>
          <w:szCs w:val="32"/>
          <w:lang w:val="en-US" w:eastAsia="zh-CN"/>
        </w:rPr>
        <w:t>优化流程提效能</w:t>
      </w:r>
      <w:r>
        <w:rPr>
          <w:rFonts w:hint="eastAsia" w:ascii="仿宋_GB2312" w:hAnsi="仿宋_GB2312" w:eastAsia="仿宋_GB2312" w:cs="仿宋_GB2312"/>
          <w:b/>
          <w:bCs/>
          <w:snapToGrid/>
          <w:spacing w:val="0"/>
          <w:w w:val="100"/>
          <w:kern w:val="21"/>
          <w:sz w:val="32"/>
          <w:szCs w:val="32"/>
          <w:lang w:val="en-US" w:eastAsia="zh-CN"/>
        </w:rPr>
        <w:t>。</w:t>
      </w:r>
      <w:r>
        <w:rPr>
          <w:rFonts w:hint="eastAsia" w:ascii="仿宋_GB2312" w:hAnsi="仿宋_GB2312" w:eastAsia="仿宋_GB2312" w:cs="仿宋_GB2312"/>
          <w:snapToGrid/>
          <w:spacing w:val="0"/>
          <w:w w:val="100"/>
          <w:kern w:val="21"/>
          <w:sz w:val="32"/>
          <w:szCs w:val="32"/>
          <w:lang w:val="en-US" w:eastAsia="zh-CN"/>
        </w:rPr>
        <w:t>聚焦企业和个人全生命周期服务需求，推动县级“高效办成一件事”落地见效，推行跨部门关联事项集成办,容缺事项承诺办、异地事项跨域办、政策服务免审办，通过帮办代办、远程视频等形式将重点事项同步延伸至各镇（街）便民服务中心、医院等场所办理，实现“一次告知、一表申请、一套材料、一窗（站）受理、一网办理”。</w:t>
      </w:r>
    </w:p>
    <w:p w14:paraId="6034BDD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eastAsia="zh-CN"/>
        </w:rPr>
      </w:pPr>
      <w:r>
        <w:rPr>
          <w:rFonts w:hint="eastAsia" w:ascii="仿宋_GB2312" w:hAnsi="仿宋_GB2312" w:eastAsia="仿宋_GB2312" w:cs="仿宋_GB2312"/>
          <w:b/>
          <w:bCs/>
          <w:snapToGrid/>
          <w:spacing w:val="0"/>
          <w:w w:val="100"/>
          <w:kern w:val="21"/>
          <w:sz w:val="32"/>
          <w:szCs w:val="32"/>
          <w:lang w:val="en-US" w:eastAsia="zh-CN"/>
        </w:rPr>
        <w:t>3.创新模式增效能</w:t>
      </w:r>
      <w:r>
        <w:rPr>
          <w:rFonts w:hint="eastAsia" w:ascii="仿宋_GB2312" w:hAnsi="仿宋_GB2312" w:eastAsia="仿宋_GB2312" w:cs="仿宋_GB2312"/>
          <w:b/>
          <w:bCs/>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持续减少办事环节、精简申请材料、压缩办理时限，优化工作流程，将更多事项纳入即办事项管理清单，实现“即来即办、立等可取”。全面推行“六化（</w:t>
      </w:r>
      <w:r>
        <w:rPr>
          <w:rFonts w:hint="eastAsia" w:ascii="楷体_GB2312" w:hAnsi="楷体_GB2312" w:eastAsia="楷体_GB2312" w:cs="楷体_GB2312"/>
          <w:snapToGrid/>
          <w:spacing w:val="0"/>
          <w:w w:val="100"/>
          <w:kern w:val="21"/>
          <w:sz w:val="28"/>
          <w:szCs w:val="28"/>
          <w:lang w:val="en-US" w:eastAsia="zh-CN"/>
        </w:rPr>
        <w:t>标准化、规范化、便利化、数字化、共享化、协同化</w:t>
      </w:r>
      <w:r>
        <w:rPr>
          <w:rFonts w:hint="eastAsia" w:ascii="仿宋_GB2312" w:hAnsi="仿宋_GB2312" w:eastAsia="仿宋_GB2312" w:cs="仿宋_GB2312"/>
          <w:snapToGrid/>
          <w:spacing w:val="0"/>
          <w:w w:val="100"/>
          <w:kern w:val="21"/>
          <w:sz w:val="32"/>
          <w:szCs w:val="32"/>
          <w:lang w:val="en-US" w:eastAsia="zh-CN"/>
        </w:rPr>
        <w:t>）六办（</w:t>
      </w:r>
      <w:r>
        <w:rPr>
          <w:rFonts w:hint="eastAsia" w:ascii="楷体_GB2312" w:hAnsi="楷体_GB2312" w:eastAsia="楷体_GB2312" w:cs="楷体_GB2312"/>
          <w:snapToGrid/>
          <w:spacing w:val="0"/>
          <w:w w:val="100"/>
          <w:kern w:val="21"/>
          <w:sz w:val="28"/>
          <w:szCs w:val="28"/>
          <w:lang w:val="en-US" w:eastAsia="zh-CN"/>
        </w:rPr>
        <w:t>一门办、一网办、一次办、就近办、掌上办、合力办</w:t>
      </w:r>
      <w:r>
        <w:rPr>
          <w:rFonts w:hint="eastAsia" w:ascii="仿宋_GB2312" w:hAnsi="仿宋_GB2312" w:eastAsia="仿宋_GB2312" w:cs="仿宋_GB2312"/>
          <w:snapToGrid/>
          <w:spacing w:val="0"/>
          <w:w w:val="100"/>
          <w:kern w:val="21"/>
          <w:sz w:val="32"/>
          <w:szCs w:val="32"/>
          <w:lang w:val="en-US" w:eastAsia="zh-CN"/>
        </w:rPr>
        <w:t>）”服务模式，推动政务服务从“能办、可办”向“好办、快办、易办”转变。</w:t>
      </w:r>
    </w:p>
    <w:p w14:paraId="335C9F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楷体_GB2312" w:hAnsi="楷体_GB2312" w:eastAsia="楷体_GB2312" w:cs="楷体_GB2312"/>
          <w:b/>
          <w:bCs/>
          <w:snapToGrid/>
          <w:spacing w:val="0"/>
          <w:w w:val="100"/>
          <w:kern w:val="21"/>
          <w:sz w:val="32"/>
          <w:szCs w:val="32"/>
        </w:rPr>
      </w:pPr>
      <w:r>
        <w:rPr>
          <w:rFonts w:hint="eastAsia" w:ascii="楷体_GB2312" w:hAnsi="楷体_GB2312" w:eastAsia="楷体_GB2312" w:cs="楷体_GB2312"/>
          <w:b/>
          <w:bCs/>
          <w:snapToGrid/>
          <w:spacing w:val="0"/>
          <w:w w:val="100"/>
          <w:kern w:val="21"/>
          <w:sz w:val="32"/>
          <w:szCs w:val="32"/>
        </w:rPr>
        <w:t>（二）</w:t>
      </w:r>
      <w:r>
        <w:rPr>
          <w:rFonts w:hint="eastAsia" w:ascii="楷体_GB2312" w:hAnsi="楷体_GB2312" w:eastAsia="楷体_GB2312" w:cs="楷体_GB2312"/>
          <w:b/>
          <w:bCs/>
          <w:snapToGrid/>
          <w:spacing w:val="0"/>
          <w:w w:val="100"/>
          <w:kern w:val="21"/>
          <w:sz w:val="32"/>
          <w:szCs w:val="32"/>
          <w:lang w:val="en-US" w:eastAsia="zh-CN"/>
        </w:rPr>
        <w:t>标准服务。</w:t>
      </w:r>
    </w:p>
    <w:p w14:paraId="1E3C90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color w:val="auto"/>
          <w:spacing w:val="0"/>
          <w:w w:val="100"/>
          <w:kern w:val="21"/>
          <w:sz w:val="32"/>
          <w:szCs w:val="32"/>
        </w:rPr>
      </w:pPr>
      <w:r>
        <w:rPr>
          <w:rFonts w:hint="eastAsia" w:ascii="仿宋_GB2312" w:hAnsi="仿宋_GB2312" w:eastAsia="仿宋_GB2312" w:cs="仿宋_GB2312"/>
          <w:b/>
          <w:bCs/>
          <w:snapToGrid/>
          <w:spacing w:val="0"/>
          <w:w w:val="100"/>
          <w:kern w:val="21"/>
          <w:sz w:val="32"/>
          <w:szCs w:val="32"/>
          <w:lang w:val="en-US" w:eastAsia="zh-CN"/>
        </w:rPr>
        <w:t>1</w:t>
      </w:r>
      <w:r>
        <w:rPr>
          <w:rFonts w:hint="eastAsia" w:ascii="仿宋_GB2312" w:hAnsi="仿宋_GB2312" w:eastAsia="仿宋_GB2312" w:cs="仿宋_GB2312"/>
          <w:b/>
          <w:bCs/>
          <w:snapToGrid/>
          <w:spacing w:val="0"/>
          <w:w w:val="100"/>
          <w:kern w:val="21"/>
          <w:sz w:val="32"/>
          <w:szCs w:val="32"/>
        </w:rPr>
        <w:t>.推进政务服务事项标准化。</w:t>
      </w:r>
      <w:r>
        <w:rPr>
          <w:rFonts w:hint="eastAsia" w:ascii="仿宋_GB2312" w:hAnsi="仿宋_GB2312" w:eastAsia="仿宋_GB2312" w:cs="仿宋_GB2312"/>
          <w:snapToGrid/>
          <w:spacing w:val="0"/>
          <w:w w:val="100"/>
          <w:kern w:val="21"/>
          <w:sz w:val="32"/>
          <w:szCs w:val="32"/>
          <w:lang w:val="en-US" w:eastAsia="zh-CN"/>
        </w:rPr>
        <w:t>健全三级政务服务事项清单，明确县镇村政务服务事项，严格执行“清单之外无事项、流程之外无环节”管理要求。精准认领政务服务事项清单，逐一完善申请材料、办理地点、联系电话等要素，确保内容准确全面。建立清单动态调整机制，</w:t>
      </w:r>
      <w:r>
        <w:rPr>
          <w:rFonts w:hint="eastAsia" w:ascii="仿宋_GB2312" w:hAnsi="仿宋_GB2312" w:eastAsia="仿宋_GB2312" w:cs="仿宋_GB2312"/>
          <w:snapToGrid/>
          <w:color w:val="auto"/>
          <w:spacing w:val="0"/>
          <w:w w:val="100"/>
          <w:kern w:val="21"/>
          <w:sz w:val="32"/>
          <w:szCs w:val="32"/>
          <w:lang w:val="en-US" w:eastAsia="zh-CN"/>
        </w:rPr>
        <w:t>实现政务服务事项权责清晰、数据同源、动态更新、联动管理。</w:t>
      </w:r>
    </w:p>
    <w:p w14:paraId="196E8FB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2.推进事项办理服务标准化。</w:t>
      </w:r>
      <w:r>
        <w:rPr>
          <w:rFonts w:hint="eastAsia" w:ascii="仿宋_GB2312" w:hAnsi="仿宋_GB2312" w:eastAsia="仿宋_GB2312" w:cs="仿宋_GB2312"/>
          <w:snapToGrid/>
          <w:spacing w:val="0"/>
          <w:w w:val="100"/>
          <w:kern w:val="21"/>
          <w:sz w:val="32"/>
          <w:szCs w:val="32"/>
          <w:lang w:val="en-US" w:eastAsia="zh-CN"/>
        </w:rPr>
        <w:t>全力推进《办事服务指南》标准化编制工作，明确事项受理条件、办结时限、办理流程等办事指南核心要素，坚决清理“其他材料”“有关证明”等模糊表述，通过线上陕西政务服务网、“秦务员”移动端、线下办事指南手册集中进行公示并同步更新，实现同一事项“无差别受理、同标准办理”。</w:t>
      </w:r>
    </w:p>
    <w:p w14:paraId="48BC9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3.推进政务服务管理标准化。</w:t>
      </w:r>
      <w:r>
        <w:rPr>
          <w:rFonts w:hint="eastAsia" w:ascii="仿宋_GB2312" w:hAnsi="仿宋_GB2312" w:eastAsia="仿宋_GB2312" w:cs="仿宋_GB2312"/>
          <w:snapToGrid/>
          <w:spacing w:val="0"/>
          <w:w w:val="100"/>
          <w:kern w:val="21"/>
          <w:sz w:val="32"/>
          <w:szCs w:val="32"/>
          <w:lang w:val="en-US" w:eastAsia="zh-CN"/>
        </w:rPr>
        <w:t>合理配置窗口工作人员,明确岗位职责标准和专业能力要求。组建专项督帮小组，采取“日常巡查+随机抽查+明察暗访”方式，实行“发现-整改-复核-销号”闭环管理机制。聚焦政务服务事项“受理、审核、办结、反馈、归档”全链条管理，明晰各环节操作标准、责任主体及时限要求，实现事项运行标准统一、办理路径明确清晰。</w:t>
      </w:r>
    </w:p>
    <w:p w14:paraId="4D11EE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楷体_GB2312" w:hAnsi="楷体_GB2312" w:eastAsia="楷体_GB2312" w:cs="楷体_GB2312"/>
          <w:b/>
          <w:bCs/>
          <w:snapToGrid/>
          <w:spacing w:val="0"/>
          <w:w w:val="100"/>
          <w:kern w:val="21"/>
          <w:sz w:val="32"/>
          <w:szCs w:val="32"/>
          <w:lang w:eastAsia="zh-CN"/>
        </w:rPr>
      </w:pPr>
      <w:r>
        <w:rPr>
          <w:rFonts w:hint="eastAsia" w:ascii="楷体_GB2312" w:hAnsi="楷体_GB2312" w:eastAsia="楷体_GB2312" w:cs="楷体_GB2312"/>
          <w:b/>
          <w:bCs/>
          <w:snapToGrid/>
          <w:spacing w:val="0"/>
          <w:w w:val="100"/>
          <w:kern w:val="21"/>
          <w:sz w:val="32"/>
          <w:szCs w:val="32"/>
        </w:rPr>
        <w:t>（三）规范服务</w:t>
      </w:r>
      <w:r>
        <w:rPr>
          <w:rFonts w:hint="eastAsia" w:ascii="楷体_GB2312" w:hAnsi="楷体_GB2312" w:eastAsia="楷体_GB2312" w:cs="楷体_GB2312"/>
          <w:b/>
          <w:bCs/>
          <w:snapToGrid/>
          <w:spacing w:val="0"/>
          <w:w w:val="100"/>
          <w:kern w:val="21"/>
          <w:sz w:val="32"/>
          <w:szCs w:val="32"/>
          <w:lang w:eastAsia="zh-CN"/>
        </w:rPr>
        <w:t>。</w:t>
      </w:r>
    </w:p>
    <w:p w14:paraId="3810E6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rPr>
        <w:t>1.</w:t>
      </w:r>
      <w:r>
        <w:rPr>
          <w:rFonts w:hint="eastAsia" w:ascii="仿宋_GB2312" w:hAnsi="仿宋_GB2312" w:eastAsia="仿宋_GB2312" w:cs="仿宋_GB2312"/>
          <w:b/>
          <w:bCs/>
          <w:snapToGrid/>
          <w:spacing w:val="0"/>
          <w:w w:val="100"/>
          <w:kern w:val="21"/>
          <w:sz w:val="32"/>
          <w:szCs w:val="32"/>
          <w:lang w:val="en-US" w:eastAsia="zh-CN"/>
        </w:rPr>
        <w:t>规范服务流程。</w:t>
      </w:r>
      <w:r>
        <w:rPr>
          <w:rFonts w:hint="eastAsia" w:ascii="仿宋_GB2312" w:hAnsi="仿宋_GB2312" w:eastAsia="仿宋_GB2312" w:cs="仿宋_GB2312"/>
          <w:snapToGrid/>
          <w:spacing w:val="0"/>
          <w:w w:val="100"/>
          <w:kern w:val="21"/>
          <w:sz w:val="32"/>
          <w:szCs w:val="32"/>
          <w:lang w:val="en-US" w:eastAsia="zh-CN"/>
        </w:rPr>
        <w:t>严格实行“前台综合受理、后台分类审批、统一窗口出件”的综合窗口模式，制定从收件、分送、审核、办结到出件的全流程标准化流转规范，系统梳理委托受理事项清单，动态更新调整并向社会公示。建立常态化跨部门业务培训机制，定期开展政策解读、流程操作、应急处置等培训,实现“一窗受理、综合服务”。</w:t>
      </w:r>
    </w:p>
    <w:p w14:paraId="241C57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color w:val="auto"/>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rPr>
        <w:t>2.规范服务行为。</w:t>
      </w:r>
      <w:r>
        <w:rPr>
          <w:rFonts w:hint="eastAsia" w:ascii="仿宋_GB2312" w:hAnsi="仿宋_GB2312" w:eastAsia="仿宋_GB2312" w:cs="仿宋_GB2312"/>
          <w:snapToGrid/>
          <w:spacing w:val="0"/>
          <w:w w:val="100"/>
          <w:kern w:val="21"/>
          <w:sz w:val="32"/>
          <w:szCs w:val="32"/>
          <w:lang w:val="en-US" w:eastAsia="zh-CN"/>
        </w:rPr>
        <w:t>严格执行首问负责、一次性告知、帮办代办等制度，</w:t>
      </w:r>
      <w:r>
        <w:rPr>
          <w:rFonts w:hint="eastAsia" w:ascii="仿宋_GB2312" w:hAnsi="仿宋_GB2312" w:eastAsia="仿宋_GB2312" w:cs="仿宋_GB2312"/>
          <w:snapToGrid/>
          <w:spacing w:val="0"/>
          <w:w w:val="100"/>
          <w:kern w:val="21"/>
          <w:sz w:val="32"/>
          <w:szCs w:val="32"/>
          <w:highlight w:val="none"/>
          <w:lang w:val="en-US" w:eastAsia="zh-CN"/>
        </w:rPr>
        <w:t>明确首问责任人对群众咨询事项务必当场予以答复或精准指引，</w:t>
      </w:r>
      <w:r>
        <w:rPr>
          <w:rFonts w:hint="eastAsia" w:ascii="仿宋_GB2312" w:hAnsi="仿宋_GB2312" w:eastAsia="仿宋_GB2312" w:cs="仿宋_GB2312"/>
          <w:snapToGrid/>
          <w:spacing w:val="0"/>
          <w:w w:val="100"/>
          <w:kern w:val="21"/>
          <w:sz w:val="32"/>
          <w:szCs w:val="32"/>
          <w:lang w:val="en-US" w:eastAsia="zh-CN"/>
        </w:rPr>
        <w:t>一次性告知需以书面或电子形式列明所需材料</w:t>
      </w:r>
      <w:r>
        <w:rPr>
          <w:rFonts w:hint="eastAsia" w:ascii="仿宋_GB2312" w:hAnsi="仿宋_GB2312" w:eastAsia="仿宋_GB2312" w:cs="仿宋_GB2312"/>
          <w:snapToGrid/>
          <w:spacing w:val="0"/>
          <w:w w:val="100"/>
          <w:kern w:val="21"/>
          <w:sz w:val="32"/>
          <w:szCs w:val="32"/>
          <w:highlight w:val="none"/>
          <w:lang w:val="en-US" w:eastAsia="zh-CN"/>
        </w:rPr>
        <w:t>及补正要求，帮办代办员提供全程帮办代办服务。</w:t>
      </w:r>
      <w:r>
        <w:rPr>
          <w:rFonts w:hint="eastAsia" w:ascii="仿宋_GB2312" w:hAnsi="仿宋_GB2312" w:eastAsia="仿宋_GB2312" w:cs="仿宋_GB2312"/>
          <w:snapToGrid/>
          <w:spacing w:val="0"/>
          <w:w w:val="100"/>
          <w:kern w:val="21"/>
          <w:sz w:val="32"/>
          <w:szCs w:val="32"/>
          <w:lang w:val="en-US" w:eastAsia="zh-CN"/>
        </w:rPr>
        <w:t>严格遵守窗口服务规范及负面清单要求，杜绝</w:t>
      </w:r>
      <w:r>
        <w:rPr>
          <w:rFonts w:hint="eastAsia" w:ascii="仿宋_GB2312" w:hAnsi="仿宋_GB2312" w:eastAsia="仿宋_GB2312" w:cs="仿宋_GB2312"/>
          <w:snapToGrid/>
          <w:spacing w:val="0"/>
          <w:w w:val="100"/>
          <w:kern w:val="21"/>
          <w:sz w:val="32"/>
          <w:szCs w:val="32"/>
          <w:highlight w:val="none"/>
          <w:lang w:val="en-US" w:eastAsia="zh-CN"/>
        </w:rPr>
        <w:t>额外增加或变相增加办理环节和申请材料等违规情形，</w:t>
      </w:r>
      <w:r>
        <w:rPr>
          <w:rFonts w:hint="eastAsia" w:ascii="仿宋_GB2312" w:hAnsi="仿宋_GB2312" w:eastAsia="仿宋_GB2312" w:cs="仿宋_GB2312"/>
          <w:snapToGrid/>
          <w:spacing w:val="0"/>
          <w:w w:val="100"/>
          <w:kern w:val="21"/>
          <w:sz w:val="32"/>
          <w:szCs w:val="32"/>
          <w:lang w:val="en-US" w:eastAsia="zh-CN"/>
        </w:rPr>
        <w:t>实现事项依法依规办理</w:t>
      </w:r>
      <w:r>
        <w:rPr>
          <w:rFonts w:hint="eastAsia" w:ascii="仿宋_GB2312" w:hAnsi="仿宋_GB2312" w:eastAsia="仿宋_GB2312" w:cs="仿宋_GB2312"/>
          <w:snapToGrid/>
          <w:color w:val="auto"/>
          <w:spacing w:val="0"/>
          <w:w w:val="100"/>
          <w:kern w:val="21"/>
          <w:sz w:val="32"/>
          <w:szCs w:val="32"/>
          <w:lang w:val="en-US" w:eastAsia="zh-CN"/>
        </w:rPr>
        <w:t>。</w:t>
      </w:r>
    </w:p>
    <w:p w14:paraId="12DAF7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color w:val="auto"/>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3.</w:t>
      </w:r>
      <w:r>
        <w:rPr>
          <w:rFonts w:hint="eastAsia" w:ascii="仿宋_GB2312" w:hAnsi="仿宋_GB2312" w:eastAsia="仿宋_GB2312" w:cs="仿宋_GB2312"/>
          <w:b/>
          <w:bCs/>
          <w:snapToGrid/>
          <w:spacing w:val="0"/>
          <w:w w:val="100"/>
          <w:kern w:val="21"/>
          <w:sz w:val="32"/>
          <w:szCs w:val="32"/>
        </w:rPr>
        <w:t>规范中介</w:t>
      </w:r>
      <w:r>
        <w:rPr>
          <w:rFonts w:hint="eastAsia" w:ascii="仿宋_GB2312" w:hAnsi="仿宋_GB2312" w:eastAsia="仿宋_GB2312" w:cs="仿宋_GB2312"/>
          <w:b/>
          <w:bCs/>
          <w:snapToGrid/>
          <w:spacing w:val="0"/>
          <w:w w:val="100"/>
          <w:kern w:val="21"/>
          <w:sz w:val="32"/>
          <w:szCs w:val="32"/>
          <w:lang w:val="en-US" w:eastAsia="zh-CN"/>
        </w:rPr>
        <w:t>服务。</w:t>
      </w:r>
      <w:r>
        <w:rPr>
          <w:rFonts w:hint="eastAsia" w:ascii="仿宋_GB2312" w:hAnsi="仿宋_GB2312" w:eastAsia="仿宋_GB2312" w:cs="仿宋_GB2312"/>
          <w:snapToGrid/>
          <w:spacing w:val="0"/>
          <w:w w:val="100"/>
          <w:kern w:val="21"/>
          <w:sz w:val="32"/>
          <w:szCs w:val="32"/>
          <w:lang w:val="en-US" w:eastAsia="zh-CN"/>
        </w:rPr>
        <w:t>持续清理政务服务领域无依据的中介事项，</w:t>
      </w:r>
      <w:r>
        <w:rPr>
          <w:rFonts w:hint="eastAsia" w:ascii="仿宋_GB2312" w:hAnsi="仿宋_GB2312" w:eastAsia="仿宋_GB2312" w:cs="仿宋_GB2312"/>
          <w:snapToGrid/>
          <w:color w:val="auto"/>
          <w:spacing w:val="0"/>
          <w:w w:val="100"/>
          <w:kern w:val="21"/>
          <w:sz w:val="32"/>
          <w:szCs w:val="32"/>
          <w:lang w:val="en-US" w:eastAsia="zh-CN"/>
        </w:rPr>
        <w:t>动态</w:t>
      </w:r>
      <w:r>
        <w:rPr>
          <w:rFonts w:hint="eastAsia" w:ascii="仿宋_GB2312" w:hAnsi="仿宋_GB2312" w:eastAsia="仿宋_GB2312" w:cs="仿宋_GB2312"/>
          <w:snapToGrid/>
          <w:spacing w:val="0"/>
          <w:w w:val="100"/>
          <w:kern w:val="21"/>
          <w:sz w:val="32"/>
          <w:szCs w:val="32"/>
          <w:lang w:val="en-US" w:eastAsia="zh-CN"/>
        </w:rPr>
        <w:t>更新公布县级中介服务事项清单，明确服务条件、流程和收费标准等要素，</w:t>
      </w:r>
      <w:r>
        <w:rPr>
          <w:rFonts w:hint="eastAsia" w:ascii="仿宋_GB2312" w:hAnsi="仿宋_GB2312" w:eastAsia="仿宋_GB2312" w:cs="仿宋_GB2312"/>
          <w:snapToGrid/>
          <w:color w:val="auto"/>
          <w:spacing w:val="0"/>
          <w:w w:val="100"/>
          <w:kern w:val="21"/>
          <w:sz w:val="32"/>
          <w:szCs w:val="32"/>
          <w:lang w:val="en-US" w:eastAsia="zh-CN"/>
        </w:rPr>
        <w:t>通过中介服务网上交易平台进行公示，</w:t>
      </w:r>
      <w:r>
        <w:rPr>
          <w:rFonts w:hint="eastAsia" w:ascii="仿宋_GB2312" w:hAnsi="仿宋_GB2312" w:eastAsia="仿宋_GB2312" w:cs="仿宋_GB2312"/>
          <w:snapToGrid/>
          <w:spacing w:val="0"/>
          <w:w w:val="100"/>
          <w:kern w:val="21"/>
          <w:sz w:val="32"/>
          <w:szCs w:val="32"/>
          <w:lang w:val="en-US" w:eastAsia="zh-CN"/>
        </w:rPr>
        <w:t>实现中介服务市场公开公平、流程透明、服务规范。县政务服务大厅设立中介服务窗口，提供</w:t>
      </w:r>
      <w:r>
        <w:rPr>
          <w:rFonts w:hint="eastAsia" w:ascii="仿宋_GB2312" w:hAnsi="仿宋_GB2312" w:eastAsia="仿宋_GB2312" w:cs="仿宋_GB2312"/>
          <w:snapToGrid/>
          <w:color w:val="auto"/>
          <w:spacing w:val="0"/>
          <w:w w:val="100"/>
          <w:kern w:val="21"/>
          <w:sz w:val="32"/>
          <w:szCs w:val="32"/>
          <w:lang w:val="en-US" w:eastAsia="zh-CN"/>
        </w:rPr>
        <w:t>平台</w:t>
      </w:r>
      <w:r>
        <w:rPr>
          <w:rFonts w:hint="eastAsia" w:ascii="仿宋_GB2312" w:hAnsi="仿宋_GB2312" w:eastAsia="仿宋_GB2312" w:cs="仿宋_GB2312"/>
          <w:snapToGrid/>
          <w:spacing w:val="0"/>
          <w:w w:val="100"/>
          <w:kern w:val="21"/>
          <w:sz w:val="32"/>
          <w:szCs w:val="32"/>
          <w:lang w:val="en-US" w:eastAsia="zh-CN"/>
        </w:rPr>
        <w:t>操作指导、项目发布等业务指导。建立健全中介服务信用评价机制，</w:t>
      </w:r>
      <w:r>
        <w:rPr>
          <w:rFonts w:hint="eastAsia" w:ascii="仿宋_GB2312" w:hAnsi="仿宋_GB2312" w:eastAsia="仿宋_GB2312" w:cs="仿宋_GB2312"/>
          <w:snapToGrid/>
          <w:color w:val="auto"/>
          <w:spacing w:val="0"/>
          <w:w w:val="100"/>
          <w:kern w:val="21"/>
          <w:sz w:val="32"/>
          <w:szCs w:val="32"/>
          <w:lang w:val="en-US" w:eastAsia="zh-CN"/>
        </w:rPr>
        <w:t>实行分级分类监管。</w:t>
      </w:r>
    </w:p>
    <w:p w14:paraId="386661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4.</w:t>
      </w:r>
      <w:r>
        <w:rPr>
          <w:rFonts w:hint="eastAsia" w:ascii="仿宋_GB2312" w:hAnsi="仿宋_GB2312" w:eastAsia="仿宋_GB2312" w:cs="仿宋_GB2312"/>
          <w:b/>
          <w:bCs/>
          <w:snapToGrid/>
          <w:spacing w:val="0"/>
          <w:w w:val="100"/>
          <w:kern w:val="21"/>
          <w:sz w:val="32"/>
          <w:szCs w:val="32"/>
        </w:rPr>
        <w:t>规范审管协同</w:t>
      </w:r>
      <w:r>
        <w:rPr>
          <w:rFonts w:hint="eastAsia" w:ascii="仿宋_GB2312" w:hAnsi="仿宋_GB2312" w:eastAsia="仿宋_GB2312" w:cs="仿宋_GB2312"/>
          <w:b/>
          <w:bCs/>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健全完善审管信息双向反馈闭环机制，明确审批部门须及时推送审批事项的要件标准、办理结果、变更信息等关键内容，实现信息实时共享、精准对接。细化审管责任清单，明晰审管权责边界，杜绝权责交叉重叠或监管真空等问题。严格落实行政审批与监管联席会议制度，确保审管顺畅运行、协同联动，推动全链条服务规范化、高效化。</w:t>
      </w:r>
    </w:p>
    <w:p w14:paraId="1FF750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楷体_GB2312" w:hAnsi="楷体_GB2312" w:eastAsia="楷体_GB2312" w:cs="楷体_GB2312"/>
          <w:b/>
          <w:bCs/>
          <w:snapToGrid/>
          <w:spacing w:val="0"/>
          <w:w w:val="100"/>
          <w:kern w:val="21"/>
          <w:sz w:val="32"/>
          <w:szCs w:val="32"/>
          <w:lang w:eastAsia="zh-CN"/>
        </w:rPr>
      </w:pPr>
      <w:r>
        <w:rPr>
          <w:rFonts w:hint="eastAsia" w:ascii="楷体_GB2312" w:hAnsi="楷体_GB2312" w:eastAsia="楷体_GB2312" w:cs="楷体_GB2312"/>
          <w:b/>
          <w:bCs/>
          <w:snapToGrid/>
          <w:spacing w:val="0"/>
          <w:w w:val="100"/>
          <w:kern w:val="21"/>
          <w:sz w:val="32"/>
          <w:szCs w:val="32"/>
        </w:rPr>
        <w:t>（四）便利服务</w:t>
      </w:r>
      <w:r>
        <w:rPr>
          <w:rFonts w:hint="eastAsia" w:ascii="楷体_GB2312" w:hAnsi="楷体_GB2312" w:eastAsia="楷体_GB2312" w:cs="楷体_GB2312"/>
          <w:b/>
          <w:bCs/>
          <w:snapToGrid/>
          <w:spacing w:val="0"/>
          <w:w w:val="100"/>
          <w:kern w:val="21"/>
          <w:sz w:val="32"/>
          <w:szCs w:val="32"/>
          <w:lang w:eastAsia="zh-CN"/>
        </w:rPr>
        <w:t>。</w:t>
      </w:r>
    </w:p>
    <w:p w14:paraId="6535CF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1</w:t>
      </w:r>
      <w:r>
        <w:rPr>
          <w:rFonts w:hint="eastAsia" w:ascii="仿宋_GB2312" w:hAnsi="仿宋_GB2312" w:eastAsia="仿宋_GB2312" w:cs="仿宋_GB2312"/>
          <w:b/>
          <w:bCs/>
          <w:snapToGrid/>
          <w:spacing w:val="0"/>
          <w:w w:val="100"/>
          <w:kern w:val="21"/>
          <w:sz w:val="32"/>
          <w:szCs w:val="32"/>
        </w:rPr>
        <w:t>.</w:t>
      </w:r>
      <w:r>
        <w:rPr>
          <w:rFonts w:hint="eastAsia" w:ascii="仿宋_GB2312" w:hAnsi="仿宋_GB2312" w:eastAsia="仿宋_GB2312" w:cs="仿宋_GB2312"/>
          <w:b/>
          <w:bCs/>
          <w:snapToGrid/>
          <w:spacing w:val="0"/>
          <w:w w:val="100"/>
          <w:kern w:val="21"/>
          <w:sz w:val="32"/>
          <w:szCs w:val="32"/>
          <w:lang w:val="en-US" w:eastAsia="zh-CN"/>
        </w:rPr>
        <w:t>畅通线下办事渠道</w:t>
      </w:r>
      <w:r>
        <w:rPr>
          <w:rFonts w:hint="eastAsia" w:ascii="仿宋_GB2312" w:hAnsi="仿宋_GB2312" w:eastAsia="仿宋_GB2312" w:cs="仿宋_GB2312"/>
          <w:b/>
          <w:bCs/>
          <w:snapToGrid/>
          <w:spacing w:val="0"/>
          <w:w w:val="100"/>
          <w:kern w:val="21"/>
          <w:sz w:val="32"/>
          <w:szCs w:val="32"/>
        </w:rPr>
        <w:t>。</w:t>
      </w:r>
      <w:r>
        <w:rPr>
          <w:rFonts w:hint="eastAsia" w:ascii="仿宋_GB2312" w:hAnsi="仿宋_GB2312" w:eastAsia="仿宋_GB2312" w:cs="仿宋_GB2312"/>
          <w:snapToGrid/>
          <w:spacing w:val="0"/>
          <w:w w:val="100"/>
          <w:kern w:val="21"/>
          <w:sz w:val="32"/>
          <w:szCs w:val="32"/>
          <w:lang w:val="en-US" w:eastAsia="zh-CN"/>
        </w:rPr>
        <w:t>制定加强规范镇街便民服务中心运行管理实施方案，统一办公场所、事项清单、</w:t>
      </w:r>
      <w:r>
        <w:rPr>
          <w:rFonts w:hint="eastAsia" w:ascii="仿宋_GB2312" w:hAnsi="仿宋_GB2312" w:eastAsia="仿宋_GB2312" w:cs="仿宋_GB2312"/>
          <w:snapToGrid/>
          <w:spacing w:val="0"/>
          <w:w w:val="100"/>
          <w:kern w:val="21"/>
          <w:sz w:val="32"/>
          <w:szCs w:val="32"/>
          <w:lang w:val="en-US" w:eastAsia="zh-CN" w:bidi="ar-SA"/>
        </w:rPr>
        <w:t>人员管理、服务行为，</w:t>
      </w:r>
      <w:r>
        <w:rPr>
          <w:rFonts w:hint="eastAsia" w:ascii="仿宋_GB2312" w:hAnsi="仿宋_GB2312" w:eastAsia="仿宋_GB2312" w:cs="仿宋_GB2312"/>
          <w:snapToGrid/>
          <w:spacing w:val="0"/>
          <w:w w:val="100"/>
          <w:kern w:val="21"/>
          <w:sz w:val="32"/>
          <w:szCs w:val="32"/>
          <w:lang w:val="en-US" w:eastAsia="zh-CN"/>
        </w:rPr>
        <w:t>明确任务清单、完成时限及责任主体。将镇街、村（社区）政务服务事项指导目录纳入便民服务中心（站）办理范围，确保镇街便民服务中心100%达到标准化提升要求，村（社区）便民服务站有效覆盖基层群众办事需求。</w:t>
      </w:r>
    </w:p>
    <w:p w14:paraId="2353D2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rPr>
      </w:pPr>
      <w:r>
        <w:rPr>
          <w:rFonts w:hint="eastAsia" w:ascii="仿宋_GB2312" w:hAnsi="仿宋_GB2312" w:eastAsia="仿宋_GB2312" w:cs="仿宋_GB2312"/>
          <w:b/>
          <w:bCs/>
          <w:snapToGrid/>
          <w:spacing w:val="0"/>
          <w:w w:val="100"/>
          <w:kern w:val="21"/>
          <w:sz w:val="32"/>
          <w:szCs w:val="32"/>
          <w:lang w:val="en-US" w:eastAsia="zh-CN"/>
        </w:rPr>
        <w:t>2</w:t>
      </w:r>
      <w:r>
        <w:rPr>
          <w:rFonts w:hint="eastAsia" w:ascii="仿宋_GB2312" w:hAnsi="仿宋_GB2312" w:eastAsia="仿宋_GB2312" w:cs="仿宋_GB2312"/>
          <w:b/>
          <w:bCs/>
          <w:snapToGrid/>
          <w:spacing w:val="0"/>
          <w:w w:val="100"/>
          <w:kern w:val="21"/>
          <w:sz w:val="32"/>
          <w:szCs w:val="32"/>
        </w:rPr>
        <w:t>.贯通线上办事渠道。</w:t>
      </w:r>
      <w:r>
        <w:rPr>
          <w:rFonts w:hint="eastAsia" w:ascii="仿宋_GB2312" w:hAnsi="仿宋_GB2312" w:eastAsia="仿宋_GB2312" w:cs="仿宋_GB2312"/>
          <w:snapToGrid/>
          <w:spacing w:val="0"/>
          <w:w w:val="100"/>
          <w:kern w:val="21"/>
          <w:sz w:val="32"/>
          <w:szCs w:val="32"/>
          <w:lang w:val="en-US" w:eastAsia="zh-CN"/>
        </w:rPr>
        <w:t>依托全国一体化政务服务平台，积极对接上级部门升级搜索查询、在线导办等核心模块，着力推动高频政务服务事项“掌上办、指尖办”，实现95%以上政务服务事项全程网上可办。推行智能审批、无感申办模式，实现“一网通办、一次登录、全程网办”。组建线上服务专班，及时响应并解决企业群众线上办事过程中遇到的疑难问题。</w:t>
      </w:r>
    </w:p>
    <w:p w14:paraId="0DC7DB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3</w:t>
      </w:r>
      <w:r>
        <w:rPr>
          <w:rFonts w:hint="eastAsia" w:ascii="仿宋_GB2312" w:hAnsi="仿宋_GB2312" w:eastAsia="仿宋_GB2312" w:cs="仿宋_GB2312"/>
          <w:b/>
          <w:bCs/>
          <w:snapToGrid/>
          <w:spacing w:val="0"/>
          <w:w w:val="100"/>
          <w:kern w:val="21"/>
          <w:sz w:val="32"/>
          <w:szCs w:val="32"/>
        </w:rPr>
        <w:t>.联通热线互动渠道。</w:t>
      </w:r>
      <w:r>
        <w:rPr>
          <w:rFonts w:hint="eastAsia" w:ascii="仿宋_GB2312" w:hAnsi="仿宋_GB2312" w:eastAsia="仿宋_GB2312" w:cs="仿宋_GB2312"/>
          <w:snapToGrid/>
          <w:spacing w:val="0"/>
          <w:w w:val="100"/>
          <w:kern w:val="21"/>
          <w:sz w:val="32"/>
          <w:szCs w:val="32"/>
          <w:lang w:val="en-US" w:eastAsia="zh-CN"/>
        </w:rPr>
        <w:t>持续提升12345政务服务热线质效，及时解决企业群众反映的难点、堵点、痛点问题，高效受理政务服务咨询、投诉、求助、建议等诉求。配合省市加强政务服务“好差评”体系与12345便民热线的业务协同,打造便捷、高效、规范的政务服务“总客服”，实现全县政务服务事项资料清单、办理地点、联系方式等要素“一口清”。</w:t>
      </w:r>
    </w:p>
    <w:p w14:paraId="039A66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4.直通自助办事渠道。</w:t>
      </w:r>
      <w:r>
        <w:rPr>
          <w:rFonts w:hint="eastAsia" w:ascii="仿宋_GB2312" w:hAnsi="仿宋_GB2312" w:eastAsia="仿宋_GB2312" w:cs="仿宋_GB2312"/>
          <w:snapToGrid/>
          <w:spacing w:val="0"/>
          <w:w w:val="100"/>
          <w:kern w:val="21"/>
          <w:sz w:val="32"/>
          <w:szCs w:val="32"/>
          <w:lang w:val="en-US" w:eastAsia="zh-CN"/>
        </w:rPr>
        <w:t>全力做好24小时</w:t>
      </w:r>
      <w:r>
        <w:rPr>
          <w:rFonts w:hint="eastAsia" w:ascii="仿宋_GB2312" w:hAnsi="仿宋_GB2312" w:eastAsia="仿宋_GB2312" w:cs="仿宋_GB2312"/>
          <w:b w:val="0"/>
          <w:bCs w:val="0"/>
          <w:snapToGrid/>
          <w:spacing w:val="0"/>
          <w:w w:val="100"/>
          <w:kern w:val="21"/>
          <w:sz w:val="32"/>
          <w:szCs w:val="32"/>
          <w:lang w:val="en-US" w:eastAsia="zh-CN"/>
        </w:rPr>
        <w:t>自助服务设备的日常维护，</w:t>
      </w:r>
      <w:r>
        <w:rPr>
          <w:rFonts w:hint="eastAsia" w:ascii="仿宋_GB2312" w:hAnsi="仿宋_GB2312" w:eastAsia="仿宋_GB2312" w:cs="仿宋_GB2312"/>
          <w:snapToGrid/>
          <w:spacing w:val="0"/>
          <w:w w:val="100"/>
          <w:kern w:val="21"/>
          <w:sz w:val="32"/>
          <w:szCs w:val="32"/>
          <w:lang w:val="en-US" w:eastAsia="zh-CN"/>
        </w:rPr>
        <w:t>规范自助服务事项管理，</w:t>
      </w:r>
      <w:r>
        <w:rPr>
          <w:rFonts w:hint="eastAsia" w:ascii="仿宋_GB2312" w:hAnsi="仿宋_GB2312" w:eastAsia="仿宋_GB2312" w:cs="仿宋_GB2312"/>
          <w:b w:val="0"/>
          <w:bCs w:val="0"/>
          <w:snapToGrid/>
          <w:spacing w:val="0"/>
          <w:w w:val="100"/>
          <w:kern w:val="21"/>
          <w:sz w:val="32"/>
          <w:szCs w:val="32"/>
          <w:lang w:val="en-US" w:eastAsia="zh-CN"/>
        </w:rPr>
        <w:t>完善自助服务事项清单和信息要素，</w:t>
      </w:r>
      <w:r>
        <w:rPr>
          <w:rFonts w:hint="eastAsia" w:ascii="仿宋_GB2312" w:hAnsi="仿宋_GB2312" w:eastAsia="仿宋_GB2312" w:cs="仿宋_GB2312"/>
          <w:snapToGrid/>
          <w:spacing w:val="0"/>
          <w:w w:val="100"/>
          <w:kern w:val="21"/>
          <w:sz w:val="32"/>
          <w:szCs w:val="32"/>
          <w:lang w:val="en-US" w:eastAsia="zh-CN"/>
        </w:rPr>
        <w:t>强化服务指引与</w:t>
      </w:r>
      <w:r>
        <w:rPr>
          <w:rFonts w:hint="eastAsia" w:ascii="仿宋_GB2312" w:hAnsi="仿宋_GB2312" w:eastAsia="仿宋_GB2312" w:cs="仿宋_GB2312"/>
          <w:snapToGrid/>
          <w:color w:val="auto"/>
          <w:spacing w:val="0"/>
          <w:w w:val="100"/>
          <w:kern w:val="21"/>
          <w:sz w:val="32"/>
          <w:szCs w:val="32"/>
          <w:lang w:val="en-US" w:eastAsia="zh-CN"/>
        </w:rPr>
        <w:t>技术</w:t>
      </w:r>
      <w:r>
        <w:rPr>
          <w:rFonts w:hint="eastAsia" w:ascii="仿宋_GB2312" w:hAnsi="仿宋_GB2312" w:eastAsia="仿宋_GB2312" w:cs="仿宋_GB2312"/>
          <w:snapToGrid/>
          <w:spacing w:val="0"/>
          <w:w w:val="100"/>
          <w:kern w:val="21"/>
          <w:sz w:val="32"/>
          <w:szCs w:val="32"/>
          <w:lang w:val="en-US" w:eastAsia="zh-CN"/>
        </w:rPr>
        <w:t>保障，提供清晰易懂的操作指引,切实</w:t>
      </w:r>
      <w:r>
        <w:rPr>
          <w:rFonts w:hint="eastAsia" w:ascii="仿宋_GB2312" w:hAnsi="仿宋_GB2312" w:eastAsia="仿宋_GB2312" w:cs="仿宋_GB2312"/>
          <w:b w:val="0"/>
          <w:bCs w:val="0"/>
          <w:snapToGrid/>
          <w:spacing w:val="0"/>
          <w:w w:val="100"/>
          <w:kern w:val="21"/>
          <w:sz w:val="32"/>
          <w:szCs w:val="32"/>
          <w:lang w:val="en-US" w:eastAsia="zh-CN"/>
        </w:rPr>
        <w:t>提高自助终端利用率。</w:t>
      </w:r>
      <w:r>
        <w:rPr>
          <w:rFonts w:hint="eastAsia" w:ascii="仿宋_GB2312" w:hAnsi="仿宋_GB2312" w:eastAsia="仿宋_GB2312" w:cs="仿宋_GB2312"/>
          <w:snapToGrid/>
          <w:spacing w:val="0"/>
          <w:w w:val="100"/>
          <w:kern w:val="21"/>
          <w:sz w:val="32"/>
          <w:szCs w:val="32"/>
          <w:lang w:val="en-US" w:eastAsia="zh-CN"/>
        </w:rPr>
        <w:t>公布服务电话和应急求助装置，安排专人定期巡查指导，解决自助办理操作难题。同步对接省级政务服务平台，实现自助办理数据与窗口办理数据实时共享、结果互认。</w:t>
      </w:r>
    </w:p>
    <w:p w14:paraId="2B7699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楷体_GB2312" w:hAnsi="楷体_GB2312" w:eastAsia="楷体_GB2312" w:cs="楷体_GB2312"/>
          <w:b/>
          <w:bCs/>
          <w:snapToGrid/>
          <w:spacing w:val="0"/>
          <w:w w:val="100"/>
          <w:kern w:val="21"/>
          <w:sz w:val="32"/>
          <w:szCs w:val="32"/>
          <w:lang w:eastAsia="zh-CN"/>
        </w:rPr>
      </w:pPr>
      <w:r>
        <w:rPr>
          <w:rFonts w:hint="eastAsia" w:ascii="楷体_GB2312" w:hAnsi="楷体_GB2312" w:eastAsia="楷体_GB2312" w:cs="楷体_GB2312"/>
          <w:b/>
          <w:bCs/>
          <w:snapToGrid/>
          <w:spacing w:val="0"/>
          <w:w w:val="100"/>
          <w:kern w:val="21"/>
          <w:sz w:val="32"/>
          <w:szCs w:val="32"/>
        </w:rPr>
        <w:t>（五）暖心服务</w:t>
      </w:r>
      <w:r>
        <w:rPr>
          <w:rFonts w:hint="eastAsia" w:ascii="楷体_GB2312" w:hAnsi="楷体_GB2312" w:eastAsia="楷体_GB2312" w:cs="楷体_GB2312"/>
          <w:b/>
          <w:bCs/>
          <w:snapToGrid/>
          <w:spacing w:val="0"/>
          <w:w w:val="100"/>
          <w:kern w:val="21"/>
          <w:sz w:val="32"/>
          <w:szCs w:val="32"/>
          <w:lang w:eastAsia="zh-CN"/>
        </w:rPr>
        <w:t>。</w:t>
      </w:r>
    </w:p>
    <w:p w14:paraId="746B19F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1.完善暖心服务机制。</w:t>
      </w:r>
      <w:r>
        <w:rPr>
          <w:rFonts w:hint="eastAsia" w:ascii="仿宋_GB2312" w:hAnsi="仿宋_GB2312" w:eastAsia="仿宋_GB2312" w:cs="仿宋_GB2312"/>
          <w:snapToGrid/>
          <w:spacing w:val="0"/>
          <w:w w:val="100"/>
          <w:kern w:val="21"/>
          <w:sz w:val="32"/>
          <w:szCs w:val="32"/>
          <w:lang w:val="en-US" w:eastAsia="zh-CN"/>
        </w:rPr>
        <w:t>优化县级政务服务大厅功能布局，设立“办不成事”反映窗口、“潮汐窗口”，开展提醒、预约、延时、上门等服务，有效满足办事高峰和特殊需求。规范大厅标识标牌，</w:t>
      </w:r>
      <w:r>
        <w:rPr>
          <w:rFonts w:hint="eastAsia" w:ascii="仿宋_GB2312" w:hAnsi="仿宋_GB2312" w:eastAsia="仿宋_GB2312" w:cs="仿宋_GB2312"/>
          <w:snapToGrid/>
          <w:spacing w:val="0"/>
          <w:w w:val="100"/>
          <w:kern w:val="21"/>
          <w:sz w:val="32"/>
          <w:szCs w:val="32"/>
        </w:rPr>
        <w:t>合理配置无障碍通道、</w:t>
      </w:r>
      <w:r>
        <w:rPr>
          <w:rFonts w:hint="eastAsia" w:ascii="仿宋_GB2312" w:hAnsi="仿宋_GB2312" w:eastAsia="仿宋_GB2312" w:cs="仿宋_GB2312"/>
          <w:snapToGrid/>
          <w:spacing w:val="0"/>
          <w:w w:val="100"/>
          <w:kern w:val="21"/>
          <w:sz w:val="32"/>
          <w:szCs w:val="32"/>
          <w:lang w:val="en-US" w:eastAsia="zh-CN"/>
        </w:rPr>
        <w:t>爱心座椅、母婴室、</w:t>
      </w:r>
      <w:r>
        <w:rPr>
          <w:rFonts w:hint="eastAsia" w:ascii="仿宋_GB2312" w:hAnsi="仿宋_GB2312" w:eastAsia="仿宋_GB2312" w:cs="仿宋_GB2312"/>
          <w:snapToGrid/>
          <w:spacing w:val="0"/>
          <w:w w:val="100"/>
          <w:kern w:val="21"/>
          <w:sz w:val="32"/>
          <w:szCs w:val="32"/>
        </w:rPr>
        <w:t>卫生间等设施,</w:t>
      </w:r>
      <w:r>
        <w:rPr>
          <w:rFonts w:hint="eastAsia" w:ascii="仿宋_GB2312" w:hAnsi="仿宋_GB2312" w:eastAsia="仿宋_GB2312" w:cs="仿宋_GB2312"/>
          <w:snapToGrid/>
          <w:spacing w:val="0"/>
          <w:w w:val="100"/>
          <w:kern w:val="21"/>
          <w:sz w:val="32"/>
          <w:szCs w:val="32"/>
          <w:lang w:val="en-US" w:eastAsia="zh-CN"/>
        </w:rPr>
        <w:t>增设手机充电站、免费饮水点、应急药箱、</w:t>
      </w:r>
      <w:r>
        <w:rPr>
          <w:rFonts w:hint="eastAsia" w:ascii="仿宋_GB2312" w:hAnsi="仿宋_GB2312" w:eastAsia="仿宋_GB2312" w:cs="仿宋_GB2312"/>
          <w:snapToGrid/>
          <w:spacing w:val="0"/>
          <w:w w:val="100"/>
          <w:kern w:val="21"/>
          <w:sz w:val="32"/>
          <w:szCs w:val="32"/>
        </w:rPr>
        <w:t>轮椅</w:t>
      </w:r>
      <w:r>
        <w:rPr>
          <w:rFonts w:hint="eastAsia" w:ascii="仿宋_GB2312" w:hAnsi="仿宋_GB2312" w:eastAsia="仿宋_GB2312" w:cs="仿宋_GB2312"/>
          <w:snapToGrid/>
          <w:spacing w:val="0"/>
          <w:w w:val="100"/>
          <w:kern w:val="21"/>
          <w:sz w:val="32"/>
          <w:szCs w:val="32"/>
          <w:lang w:val="en-US" w:eastAsia="zh-CN"/>
        </w:rPr>
        <w:t>等便民设施，做到“企业群众有需求，政务服务有行动”。</w:t>
      </w:r>
    </w:p>
    <w:p w14:paraId="392B38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仿宋_GB2312" w:hAnsi="仿宋_GB2312" w:eastAsia="仿宋_GB2312" w:cs="仿宋_GB2312"/>
          <w:b/>
          <w:bCs/>
          <w:snapToGrid/>
          <w:spacing w:val="0"/>
          <w:w w:val="100"/>
          <w:kern w:val="21"/>
          <w:sz w:val="32"/>
          <w:szCs w:val="32"/>
          <w:lang w:val="en-US" w:eastAsia="zh-CN"/>
        </w:rPr>
        <w:t>2.</w:t>
      </w:r>
      <w:r>
        <w:rPr>
          <w:rFonts w:hint="eastAsia" w:ascii="仿宋_GB2312" w:hAnsi="仿宋_GB2312" w:eastAsia="仿宋_GB2312" w:cs="仿宋_GB2312"/>
          <w:b/>
          <w:bCs/>
          <w:snapToGrid/>
          <w:spacing w:val="0"/>
          <w:w w:val="100"/>
          <w:kern w:val="21"/>
          <w:sz w:val="32"/>
          <w:szCs w:val="32"/>
        </w:rPr>
        <w:t>打造暖心服务感受</w:t>
      </w:r>
      <w:r>
        <w:rPr>
          <w:rFonts w:hint="eastAsia" w:ascii="仿宋_GB2312" w:hAnsi="仿宋_GB2312" w:eastAsia="仿宋_GB2312" w:cs="仿宋_GB2312"/>
          <w:b/>
          <w:bCs/>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严格落实《政务服务大厅窗口工作人员服务规范》，做到主动微笑问好、耐心解答咨询，树立优质高效政务服务形象。规范设置导询台，安排业务精干、热情负责的工作人员引导群众取号，解答办事流程。对特殊群体和重点项目精准对接需求、推行“一对一”全流程帮办代办服务，切实让企业群众感受到温暖和贴心。</w:t>
      </w:r>
    </w:p>
    <w:p w14:paraId="634F16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rPr>
      </w:pPr>
      <w:r>
        <w:rPr>
          <w:rFonts w:hint="eastAsia" w:ascii="仿宋_GB2312" w:hAnsi="仿宋_GB2312" w:eastAsia="仿宋_GB2312" w:cs="仿宋_GB2312"/>
          <w:b/>
          <w:bCs/>
          <w:snapToGrid/>
          <w:spacing w:val="0"/>
          <w:w w:val="100"/>
          <w:kern w:val="21"/>
          <w:sz w:val="32"/>
          <w:szCs w:val="32"/>
          <w:lang w:val="en-US" w:eastAsia="zh-CN"/>
        </w:rPr>
        <w:t>3.</w:t>
      </w:r>
      <w:r>
        <w:rPr>
          <w:rFonts w:hint="eastAsia" w:ascii="仿宋_GB2312" w:hAnsi="仿宋_GB2312" w:eastAsia="仿宋_GB2312" w:cs="仿宋_GB2312"/>
          <w:b/>
          <w:bCs/>
          <w:snapToGrid/>
          <w:spacing w:val="0"/>
          <w:w w:val="100"/>
          <w:kern w:val="21"/>
          <w:sz w:val="32"/>
          <w:szCs w:val="32"/>
        </w:rPr>
        <w:t>提供暖心服务保障。</w:t>
      </w:r>
      <w:r>
        <w:rPr>
          <w:rFonts w:hint="eastAsia" w:ascii="仿宋_GB2312" w:hAnsi="仿宋_GB2312" w:eastAsia="仿宋_GB2312" w:cs="仿宋_GB2312"/>
          <w:snapToGrid/>
          <w:spacing w:val="0"/>
          <w:w w:val="100"/>
          <w:kern w:val="21"/>
          <w:sz w:val="32"/>
          <w:szCs w:val="32"/>
          <w:lang w:val="en-US" w:eastAsia="zh-CN"/>
        </w:rPr>
        <w:t>全面落实“好差评”五项机制，引导企业群众以网上评价为主、“二维码+纸质卡片”评价为辅，形成“评价—整改—优化—提升”的闭环管理机制。定期邀请人大代表、政协委员、政务服务义务监督员、企业群众代表，开展“进大厅走流程，评政务优环境”等活动，听取各方意见建议。落实政务大厅领导带班坐班制度，设置矛盾纠纷调解室，高效解决企业群众办事疑难问题，确保“事事有回应、件件有着落”。</w:t>
      </w:r>
    </w:p>
    <w:p w14:paraId="2F6AD2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snapToGrid/>
          <w:spacing w:val="0"/>
          <w:w w:val="100"/>
          <w:kern w:val="21"/>
          <w:sz w:val="32"/>
          <w:szCs w:val="32"/>
          <w:lang w:val="en-US" w:eastAsia="zh-CN"/>
        </w:rPr>
      </w:pPr>
      <w:r>
        <w:rPr>
          <w:rFonts w:hint="eastAsia" w:ascii="黑体" w:hAnsi="黑体" w:eastAsia="黑体" w:cs="黑体"/>
          <w:snapToGrid/>
          <w:spacing w:val="0"/>
          <w:w w:val="100"/>
          <w:kern w:val="21"/>
          <w:sz w:val="32"/>
          <w:szCs w:val="32"/>
        </w:rPr>
        <w:t>三</w:t>
      </w:r>
      <w:r>
        <w:rPr>
          <w:rFonts w:hint="eastAsia" w:ascii="黑体" w:hAnsi="黑体" w:eastAsia="黑体" w:cs="黑体"/>
          <w:snapToGrid/>
          <w:spacing w:val="0"/>
          <w:w w:val="100"/>
          <w:kern w:val="21"/>
          <w:sz w:val="32"/>
          <w:szCs w:val="32"/>
          <w:lang w:eastAsia="zh-CN"/>
        </w:rPr>
        <w:t>、</w:t>
      </w:r>
      <w:r>
        <w:rPr>
          <w:rFonts w:hint="eastAsia" w:ascii="黑体" w:hAnsi="黑体" w:eastAsia="黑体" w:cs="黑体"/>
          <w:snapToGrid/>
          <w:spacing w:val="0"/>
          <w:w w:val="100"/>
          <w:kern w:val="21"/>
          <w:sz w:val="32"/>
          <w:szCs w:val="32"/>
          <w:lang w:val="en-US" w:eastAsia="zh-CN"/>
        </w:rPr>
        <w:t>工作要求</w:t>
      </w:r>
    </w:p>
    <w:p w14:paraId="19D762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仿宋_GB2312" w:hAnsi="仿宋_GB2312" w:eastAsia="仿宋_GB2312" w:cs="仿宋_GB2312"/>
          <w:snapToGrid/>
          <w:spacing w:val="0"/>
          <w:w w:val="100"/>
          <w:kern w:val="21"/>
          <w:sz w:val="32"/>
          <w:szCs w:val="32"/>
          <w:lang w:val="en-US" w:eastAsia="zh-CN"/>
        </w:rPr>
      </w:pPr>
      <w:r>
        <w:rPr>
          <w:rFonts w:hint="eastAsia" w:ascii="楷体_GB2312" w:hAnsi="楷体_GB2312" w:eastAsia="楷体_GB2312" w:cs="楷体_GB2312"/>
          <w:b/>
          <w:bCs/>
          <w:snapToGrid/>
          <w:spacing w:val="0"/>
          <w:w w:val="100"/>
          <w:kern w:val="21"/>
          <w:sz w:val="32"/>
          <w:szCs w:val="32"/>
          <w:lang w:eastAsia="zh-CN"/>
        </w:rPr>
        <w:t>（</w:t>
      </w:r>
      <w:r>
        <w:rPr>
          <w:rFonts w:hint="eastAsia" w:ascii="楷体_GB2312" w:hAnsi="楷体_GB2312" w:eastAsia="楷体_GB2312" w:cs="楷体_GB2312"/>
          <w:b/>
          <w:bCs/>
          <w:snapToGrid/>
          <w:spacing w:val="0"/>
          <w:w w:val="100"/>
          <w:kern w:val="21"/>
          <w:sz w:val="32"/>
          <w:szCs w:val="32"/>
          <w:lang w:val="en-US" w:eastAsia="zh-CN"/>
        </w:rPr>
        <w:t>一</w:t>
      </w:r>
      <w:r>
        <w:rPr>
          <w:rFonts w:hint="eastAsia" w:ascii="楷体_GB2312" w:hAnsi="楷体_GB2312" w:eastAsia="楷体_GB2312" w:cs="楷体_GB2312"/>
          <w:b/>
          <w:bCs/>
          <w:snapToGrid/>
          <w:spacing w:val="0"/>
          <w:w w:val="100"/>
          <w:kern w:val="21"/>
          <w:sz w:val="32"/>
          <w:szCs w:val="32"/>
          <w:lang w:eastAsia="zh-CN"/>
        </w:rPr>
        <w:t>）</w:t>
      </w:r>
      <w:r>
        <w:rPr>
          <w:rFonts w:hint="eastAsia" w:ascii="楷体_GB2312" w:hAnsi="楷体_GB2312" w:eastAsia="楷体_GB2312" w:cs="楷体_GB2312"/>
          <w:b/>
          <w:bCs/>
          <w:snapToGrid/>
          <w:spacing w:val="0"/>
          <w:w w:val="100"/>
          <w:kern w:val="21"/>
          <w:sz w:val="32"/>
          <w:szCs w:val="32"/>
        </w:rPr>
        <w:t>强化组织统筹</w:t>
      </w:r>
      <w:r>
        <w:rPr>
          <w:rFonts w:hint="eastAsia" w:ascii="楷体_GB2312" w:hAnsi="楷体_GB2312" w:eastAsia="楷体_GB2312" w:cs="楷体_GB2312"/>
          <w:b/>
          <w:bCs/>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各镇街、各有关部门要深刻认识打造“宝您满意·眉好政务服务”品牌的重要意义，进一步提高思想认识，按照“主要领导负总责、分管领导具体抓、责任股室抓落实”的原则，建立分级负责的工作推进机制。对照重点任务清单，明确任务分工和完成时限，实行台账管理和定期调度。工作推进中遇到的突出问题，应及时沟通对接并协调解决，确保各项任务按计划有序推进。</w:t>
      </w:r>
    </w:p>
    <w:p w14:paraId="41D65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napToGrid/>
          <w:spacing w:val="0"/>
          <w:w w:val="100"/>
          <w:kern w:val="21"/>
          <w:sz w:val="32"/>
          <w:szCs w:val="32"/>
          <w:lang w:val="en-US" w:eastAsia="zh-CN"/>
        </w:rPr>
      </w:pPr>
      <w:r>
        <w:rPr>
          <w:rFonts w:hint="eastAsia" w:ascii="楷体_GB2312" w:hAnsi="楷体_GB2312" w:eastAsia="楷体_GB2312" w:cs="楷体_GB2312"/>
          <w:b/>
          <w:bCs/>
          <w:snapToGrid/>
          <w:spacing w:val="0"/>
          <w:w w:val="100"/>
          <w:kern w:val="21"/>
          <w:sz w:val="32"/>
          <w:szCs w:val="32"/>
          <w:lang w:eastAsia="zh-CN"/>
        </w:rPr>
        <w:t>（</w:t>
      </w:r>
      <w:r>
        <w:rPr>
          <w:rFonts w:hint="eastAsia" w:ascii="楷体_GB2312" w:hAnsi="楷体_GB2312" w:eastAsia="楷体_GB2312" w:cs="楷体_GB2312"/>
          <w:b/>
          <w:bCs/>
          <w:snapToGrid/>
          <w:spacing w:val="0"/>
          <w:w w:val="100"/>
          <w:kern w:val="21"/>
          <w:sz w:val="32"/>
          <w:szCs w:val="32"/>
          <w:lang w:val="en-US" w:eastAsia="zh-CN"/>
        </w:rPr>
        <w:t>二</w:t>
      </w:r>
      <w:r>
        <w:rPr>
          <w:rFonts w:hint="eastAsia" w:ascii="楷体_GB2312" w:hAnsi="楷体_GB2312" w:eastAsia="楷体_GB2312" w:cs="楷体_GB2312"/>
          <w:b/>
          <w:bCs/>
          <w:snapToGrid/>
          <w:spacing w:val="0"/>
          <w:w w:val="100"/>
          <w:kern w:val="21"/>
          <w:sz w:val="32"/>
          <w:szCs w:val="32"/>
          <w:lang w:eastAsia="zh-CN"/>
        </w:rPr>
        <w:t>）</w:t>
      </w:r>
      <w:r>
        <w:rPr>
          <w:rFonts w:hint="eastAsia" w:ascii="楷体_GB2312" w:hAnsi="楷体_GB2312" w:eastAsia="楷体_GB2312" w:cs="楷体_GB2312"/>
          <w:b/>
          <w:bCs/>
          <w:snapToGrid/>
          <w:spacing w:val="0"/>
          <w:w w:val="100"/>
          <w:kern w:val="21"/>
          <w:sz w:val="32"/>
          <w:szCs w:val="32"/>
        </w:rPr>
        <w:t>强化部门协同</w:t>
      </w:r>
      <w:r>
        <w:rPr>
          <w:rFonts w:hint="eastAsia" w:ascii="楷体_GB2312" w:hAnsi="楷体_GB2312" w:eastAsia="楷体_GB2312" w:cs="楷体_GB2312"/>
          <w:b/>
          <w:bCs/>
          <w:snapToGrid/>
          <w:spacing w:val="0"/>
          <w:w w:val="100"/>
          <w:kern w:val="21"/>
          <w:sz w:val="32"/>
          <w:szCs w:val="32"/>
          <w:lang w:eastAsia="zh-CN"/>
        </w:rPr>
        <w:t>。</w:t>
      </w:r>
      <w:r>
        <w:rPr>
          <w:rFonts w:hint="eastAsia" w:ascii="仿宋_GB2312" w:hAnsi="仿宋_GB2312" w:eastAsia="仿宋_GB2312" w:cs="仿宋_GB2312"/>
          <w:snapToGrid/>
          <w:spacing w:val="0"/>
          <w:w w:val="100"/>
          <w:kern w:val="21"/>
          <w:sz w:val="32"/>
          <w:szCs w:val="32"/>
          <w:lang w:val="en-US" w:eastAsia="zh-CN"/>
        </w:rPr>
        <w:t>各镇街、各有关部门要建立跨部门、跨层级协同工作机制，合力推动各项任务落地见效。县行政审批服务局负责统筹协调，各责任单位负责紧扣“五个服务”目标，重点在政务效率、服务便捷、政策惠民、环境优化、权益保障等方面细化工作举措，切实提升“宝您满意·眉好政务服务”品牌质效。镇街要做好品牌建设落地衔接工作，及时反馈基层群众需求，配合县级部门推进品牌服务向基层延伸。</w:t>
      </w:r>
    </w:p>
    <w:p w14:paraId="5E53AB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napToGrid/>
          <w:spacing w:val="0"/>
          <w:w w:val="100"/>
          <w:kern w:val="21"/>
          <w:sz w:val="32"/>
          <w:szCs w:val="32"/>
          <w:lang w:val="en-US" w:eastAsia="zh-CN"/>
        </w:rPr>
        <w:t>（三）强化宣传推广。</w:t>
      </w:r>
      <w:r>
        <w:rPr>
          <w:rFonts w:hint="eastAsia" w:ascii="仿宋_GB2312" w:hAnsi="仿宋_GB2312" w:eastAsia="仿宋_GB2312" w:cs="仿宋_GB2312"/>
          <w:snapToGrid/>
          <w:spacing w:val="0"/>
          <w:w w:val="100"/>
          <w:kern w:val="21"/>
          <w:sz w:val="32"/>
          <w:szCs w:val="32"/>
          <w:lang w:val="en-US" w:eastAsia="zh-CN"/>
        </w:rPr>
        <w:t>各镇街、各有关部门要围绕“宝您满意·眉好政务”服务品牌核心内涵，整合线上线下宣传资源，</w:t>
      </w:r>
      <w:r>
        <w:rPr>
          <w:rFonts w:hint="eastAsia" w:ascii="仿宋_GB2312" w:hAnsi="仿宋_GB2312" w:eastAsia="仿宋_GB2312" w:cs="仿宋_GB2312"/>
          <w:sz w:val="32"/>
          <w:szCs w:val="32"/>
          <w:lang w:val="en-US" w:eastAsia="zh-CN"/>
        </w:rPr>
        <w:t>构建全方位宣传推广体系。充分利用宣传栏、电子屏、微信公众号、短视频等载体，定期推送</w:t>
      </w:r>
      <w:r>
        <w:rPr>
          <w:rFonts w:hint="eastAsia" w:ascii="仿宋_GB2312" w:hAnsi="仿宋_GB2312" w:eastAsia="仿宋_GB2312" w:cs="仿宋_GB2312"/>
          <w:b w:val="0"/>
          <w:bCs w:val="0"/>
          <w:color w:val="auto"/>
          <w:sz w:val="32"/>
          <w:szCs w:val="32"/>
          <w:lang w:val="en-US" w:eastAsia="zh-CN"/>
        </w:rPr>
        <w:t>高频事项办事流程、便民利企政策、品牌服务特色</w:t>
      </w:r>
      <w:r>
        <w:rPr>
          <w:rFonts w:hint="eastAsia" w:ascii="仿宋_GB2312" w:hAnsi="仿宋_GB2312" w:eastAsia="仿宋_GB2312" w:cs="仿宋_GB2312"/>
          <w:sz w:val="32"/>
          <w:szCs w:val="32"/>
          <w:lang w:val="en-US" w:eastAsia="zh-CN"/>
        </w:rPr>
        <w:t>亮点等内容，并深入挖掘和总结品牌建设中的经验做法与工作成效，持续扩大品牌影响力，真正让“宝您满意·眉好政务服务”品牌深入人心。</w:t>
      </w:r>
    </w:p>
    <w:p w14:paraId="5BB9B3E7">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sz w:val="32"/>
          <w:szCs w:val="32"/>
          <w:lang w:val="en-US" w:eastAsia="zh-CN"/>
        </w:rPr>
      </w:pPr>
    </w:p>
    <w:p w14:paraId="2B082093">
      <w:pPr>
        <w:pStyle w:val="7"/>
        <w:keepNext w:val="0"/>
        <w:keepLines w:val="0"/>
        <w:pageBreakBefore w:val="0"/>
        <w:widowControl w:val="0"/>
        <w:kinsoku/>
        <w:wordWrap/>
        <w:overflowPunct/>
        <w:topLinePunct w:val="0"/>
        <w:autoSpaceDE/>
        <w:autoSpaceDN/>
        <w:bidi w:val="0"/>
        <w:adjustRightInd/>
        <w:snapToGrid/>
        <w:spacing w:after="0" w:line="560" w:lineRule="exact"/>
        <w:ind w:left="1598" w:leftChars="304" w:hanging="960" w:hangingChars="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kern w:val="2"/>
          <w:sz w:val="32"/>
          <w:szCs w:val="32"/>
          <w:lang w:val="en-US" w:eastAsia="zh-CN" w:bidi="ar-SA"/>
        </w:rPr>
        <w:t>眉县打造“宝您满意·眉好政务”服务品牌建设重点任务清单</w:t>
      </w:r>
    </w:p>
    <w:p w14:paraId="610ED62F">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5AAD5B00">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01162557">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71C180D5">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053B4CAC">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0161EF61">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48497C4D">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357F1D86">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24C9A053">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p>
    <w:p w14:paraId="12B40683">
      <w:pPr>
        <w:pStyle w:val="7"/>
        <w:ind w:left="0" w:leftChars="0" w:firstLine="0" w:firstLineChars="0"/>
        <w:rPr>
          <w:rFonts w:hint="eastAsia"/>
          <w:lang w:val="en-US" w:eastAsia="zh-CN"/>
        </w:rPr>
      </w:pPr>
    </w:p>
    <w:p w14:paraId="0077D7C3">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35BF035C">
      <w:pPr>
        <w:keepNext w:val="0"/>
        <w:keepLines w:val="0"/>
        <w:pageBreakBefore w:val="0"/>
        <w:widowControl w:val="0"/>
        <w:kinsoku/>
        <w:wordWrap/>
        <w:topLinePunct w:val="0"/>
        <w:autoSpaceDE/>
        <w:autoSpaceDN/>
        <w:bidi w:val="0"/>
        <w:spacing w:line="54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5D90C205">
      <w:pPr>
        <w:pStyle w:val="6"/>
        <w:rPr>
          <w:rFonts w:hint="eastAsia"/>
          <w:lang w:eastAsia="zh-CN"/>
        </w:rPr>
      </w:pPr>
    </w:p>
    <w:p w14:paraId="711C31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w w:val="98"/>
          <w:sz w:val="44"/>
          <w:szCs w:val="44"/>
          <w:lang w:val="en-US" w:eastAsia="zh-CN"/>
        </w:rPr>
        <w:t>眉县</w:t>
      </w:r>
      <w:r>
        <w:rPr>
          <w:rFonts w:hint="eastAsia" w:ascii="方正小标宋简体" w:hAnsi="方正小标宋简体" w:eastAsia="方正小标宋简体" w:cs="方正小标宋简体"/>
          <w:w w:val="98"/>
          <w:sz w:val="44"/>
          <w:szCs w:val="44"/>
        </w:rPr>
        <w:t>打造“宝您满意·眉好政务</w:t>
      </w:r>
      <w:r>
        <w:rPr>
          <w:rFonts w:hint="eastAsia" w:ascii="方正小标宋简体" w:hAnsi="方正小标宋简体" w:eastAsia="方正小标宋简体" w:cs="方正小标宋简体"/>
          <w:w w:val="98"/>
          <w:sz w:val="44"/>
          <w:szCs w:val="44"/>
          <w:lang w:eastAsia="zh-CN"/>
        </w:rPr>
        <w:t>”</w:t>
      </w:r>
      <w:r>
        <w:rPr>
          <w:rFonts w:hint="eastAsia" w:ascii="方正小标宋简体" w:hAnsi="方正小标宋简体" w:eastAsia="方正小标宋简体" w:cs="方正小标宋简体"/>
          <w:sz w:val="44"/>
          <w:szCs w:val="44"/>
        </w:rPr>
        <w:t>服务品牌</w:t>
      </w:r>
      <w:r>
        <w:rPr>
          <w:rFonts w:hint="eastAsia" w:ascii="方正小标宋简体" w:hAnsi="方正小标宋简体" w:eastAsia="方正小标宋简体" w:cs="方正小标宋简体"/>
          <w:sz w:val="44"/>
          <w:szCs w:val="44"/>
          <w:lang w:val="en-US" w:eastAsia="zh-CN"/>
        </w:rPr>
        <w:t>建设</w:t>
      </w:r>
      <w:r>
        <w:rPr>
          <w:rFonts w:hint="eastAsia" w:ascii="方正小标宋简体" w:hAnsi="方正小标宋简体" w:eastAsia="方正小标宋简体" w:cs="方正小标宋简体"/>
          <w:sz w:val="44"/>
          <w:szCs w:val="44"/>
          <w:lang w:eastAsia="zh-CN"/>
        </w:rPr>
        <w:t>重点任务清单</w:t>
      </w:r>
    </w:p>
    <w:p w14:paraId="3288DAC6">
      <w:pPr>
        <w:pStyle w:val="6"/>
        <w:rPr>
          <w:rFonts w:hint="eastAsia"/>
          <w:lang w:eastAsia="zh-CN"/>
        </w:rPr>
      </w:pPr>
    </w:p>
    <w:tbl>
      <w:tblPr>
        <w:tblStyle w:val="13"/>
        <w:tblW w:w="9870"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60"/>
        <w:gridCol w:w="990"/>
        <w:gridCol w:w="5422"/>
        <w:gridCol w:w="1980"/>
      </w:tblGrid>
      <w:tr w14:paraId="0A56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18" w:type="dxa"/>
            <w:vAlign w:val="center"/>
          </w:tcPr>
          <w:p w14:paraId="435885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序号</w:t>
            </w:r>
          </w:p>
        </w:tc>
        <w:tc>
          <w:tcPr>
            <w:tcW w:w="1650" w:type="dxa"/>
            <w:gridSpan w:val="2"/>
            <w:vAlign w:val="center"/>
          </w:tcPr>
          <w:p w14:paraId="44EF1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重点任务</w:t>
            </w:r>
          </w:p>
        </w:tc>
        <w:tc>
          <w:tcPr>
            <w:tcW w:w="5422" w:type="dxa"/>
            <w:vAlign w:val="center"/>
          </w:tcPr>
          <w:p w14:paraId="709539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具体措施</w:t>
            </w:r>
          </w:p>
        </w:tc>
        <w:tc>
          <w:tcPr>
            <w:tcW w:w="1980" w:type="dxa"/>
            <w:vAlign w:val="center"/>
          </w:tcPr>
          <w:p w14:paraId="3942D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责任单位</w:t>
            </w:r>
          </w:p>
        </w:tc>
      </w:tr>
      <w:tr w14:paraId="3AB8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18" w:type="dxa"/>
            <w:vAlign w:val="center"/>
          </w:tcPr>
          <w:p w14:paraId="3AD8D9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660" w:type="dxa"/>
            <w:vMerge w:val="restart"/>
            <w:vAlign w:val="center"/>
          </w:tcPr>
          <w:p w14:paraId="7CB1451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高效</w:t>
            </w:r>
          </w:p>
          <w:p w14:paraId="15C6A04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服务</w:t>
            </w:r>
          </w:p>
        </w:tc>
        <w:tc>
          <w:tcPr>
            <w:tcW w:w="990" w:type="dxa"/>
            <w:vAlign w:val="center"/>
          </w:tcPr>
          <w:p w14:paraId="6BB4658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1.限时办理保效能</w:t>
            </w:r>
          </w:p>
        </w:tc>
        <w:tc>
          <w:tcPr>
            <w:tcW w:w="5422" w:type="dxa"/>
            <w:vAlign w:val="center"/>
          </w:tcPr>
          <w:p w14:paraId="186ADFF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lang w:val="en-US" w:eastAsia="zh-CN"/>
              </w:rPr>
              <w:t>严格执行新修订的《限时办结制度》，确保事项按时办结率达100%。建立“临期提醒、超时预警、专人督办”全流程管控机制，对临近办结时限的事项提醒承办人员，对超时未办事项立即启动督办程序。</w:t>
            </w:r>
          </w:p>
        </w:tc>
        <w:tc>
          <w:tcPr>
            <w:tcW w:w="1980" w:type="dxa"/>
            <w:vAlign w:val="center"/>
          </w:tcPr>
          <w:p w14:paraId="0730965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县级各有关部门、各镇街</w:t>
            </w:r>
          </w:p>
        </w:tc>
      </w:tr>
      <w:tr w14:paraId="15B0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18" w:type="dxa"/>
            <w:vAlign w:val="center"/>
          </w:tcPr>
          <w:p w14:paraId="0199CD9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w:t>
            </w:r>
          </w:p>
        </w:tc>
        <w:tc>
          <w:tcPr>
            <w:tcW w:w="660" w:type="dxa"/>
            <w:vMerge w:val="continue"/>
          </w:tcPr>
          <w:p w14:paraId="2DCFCB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34B81DF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val="en-US" w:eastAsia="zh-CN"/>
              </w:rPr>
              <w:t>2.优化流程提效能</w:t>
            </w:r>
          </w:p>
        </w:tc>
        <w:tc>
          <w:tcPr>
            <w:tcW w:w="5422" w:type="dxa"/>
            <w:vAlign w:val="center"/>
          </w:tcPr>
          <w:p w14:paraId="51725D4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lang w:val="en-US" w:eastAsia="zh-CN"/>
              </w:rPr>
              <w:t>聚焦企业和个人全生命周期服务需求，推动县级“高效办成一件事”落地见效，推行关联事项集成办,容缺事项承诺办、异地事项跨域办、政策服务免审办，实现“一次告知、一表申请、一套材料、一窗（站）受理、一网办理”，“高效办成一件事”全程网办率达到100%。</w:t>
            </w:r>
          </w:p>
        </w:tc>
        <w:tc>
          <w:tcPr>
            <w:tcW w:w="1980" w:type="dxa"/>
            <w:vAlign w:val="center"/>
          </w:tcPr>
          <w:p w14:paraId="0CADBFD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eastAsia="zh-CN"/>
              </w:rPr>
              <w:t>县“高效办成一件事”</w:t>
            </w:r>
            <w:r>
              <w:rPr>
                <w:rFonts w:hint="eastAsia" w:ascii="仿宋_GB2312" w:hAnsi="仿宋_GB2312" w:eastAsia="仿宋_GB2312" w:cs="仿宋_GB2312"/>
                <w:sz w:val="22"/>
                <w:szCs w:val="22"/>
                <w:vertAlign w:val="baseline"/>
                <w:lang w:val="en-US" w:eastAsia="zh-CN"/>
              </w:rPr>
              <w:t>各</w:t>
            </w:r>
            <w:r>
              <w:rPr>
                <w:rFonts w:hint="eastAsia" w:ascii="仿宋_GB2312" w:hAnsi="仿宋_GB2312" w:eastAsia="仿宋_GB2312" w:cs="仿宋_GB2312"/>
                <w:sz w:val="22"/>
                <w:szCs w:val="22"/>
                <w:vertAlign w:val="baseline"/>
                <w:lang w:eastAsia="zh-CN"/>
              </w:rPr>
              <w:t>牵头部门及责任部门、</w:t>
            </w:r>
            <w:r>
              <w:rPr>
                <w:rFonts w:hint="eastAsia" w:ascii="仿宋_GB2312" w:hAnsi="仿宋_GB2312" w:eastAsia="仿宋_GB2312" w:cs="仿宋_GB2312"/>
                <w:sz w:val="22"/>
                <w:szCs w:val="22"/>
                <w:vertAlign w:val="baseline"/>
                <w:lang w:val="en-US" w:eastAsia="zh-CN"/>
              </w:rPr>
              <w:t>各镇街</w:t>
            </w:r>
          </w:p>
        </w:tc>
      </w:tr>
      <w:tr w14:paraId="62C0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18" w:type="dxa"/>
            <w:vAlign w:val="center"/>
          </w:tcPr>
          <w:p w14:paraId="18ACAC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w:t>
            </w:r>
          </w:p>
        </w:tc>
        <w:tc>
          <w:tcPr>
            <w:tcW w:w="660" w:type="dxa"/>
            <w:vMerge w:val="continue"/>
          </w:tcPr>
          <w:p w14:paraId="639FB38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eastAsia="zh-CN"/>
              </w:rPr>
            </w:pPr>
          </w:p>
        </w:tc>
        <w:tc>
          <w:tcPr>
            <w:tcW w:w="990" w:type="dxa"/>
            <w:vAlign w:val="center"/>
          </w:tcPr>
          <w:p w14:paraId="647B1F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3.创新模式增效能</w:t>
            </w:r>
          </w:p>
        </w:tc>
        <w:tc>
          <w:tcPr>
            <w:tcW w:w="5422" w:type="dxa"/>
            <w:vAlign w:val="center"/>
          </w:tcPr>
          <w:p w14:paraId="6F2AA94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lang w:val="en-US" w:eastAsia="zh-CN"/>
              </w:rPr>
              <w:t>持续减少办事环节、精简申请材料、压缩办理时限，优化工作流程，将更多事项纳入即办事项管理清单，全面推行“六化（标准化、规范化、便利化、数字化、共享化、协同化）六办”（一门办、一网办、一次办、就近办、掌上办、合力办）服务模式，推动政务服务从“能办、可办”向“好办、快办、易办”转变。</w:t>
            </w:r>
          </w:p>
        </w:tc>
        <w:tc>
          <w:tcPr>
            <w:tcW w:w="1980" w:type="dxa"/>
            <w:vAlign w:val="center"/>
          </w:tcPr>
          <w:p w14:paraId="3CE9346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vertAlign w:val="baseline"/>
                <w:lang w:eastAsia="zh-CN"/>
              </w:rPr>
            </w:pPr>
            <w:r>
              <w:rPr>
                <w:rFonts w:hint="eastAsia" w:ascii="仿宋_GB2312" w:hAnsi="仿宋_GB2312" w:eastAsia="仿宋_GB2312" w:cs="仿宋_GB2312"/>
                <w:sz w:val="22"/>
                <w:szCs w:val="22"/>
                <w:vertAlign w:val="baseline"/>
                <w:lang w:val="en-US" w:eastAsia="zh-CN"/>
              </w:rPr>
              <w:t>县级各有关部门、各镇街</w:t>
            </w:r>
          </w:p>
        </w:tc>
      </w:tr>
      <w:tr w14:paraId="3AF4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18" w:type="dxa"/>
            <w:vAlign w:val="center"/>
          </w:tcPr>
          <w:p w14:paraId="17FDC3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4</w:t>
            </w:r>
          </w:p>
        </w:tc>
        <w:tc>
          <w:tcPr>
            <w:tcW w:w="660" w:type="dxa"/>
            <w:vMerge w:val="restart"/>
            <w:vAlign w:val="center"/>
          </w:tcPr>
          <w:p w14:paraId="02042A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标准</w:t>
            </w:r>
          </w:p>
          <w:p w14:paraId="71517B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服务</w:t>
            </w:r>
          </w:p>
        </w:tc>
        <w:tc>
          <w:tcPr>
            <w:tcW w:w="990" w:type="dxa"/>
            <w:shd w:val="clear" w:color="auto" w:fill="auto"/>
            <w:vAlign w:val="center"/>
          </w:tcPr>
          <w:p w14:paraId="56F236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1.推进政务服务事项标准化</w:t>
            </w:r>
          </w:p>
        </w:tc>
        <w:tc>
          <w:tcPr>
            <w:tcW w:w="5422" w:type="dxa"/>
            <w:vAlign w:val="center"/>
          </w:tcPr>
          <w:p w14:paraId="78FA8810">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健全三级政务服务事项清单，明确县镇村政务服务事项，精准认领政务服务事项清单，确保准确全面。建立清单动态调整机制，实现政务服务事项权责清晰、数据同源、动态更新、联动管理。</w:t>
            </w:r>
          </w:p>
        </w:tc>
        <w:tc>
          <w:tcPr>
            <w:tcW w:w="1980" w:type="dxa"/>
            <w:vAlign w:val="center"/>
          </w:tcPr>
          <w:p w14:paraId="46314E0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vertAlign w:val="baseline"/>
                <w:lang w:eastAsia="zh-CN"/>
              </w:rPr>
              <w:t>县职转和营商办、</w:t>
            </w:r>
            <w:r>
              <w:rPr>
                <w:rFonts w:hint="eastAsia" w:ascii="仿宋_GB2312" w:hAnsi="仿宋_GB2312" w:eastAsia="仿宋_GB2312" w:cs="仿宋_GB2312"/>
                <w:sz w:val="22"/>
                <w:szCs w:val="22"/>
                <w:vertAlign w:val="baseline"/>
                <w:lang w:val="en-US" w:eastAsia="zh-CN"/>
              </w:rPr>
              <w:t>县级各有关部门</w:t>
            </w:r>
          </w:p>
        </w:tc>
      </w:tr>
      <w:tr w14:paraId="431D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18" w:type="dxa"/>
            <w:vAlign w:val="center"/>
          </w:tcPr>
          <w:p w14:paraId="4ACB23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w:t>
            </w:r>
          </w:p>
        </w:tc>
        <w:tc>
          <w:tcPr>
            <w:tcW w:w="660" w:type="dxa"/>
            <w:vMerge w:val="continue"/>
            <w:vAlign w:val="center"/>
          </w:tcPr>
          <w:p w14:paraId="70040D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p>
        </w:tc>
        <w:tc>
          <w:tcPr>
            <w:tcW w:w="990" w:type="dxa"/>
            <w:shd w:val="clear" w:color="auto" w:fill="auto"/>
            <w:vAlign w:val="center"/>
          </w:tcPr>
          <w:p w14:paraId="531D15F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2.推进事项办理服务标准化</w:t>
            </w:r>
          </w:p>
        </w:tc>
        <w:tc>
          <w:tcPr>
            <w:tcW w:w="5422" w:type="dxa"/>
            <w:shd w:val="clear" w:color="auto" w:fill="auto"/>
            <w:vAlign w:val="center"/>
          </w:tcPr>
          <w:p w14:paraId="0869270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全力推进《办事服务指南》标准化编制工作，明确事项受理条件、办结时限、办理流程等办事指南核心要素，通过线上线下进行公示并同步更新，实现同一事项“无差别受理、同标准办理”。</w:t>
            </w:r>
          </w:p>
        </w:tc>
        <w:tc>
          <w:tcPr>
            <w:tcW w:w="1980" w:type="dxa"/>
            <w:shd w:val="clear" w:color="auto" w:fill="auto"/>
            <w:vAlign w:val="center"/>
          </w:tcPr>
          <w:p w14:paraId="214DB17C">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eastAsia="zh-CN"/>
              </w:rPr>
              <w:t>县职转和营商办、县级有关部门</w:t>
            </w:r>
          </w:p>
        </w:tc>
      </w:tr>
      <w:tr w14:paraId="3BB8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18" w:type="dxa"/>
            <w:vAlign w:val="center"/>
          </w:tcPr>
          <w:p w14:paraId="0A8BE3C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6</w:t>
            </w:r>
          </w:p>
        </w:tc>
        <w:tc>
          <w:tcPr>
            <w:tcW w:w="660" w:type="dxa"/>
            <w:vMerge w:val="continue"/>
            <w:vAlign w:val="center"/>
          </w:tcPr>
          <w:p w14:paraId="4D7ACD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p>
        </w:tc>
        <w:tc>
          <w:tcPr>
            <w:tcW w:w="990" w:type="dxa"/>
            <w:shd w:val="clear" w:color="auto" w:fill="auto"/>
            <w:vAlign w:val="center"/>
          </w:tcPr>
          <w:p w14:paraId="6E9599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3.推进政务服务管理标准化</w:t>
            </w:r>
          </w:p>
        </w:tc>
        <w:tc>
          <w:tcPr>
            <w:tcW w:w="5422" w:type="dxa"/>
            <w:shd w:val="clear" w:color="auto" w:fill="auto"/>
            <w:vAlign w:val="center"/>
          </w:tcPr>
          <w:p w14:paraId="2B89BA3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合理配置窗口工作人员,明确岗位职责标准和专业能力要求。组建专项督帮小组，实行“发现-整改-复核-销号”闭环管理机制。明晰政务服务事项“受理、审核、办结、反馈、归档”各环节操作标准、责任主体及时限要求，实现事项运行标准统一、办理路径明确清晰。</w:t>
            </w:r>
          </w:p>
        </w:tc>
        <w:tc>
          <w:tcPr>
            <w:tcW w:w="1980" w:type="dxa"/>
            <w:shd w:val="clear" w:color="auto" w:fill="auto"/>
            <w:vAlign w:val="center"/>
          </w:tcPr>
          <w:p w14:paraId="7C2065FA">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eastAsia="zh-CN"/>
              </w:rPr>
              <w:t>县职转和营商办、县级有关部门</w:t>
            </w:r>
            <w:r>
              <w:rPr>
                <w:rFonts w:hint="eastAsia" w:ascii="仿宋_GB2312" w:hAnsi="仿宋_GB2312" w:eastAsia="仿宋_GB2312" w:cs="仿宋_GB2312"/>
                <w:sz w:val="22"/>
                <w:szCs w:val="22"/>
                <w:vertAlign w:val="baseline"/>
                <w:lang w:val="en-US" w:eastAsia="zh-CN"/>
              </w:rPr>
              <w:t>、各镇街</w:t>
            </w:r>
          </w:p>
        </w:tc>
      </w:tr>
      <w:tr w14:paraId="0A5A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8" w:type="dxa"/>
            <w:vAlign w:val="center"/>
          </w:tcPr>
          <w:p w14:paraId="10C313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val="en-US" w:eastAsia="zh-CN"/>
              </w:rPr>
            </w:pPr>
            <w:r>
              <w:rPr>
                <w:rFonts w:hint="eastAsia" w:ascii="黑体" w:hAnsi="黑体" w:eastAsia="黑体" w:cs="黑体"/>
                <w:b w:val="0"/>
                <w:bCs w:val="0"/>
                <w:sz w:val="28"/>
                <w:szCs w:val="28"/>
                <w:vertAlign w:val="baseline"/>
                <w:lang w:eastAsia="zh-CN"/>
              </w:rPr>
              <w:t>序号</w:t>
            </w:r>
          </w:p>
        </w:tc>
        <w:tc>
          <w:tcPr>
            <w:tcW w:w="1650" w:type="dxa"/>
            <w:gridSpan w:val="2"/>
            <w:vAlign w:val="center"/>
          </w:tcPr>
          <w:p w14:paraId="289E8E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val="en-US" w:eastAsia="zh-CN"/>
              </w:rPr>
            </w:pPr>
            <w:r>
              <w:rPr>
                <w:rFonts w:hint="eastAsia" w:ascii="黑体" w:hAnsi="黑体" w:eastAsia="黑体" w:cs="黑体"/>
                <w:b w:val="0"/>
                <w:bCs w:val="0"/>
                <w:sz w:val="28"/>
                <w:szCs w:val="28"/>
                <w:vertAlign w:val="baseline"/>
                <w:lang w:eastAsia="zh-CN"/>
              </w:rPr>
              <w:t>重点任务</w:t>
            </w:r>
          </w:p>
        </w:tc>
        <w:tc>
          <w:tcPr>
            <w:tcW w:w="5422" w:type="dxa"/>
            <w:vAlign w:val="center"/>
          </w:tcPr>
          <w:p w14:paraId="7E8F0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val="en-US" w:eastAsia="zh-CN"/>
              </w:rPr>
            </w:pPr>
            <w:r>
              <w:rPr>
                <w:rFonts w:hint="eastAsia" w:ascii="黑体" w:hAnsi="黑体" w:eastAsia="黑体" w:cs="黑体"/>
                <w:b w:val="0"/>
                <w:bCs w:val="0"/>
                <w:sz w:val="28"/>
                <w:szCs w:val="28"/>
                <w:vertAlign w:val="baseline"/>
                <w:lang w:eastAsia="zh-CN"/>
              </w:rPr>
              <w:t>具体措施</w:t>
            </w:r>
          </w:p>
        </w:tc>
        <w:tc>
          <w:tcPr>
            <w:tcW w:w="1980" w:type="dxa"/>
            <w:vAlign w:val="center"/>
          </w:tcPr>
          <w:p w14:paraId="21543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vertAlign w:val="baseline"/>
                <w:lang w:eastAsia="zh-CN"/>
              </w:rPr>
            </w:pPr>
            <w:r>
              <w:rPr>
                <w:rFonts w:hint="eastAsia" w:ascii="黑体" w:hAnsi="黑体" w:eastAsia="黑体" w:cs="黑体"/>
                <w:b w:val="0"/>
                <w:bCs w:val="0"/>
                <w:sz w:val="28"/>
                <w:szCs w:val="28"/>
                <w:vertAlign w:val="baseline"/>
                <w:lang w:eastAsia="zh-CN"/>
              </w:rPr>
              <w:t>责任单位</w:t>
            </w:r>
          </w:p>
        </w:tc>
      </w:tr>
      <w:tr w14:paraId="1C1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18" w:type="dxa"/>
            <w:vAlign w:val="center"/>
          </w:tcPr>
          <w:p w14:paraId="28536A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7</w:t>
            </w:r>
          </w:p>
        </w:tc>
        <w:tc>
          <w:tcPr>
            <w:tcW w:w="660" w:type="dxa"/>
            <w:vMerge w:val="restart"/>
            <w:vAlign w:val="center"/>
          </w:tcPr>
          <w:p w14:paraId="4978F2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规范服务</w:t>
            </w:r>
          </w:p>
        </w:tc>
        <w:tc>
          <w:tcPr>
            <w:tcW w:w="990" w:type="dxa"/>
            <w:vAlign w:val="center"/>
          </w:tcPr>
          <w:p w14:paraId="32EF17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1.规范服务流程</w:t>
            </w:r>
          </w:p>
        </w:tc>
        <w:tc>
          <w:tcPr>
            <w:tcW w:w="5422" w:type="dxa"/>
            <w:vAlign w:val="center"/>
          </w:tcPr>
          <w:p w14:paraId="62E2FE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实行“前台综合受理、后台分类审批、统一窗口出件”的综合窗口模式，制定全流程标准化流转规范，建立常态化跨部门业务培训机制，实现“一窗受理、综合服务”。</w:t>
            </w:r>
          </w:p>
        </w:tc>
        <w:tc>
          <w:tcPr>
            <w:tcW w:w="1980" w:type="dxa"/>
            <w:vAlign w:val="center"/>
          </w:tcPr>
          <w:p w14:paraId="2EFB3BA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县级有关部门、各镇街</w:t>
            </w:r>
          </w:p>
        </w:tc>
      </w:tr>
      <w:tr w14:paraId="7A59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18" w:type="dxa"/>
            <w:vAlign w:val="center"/>
          </w:tcPr>
          <w:p w14:paraId="2400539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8</w:t>
            </w:r>
          </w:p>
        </w:tc>
        <w:tc>
          <w:tcPr>
            <w:tcW w:w="660" w:type="dxa"/>
            <w:vMerge w:val="continue"/>
            <w:vAlign w:val="center"/>
          </w:tcPr>
          <w:p w14:paraId="364B000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426FEF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2.规范服务行为</w:t>
            </w:r>
          </w:p>
        </w:tc>
        <w:tc>
          <w:tcPr>
            <w:tcW w:w="5422" w:type="dxa"/>
            <w:vAlign w:val="center"/>
          </w:tcPr>
          <w:p w14:paraId="4AEB2BF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严格执行首问负责、一次性告知、巡查帮办代办等制度，遵守窗口服务规范及负面清单要求，杜绝额外增加或变相增加办理环节和申请材料等违规情形，实现事项依法依规办理。</w:t>
            </w:r>
          </w:p>
        </w:tc>
        <w:tc>
          <w:tcPr>
            <w:tcW w:w="1980" w:type="dxa"/>
            <w:vAlign w:val="center"/>
          </w:tcPr>
          <w:p w14:paraId="048000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县级有关部门、各镇街</w:t>
            </w:r>
          </w:p>
        </w:tc>
      </w:tr>
      <w:tr w14:paraId="5BC4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818" w:type="dxa"/>
            <w:vAlign w:val="center"/>
          </w:tcPr>
          <w:p w14:paraId="3D35E32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9</w:t>
            </w:r>
          </w:p>
        </w:tc>
        <w:tc>
          <w:tcPr>
            <w:tcW w:w="660" w:type="dxa"/>
            <w:vMerge w:val="continue"/>
            <w:vAlign w:val="center"/>
          </w:tcPr>
          <w:p w14:paraId="1DECFF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59C3FE6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3.规范中介服务</w:t>
            </w:r>
          </w:p>
        </w:tc>
        <w:tc>
          <w:tcPr>
            <w:tcW w:w="5422" w:type="dxa"/>
            <w:vAlign w:val="center"/>
          </w:tcPr>
          <w:p w14:paraId="37A1CB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持续清理政务服务领域无依据的中介事项，动态更新公布县级中介服务事项清单，实现中介服务市场公开公平、流程透明、服务规范。县政务服务大厅设立中介服务窗口，提供平台操作指导、项目发布等业务指导。建立健全中介服务信用评价机制，实行分级分类监管。</w:t>
            </w:r>
          </w:p>
        </w:tc>
        <w:tc>
          <w:tcPr>
            <w:tcW w:w="1980" w:type="dxa"/>
            <w:vAlign w:val="center"/>
          </w:tcPr>
          <w:p w14:paraId="2C92698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县行政审批局、县交通局、县民政局、县教体局、县自然资源局、县市场监管局、县文旅局、县应急管理局、县商信局、县发改局、县住建局</w:t>
            </w:r>
          </w:p>
        </w:tc>
      </w:tr>
      <w:tr w14:paraId="1EC9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18" w:type="dxa"/>
            <w:vAlign w:val="center"/>
          </w:tcPr>
          <w:p w14:paraId="7338F4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10</w:t>
            </w:r>
          </w:p>
        </w:tc>
        <w:tc>
          <w:tcPr>
            <w:tcW w:w="660" w:type="dxa"/>
            <w:vMerge w:val="continue"/>
            <w:vAlign w:val="center"/>
          </w:tcPr>
          <w:p w14:paraId="40E746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42B0A99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4.规范审管协同</w:t>
            </w:r>
          </w:p>
        </w:tc>
        <w:tc>
          <w:tcPr>
            <w:tcW w:w="5422" w:type="dxa"/>
            <w:vAlign w:val="center"/>
          </w:tcPr>
          <w:p w14:paraId="7F65A87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健全完善审管信息双向反馈闭环机制，明确关键内容，实现信息实时共享、精准对接。细化审管责任清单，明晰审管权责边界。严格落实行政审批与监管联席会议制度，确保审管顺畅运行、协同联动。</w:t>
            </w:r>
          </w:p>
        </w:tc>
        <w:tc>
          <w:tcPr>
            <w:tcW w:w="1980" w:type="dxa"/>
            <w:vAlign w:val="center"/>
          </w:tcPr>
          <w:p w14:paraId="4339AF5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县职转和营商办、县级有关部门</w:t>
            </w:r>
          </w:p>
        </w:tc>
      </w:tr>
      <w:tr w14:paraId="6EC7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1F34AD8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11</w:t>
            </w:r>
          </w:p>
        </w:tc>
        <w:tc>
          <w:tcPr>
            <w:tcW w:w="660" w:type="dxa"/>
            <w:vMerge w:val="restart"/>
            <w:vAlign w:val="center"/>
          </w:tcPr>
          <w:p w14:paraId="122C11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便利服务</w:t>
            </w:r>
          </w:p>
        </w:tc>
        <w:tc>
          <w:tcPr>
            <w:tcW w:w="990" w:type="dxa"/>
            <w:vAlign w:val="center"/>
          </w:tcPr>
          <w:p w14:paraId="005720A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1.畅通线下办事渠道</w:t>
            </w:r>
          </w:p>
        </w:tc>
        <w:tc>
          <w:tcPr>
            <w:tcW w:w="5422" w:type="dxa"/>
            <w:vAlign w:val="center"/>
          </w:tcPr>
          <w:p w14:paraId="3AC0283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制定《眉县人民政府办公室关于进一步加强和规范镇街便民服务中心运行管理的实施方案》，统一办公场所、事项清单、人员管理、服务行为。将镇街、村（社区）政务服务事项指导目录纳入便民服务中心（站）办理范围，确保镇街便民服务中心100%达到标准化提升要求，村（社区）便民服务站有效覆盖基层群众办事需求。</w:t>
            </w:r>
          </w:p>
        </w:tc>
        <w:tc>
          <w:tcPr>
            <w:tcW w:w="1980" w:type="dxa"/>
            <w:vAlign w:val="center"/>
          </w:tcPr>
          <w:p w14:paraId="690E404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县行政审批局、县人社局、县医保局、县残联、县住建局、县司法局、县农业农村局、县卫健局、县民政局、县退役军人事务局、各镇街</w:t>
            </w:r>
          </w:p>
        </w:tc>
      </w:tr>
      <w:tr w14:paraId="01D1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14:paraId="073521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12</w:t>
            </w:r>
          </w:p>
        </w:tc>
        <w:tc>
          <w:tcPr>
            <w:tcW w:w="660" w:type="dxa"/>
            <w:vMerge w:val="continue"/>
            <w:vAlign w:val="center"/>
          </w:tcPr>
          <w:p w14:paraId="374057B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3610868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2.贯通线上办事渠道</w:t>
            </w:r>
          </w:p>
        </w:tc>
        <w:tc>
          <w:tcPr>
            <w:tcW w:w="5422" w:type="dxa"/>
            <w:vAlign w:val="center"/>
          </w:tcPr>
          <w:p w14:paraId="6437D6D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积极对接上级部门升级核心模块，推动高频政务服务事项“掌上办、指尖办”，实现95%以上政务服务事项全网上可办。推行智能审批、无感申办模式，实现“一网通办、一次登录、全程网办”。组建线上服务专班，及时响应并解决办事过程中遇到的疑难问题。</w:t>
            </w:r>
          </w:p>
        </w:tc>
        <w:tc>
          <w:tcPr>
            <w:tcW w:w="1980" w:type="dxa"/>
            <w:vAlign w:val="center"/>
          </w:tcPr>
          <w:p w14:paraId="38D27B2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县职转和营商办、县级有关部门</w:t>
            </w:r>
          </w:p>
        </w:tc>
      </w:tr>
      <w:tr w14:paraId="4BC1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8" w:type="dxa"/>
            <w:vAlign w:val="center"/>
          </w:tcPr>
          <w:p w14:paraId="6D412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val="en-US" w:eastAsia="zh-CN"/>
              </w:rPr>
            </w:pPr>
            <w:r>
              <w:rPr>
                <w:rFonts w:hint="eastAsia" w:ascii="黑体" w:hAnsi="黑体" w:eastAsia="黑体" w:cs="黑体"/>
                <w:b w:val="0"/>
                <w:bCs w:val="0"/>
                <w:sz w:val="28"/>
                <w:szCs w:val="28"/>
                <w:vertAlign w:val="baseline"/>
                <w:lang w:eastAsia="zh-CN"/>
              </w:rPr>
              <w:t>序号</w:t>
            </w:r>
          </w:p>
        </w:tc>
        <w:tc>
          <w:tcPr>
            <w:tcW w:w="1650" w:type="dxa"/>
            <w:gridSpan w:val="2"/>
            <w:vAlign w:val="center"/>
          </w:tcPr>
          <w:p w14:paraId="10352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val="en-US" w:eastAsia="zh-CN"/>
              </w:rPr>
            </w:pPr>
            <w:r>
              <w:rPr>
                <w:rFonts w:hint="eastAsia" w:ascii="黑体" w:hAnsi="黑体" w:eastAsia="黑体" w:cs="黑体"/>
                <w:b w:val="0"/>
                <w:bCs w:val="0"/>
                <w:sz w:val="28"/>
                <w:szCs w:val="28"/>
                <w:vertAlign w:val="baseline"/>
                <w:lang w:eastAsia="zh-CN"/>
              </w:rPr>
              <w:t>重点任务</w:t>
            </w:r>
          </w:p>
        </w:tc>
        <w:tc>
          <w:tcPr>
            <w:tcW w:w="5422" w:type="dxa"/>
            <w:vAlign w:val="center"/>
          </w:tcPr>
          <w:p w14:paraId="3A3F79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lang w:eastAsia="zh-CN"/>
              </w:rPr>
            </w:pPr>
            <w:r>
              <w:rPr>
                <w:rFonts w:hint="eastAsia" w:ascii="黑体" w:hAnsi="黑体" w:eastAsia="黑体" w:cs="黑体"/>
                <w:b w:val="0"/>
                <w:bCs w:val="0"/>
                <w:sz w:val="28"/>
                <w:szCs w:val="28"/>
                <w:vertAlign w:val="baseline"/>
                <w:lang w:eastAsia="zh-CN"/>
              </w:rPr>
              <w:t>具体措施</w:t>
            </w:r>
          </w:p>
        </w:tc>
        <w:tc>
          <w:tcPr>
            <w:tcW w:w="1980" w:type="dxa"/>
            <w:vAlign w:val="center"/>
          </w:tcPr>
          <w:p w14:paraId="13917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2"/>
                <w:szCs w:val="22"/>
                <w:vertAlign w:val="baseline"/>
                <w:lang w:eastAsia="zh-CN"/>
              </w:rPr>
            </w:pPr>
            <w:r>
              <w:rPr>
                <w:rFonts w:hint="eastAsia" w:ascii="黑体" w:hAnsi="黑体" w:eastAsia="黑体" w:cs="黑体"/>
                <w:b w:val="0"/>
                <w:bCs w:val="0"/>
                <w:sz w:val="28"/>
                <w:szCs w:val="28"/>
                <w:vertAlign w:val="baseline"/>
                <w:lang w:eastAsia="zh-CN"/>
              </w:rPr>
              <w:t>责任单位</w:t>
            </w:r>
          </w:p>
        </w:tc>
      </w:tr>
      <w:tr w14:paraId="10F6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818" w:type="dxa"/>
            <w:vAlign w:val="center"/>
          </w:tcPr>
          <w:p w14:paraId="5450AC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13</w:t>
            </w:r>
          </w:p>
        </w:tc>
        <w:tc>
          <w:tcPr>
            <w:tcW w:w="660" w:type="dxa"/>
            <w:vMerge w:val="restart"/>
            <w:vAlign w:val="center"/>
          </w:tcPr>
          <w:p w14:paraId="38C761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便利服务</w:t>
            </w:r>
          </w:p>
        </w:tc>
        <w:tc>
          <w:tcPr>
            <w:tcW w:w="990" w:type="dxa"/>
            <w:vAlign w:val="center"/>
          </w:tcPr>
          <w:p w14:paraId="011DC8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3.联通热线互动渠道</w:t>
            </w:r>
          </w:p>
        </w:tc>
        <w:tc>
          <w:tcPr>
            <w:tcW w:w="5422" w:type="dxa"/>
            <w:vAlign w:val="center"/>
          </w:tcPr>
          <w:p w14:paraId="2FD461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持续提升12345政务服务热线质效，高效受理政务服务咨询、投诉、求助、建议等诉求。配合省市加强政务服务“好差评”体系与12345便民热线的业务协同,打造政务服务“总客服”，实现全县政务服务事项资料清单、办理地点、联系方式等要素“一口清”。</w:t>
            </w:r>
          </w:p>
        </w:tc>
        <w:tc>
          <w:tcPr>
            <w:tcW w:w="1980" w:type="dxa"/>
            <w:vAlign w:val="center"/>
          </w:tcPr>
          <w:p w14:paraId="1D427A1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县发改局、县行政审批局</w:t>
            </w:r>
          </w:p>
        </w:tc>
      </w:tr>
      <w:tr w14:paraId="31B9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18" w:type="dxa"/>
            <w:vAlign w:val="center"/>
          </w:tcPr>
          <w:p w14:paraId="4423EB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14</w:t>
            </w:r>
          </w:p>
        </w:tc>
        <w:tc>
          <w:tcPr>
            <w:tcW w:w="660" w:type="dxa"/>
            <w:vMerge w:val="continue"/>
            <w:vAlign w:val="center"/>
          </w:tcPr>
          <w:p w14:paraId="036CB18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57F284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4.直通自助办事渠道</w:t>
            </w:r>
          </w:p>
        </w:tc>
        <w:tc>
          <w:tcPr>
            <w:tcW w:w="5422" w:type="dxa"/>
            <w:vAlign w:val="center"/>
          </w:tcPr>
          <w:p w14:paraId="603863F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全力做好24小时自助服务设备的日常维护，完善自助服务事项清单和信息要素，强化服务指引与技术保障。公布服务电话和应急求助装置，解决自助办理操作难题。同步对接省级政务服务平台，实现自助办理数据与窗口办理数据实时共享、结果互认。</w:t>
            </w:r>
          </w:p>
        </w:tc>
        <w:tc>
          <w:tcPr>
            <w:tcW w:w="1980" w:type="dxa"/>
            <w:vAlign w:val="center"/>
          </w:tcPr>
          <w:p w14:paraId="3CA8B9F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县级有关部门</w:t>
            </w:r>
          </w:p>
        </w:tc>
      </w:tr>
      <w:tr w14:paraId="7123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818" w:type="dxa"/>
            <w:vAlign w:val="center"/>
          </w:tcPr>
          <w:p w14:paraId="120FCC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15</w:t>
            </w:r>
          </w:p>
        </w:tc>
        <w:tc>
          <w:tcPr>
            <w:tcW w:w="660" w:type="dxa"/>
            <w:vMerge w:val="restart"/>
            <w:vAlign w:val="center"/>
          </w:tcPr>
          <w:p w14:paraId="4CCAED4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暖心服务</w:t>
            </w:r>
          </w:p>
        </w:tc>
        <w:tc>
          <w:tcPr>
            <w:tcW w:w="990" w:type="dxa"/>
            <w:vAlign w:val="center"/>
          </w:tcPr>
          <w:p w14:paraId="46B11C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1.完善暖心服务机制</w:t>
            </w:r>
          </w:p>
        </w:tc>
        <w:tc>
          <w:tcPr>
            <w:tcW w:w="5422" w:type="dxa"/>
            <w:vAlign w:val="center"/>
          </w:tcPr>
          <w:p w14:paraId="0D5341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优化县级政务服务大厅功能布局，设立“办不成事”反映窗口、“潮汐窗口”，开展提醒、预约、延时、上门等服务，有效满足办事高峰和特殊需求。规范大厅标识标牌，合理配置无障碍通道等设施,增设便民设备，做到“企业群众有需求，政务服务有行动”。</w:t>
            </w:r>
          </w:p>
        </w:tc>
        <w:tc>
          <w:tcPr>
            <w:tcW w:w="1980" w:type="dxa"/>
            <w:vAlign w:val="center"/>
          </w:tcPr>
          <w:p w14:paraId="4D661C5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县人社局、县医保局、县公安局、县自然资源局、县税务局、县民政局、县行政审批局、公积金管理分中心、各镇街</w:t>
            </w:r>
          </w:p>
        </w:tc>
      </w:tr>
      <w:tr w14:paraId="6295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18" w:type="dxa"/>
            <w:vAlign w:val="center"/>
          </w:tcPr>
          <w:p w14:paraId="101707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16</w:t>
            </w:r>
          </w:p>
        </w:tc>
        <w:tc>
          <w:tcPr>
            <w:tcW w:w="660" w:type="dxa"/>
            <w:vMerge w:val="continue"/>
          </w:tcPr>
          <w:p w14:paraId="5913BD2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54BCD4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2.打造暖心服务感受</w:t>
            </w:r>
          </w:p>
        </w:tc>
        <w:tc>
          <w:tcPr>
            <w:tcW w:w="5422" w:type="dxa"/>
            <w:vAlign w:val="center"/>
          </w:tcPr>
          <w:p w14:paraId="69C1CD4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严格落实《政务服务大厅窗口工作人员服务规范》，做到主动微笑问好、耐心解答咨询。规范设置导询台，安排业务精干、热情负责的工作人员引导群众取号，解答办事流程。对特殊群体和重点项目精准对接需求、推行“一对一”全流程帮办代办服务，切实让企业群众感受到温暖和贴心。</w:t>
            </w:r>
          </w:p>
        </w:tc>
        <w:tc>
          <w:tcPr>
            <w:tcW w:w="1980" w:type="dxa"/>
            <w:vAlign w:val="center"/>
          </w:tcPr>
          <w:p w14:paraId="48BF6C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县人社局、县医保局、县公安局、县自然资源局、县税务局、县民政局、县行政审批局、公积金管理分中心、各镇街</w:t>
            </w:r>
          </w:p>
        </w:tc>
      </w:tr>
      <w:tr w14:paraId="1D25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18" w:type="dxa"/>
            <w:vAlign w:val="center"/>
          </w:tcPr>
          <w:p w14:paraId="1B11162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17</w:t>
            </w:r>
          </w:p>
        </w:tc>
        <w:tc>
          <w:tcPr>
            <w:tcW w:w="660" w:type="dxa"/>
            <w:vMerge w:val="continue"/>
          </w:tcPr>
          <w:p w14:paraId="3D0686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p>
        </w:tc>
        <w:tc>
          <w:tcPr>
            <w:tcW w:w="990" w:type="dxa"/>
            <w:vAlign w:val="center"/>
          </w:tcPr>
          <w:p w14:paraId="43FC19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3.提供暖心服务保障</w:t>
            </w:r>
          </w:p>
        </w:tc>
        <w:tc>
          <w:tcPr>
            <w:tcW w:w="5422" w:type="dxa"/>
            <w:vAlign w:val="center"/>
          </w:tcPr>
          <w:p w14:paraId="4969FFB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全面落实“好差评”五项机制，形成“评价—整改—优化—提升”的闭环管理。定期邀请人大代表、政协委员、政务服务义务监督员、企业群众代表，开展“进大厅走流程，评政务优环境”等活动，听取各方意见建议。落实大厅领导带班坐班制度，设置矛盾纠纷调解室，解决企业群众办事疑难问题，确保“事事有回应、件件有着落”。</w:t>
            </w:r>
          </w:p>
        </w:tc>
        <w:tc>
          <w:tcPr>
            <w:tcW w:w="1980" w:type="dxa"/>
            <w:vAlign w:val="center"/>
          </w:tcPr>
          <w:p w14:paraId="575B6A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县人社局、县医保局、县公安局、县自然资源局、县税务局、县民政局、县行政审批局、公积金管理分中心、各镇街</w:t>
            </w:r>
          </w:p>
        </w:tc>
      </w:tr>
    </w:tbl>
    <w:p w14:paraId="5DA1AB63">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EF09F9F">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6D2DBDB">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C9E4C96">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21EFF75">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4419DCF">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03B42FE">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B0F163B">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159EFF07">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C31F1A5">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4937708B">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F8E56A7">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3671FCA1">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575C93A1">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6B223E47">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31E6E88C">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5131C77A">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42C556D6">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274A38A3">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17DC1737">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4579A053">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109BC408">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4E42C04">
      <w:pPr>
        <w:pStyle w:val="7"/>
        <w:ind w:left="0" w:leftChars="0" w:firstLine="0" w:firstLineChars="0"/>
        <w:rPr>
          <w:rFonts w:hint="eastAsia" w:ascii="仿宋_GB2312" w:hAnsi="仿宋_GB2312" w:eastAsia="仿宋_GB2312" w:cs="仿宋_GB2312"/>
          <w:kern w:val="2"/>
          <w:sz w:val="32"/>
          <w:szCs w:val="32"/>
          <w:lang w:val="en-US" w:eastAsia="zh-CN" w:bidi="ar-SA"/>
        </w:rPr>
      </w:pPr>
    </w:p>
    <w:p w14:paraId="07898811">
      <w:pPr>
        <w:keepNext w:val="0"/>
        <w:keepLines w:val="0"/>
        <w:pageBreakBefore w:val="0"/>
        <w:widowControl w:val="0"/>
        <w:kinsoku/>
        <w:wordWrap/>
        <w:overflowPunct/>
        <w:topLinePunct w:val="0"/>
        <w:autoSpaceDE/>
        <w:autoSpaceDN/>
        <w:bidi w:val="0"/>
        <w:adjustRightInd/>
        <w:snapToGrid/>
        <w:spacing w:line="100" w:lineRule="exact"/>
        <w:ind w:firstLine="420" w:firstLineChars="200"/>
        <w:jc w:val="both"/>
        <w:textAlignment w:val="auto"/>
        <w:rPr>
          <w:rFonts w:hint="eastAsia" w:ascii="Times New Roman" w:hAnsi="Times New Roman" w:eastAsia="宋体" w:cs="Times New Roman"/>
          <w:kern w:val="2"/>
          <w:sz w:val="21"/>
          <w:szCs w:val="24"/>
          <w:lang w:val="zh-CN" w:eastAsia="zh-CN" w:bidi="ar-SA"/>
        </w:rPr>
      </w:pPr>
    </w:p>
    <w:p w14:paraId="03CC10E0">
      <w:pPr>
        <w:keepNext w:val="0"/>
        <w:keepLines w:val="0"/>
        <w:pageBreakBefore w:val="0"/>
        <w:widowControl w:val="0"/>
        <w:kinsoku/>
        <w:wordWrap/>
        <w:overflowPunct/>
        <w:topLinePunct w:val="0"/>
        <w:autoSpaceDE/>
        <w:autoSpaceDN/>
        <w:bidi w:val="0"/>
        <w:adjustRightInd/>
        <w:snapToGrid/>
        <w:spacing w:line="100" w:lineRule="exact"/>
        <w:ind w:firstLine="420" w:firstLineChars="200"/>
        <w:jc w:val="both"/>
        <w:textAlignment w:val="auto"/>
        <w:rPr>
          <w:rFonts w:hint="eastAsia" w:ascii="Times New Roman" w:hAnsi="Times New Roman" w:eastAsia="宋体" w:cs="Times New Roman"/>
          <w:kern w:val="2"/>
          <w:sz w:val="21"/>
          <w:szCs w:val="24"/>
          <w:lang w:val="zh-CN" w:eastAsia="zh-CN" w:bidi="ar-SA"/>
        </w:rPr>
      </w:pPr>
    </w:p>
    <w:p w14:paraId="449DF3B6">
      <w:pPr>
        <w:keepNext w:val="0"/>
        <w:keepLines w:val="0"/>
        <w:pageBreakBefore w:val="0"/>
        <w:widowControl w:val="0"/>
        <w:kinsoku/>
        <w:wordWrap/>
        <w:overflowPunct/>
        <w:topLinePunct w:val="0"/>
        <w:autoSpaceDE/>
        <w:autoSpaceDN/>
        <w:bidi w:val="0"/>
        <w:adjustRightInd/>
        <w:snapToGrid/>
        <w:spacing w:line="100" w:lineRule="exact"/>
        <w:ind w:firstLine="420" w:firstLineChars="200"/>
        <w:jc w:val="both"/>
        <w:textAlignment w:val="auto"/>
        <w:rPr>
          <w:rFonts w:hint="eastAsia" w:ascii="Times New Roman" w:hAnsi="Times New Roman" w:eastAsia="宋体" w:cs="Times New Roman"/>
          <w:kern w:val="2"/>
          <w:sz w:val="21"/>
          <w:szCs w:val="24"/>
          <w:lang w:val="zh-CN" w:eastAsia="zh-CN" w:bidi="ar-SA"/>
        </w:rPr>
      </w:pPr>
    </w:p>
    <w:p w14:paraId="6B90C789">
      <w:pPr>
        <w:keepNext w:val="0"/>
        <w:keepLines w:val="0"/>
        <w:pageBreakBefore w:val="0"/>
        <w:widowControl w:val="0"/>
        <w:kinsoku/>
        <w:wordWrap/>
        <w:overflowPunct/>
        <w:topLinePunct w:val="0"/>
        <w:autoSpaceDE/>
        <w:autoSpaceDN/>
        <w:bidi w:val="0"/>
        <w:adjustRightInd/>
        <w:snapToGrid/>
        <w:spacing w:line="100" w:lineRule="exact"/>
        <w:jc w:val="both"/>
        <w:textAlignment w:val="auto"/>
        <w:rPr>
          <w:rFonts w:hint="eastAsia" w:ascii="Times New Roman" w:hAnsi="Times New Roman" w:eastAsia="宋体" w:cs="Times New Roman"/>
          <w:kern w:val="2"/>
          <w:sz w:val="21"/>
          <w:szCs w:val="24"/>
          <w:lang w:val="zh-CN" w:eastAsia="zh-CN" w:bidi="ar-SA"/>
        </w:rPr>
      </w:pPr>
    </w:p>
    <w:p w14:paraId="13454BB1">
      <w:pPr>
        <w:keepNext w:val="0"/>
        <w:keepLines w:val="0"/>
        <w:pageBreakBefore w:val="0"/>
        <w:widowControl w:val="0"/>
        <w:kinsoku/>
        <w:wordWrap/>
        <w:overflowPunct/>
        <w:topLinePunct w:val="0"/>
        <w:autoSpaceDE/>
        <w:autoSpaceDN/>
        <w:bidi w:val="0"/>
        <w:adjustRightInd/>
        <w:snapToGrid/>
        <w:spacing w:line="100" w:lineRule="exact"/>
        <w:ind w:firstLine="420" w:firstLineChars="200"/>
        <w:jc w:val="both"/>
        <w:textAlignment w:val="auto"/>
        <w:rPr>
          <w:rFonts w:hint="eastAsia" w:ascii="Times New Roman" w:hAnsi="Times New Roman" w:eastAsia="宋体" w:cs="Times New Roman"/>
          <w:kern w:val="2"/>
          <w:sz w:val="21"/>
          <w:szCs w:val="24"/>
          <w:lang w:val="zh-CN" w:eastAsia="zh-CN" w:bidi="ar-SA"/>
        </w:rPr>
      </w:pPr>
    </w:p>
    <w:p w14:paraId="51ED6C3E">
      <w:pPr>
        <w:pBdr>
          <w:top w:val="single" w:color="auto" w:sz="4" w:space="0"/>
          <w:bottom w:val="single" w:color="auto" w:sz="4" w:space="0"/>
        </w:pBdr>
        <w:spacing w:line="500" w:lineRule="exact"/>
        <w:ind w:firstLine="28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28"/>
          <w:szCs w:val="28"/>
        </w:rPr>
        <w:t xml:space="preserve">眉县人民政府办公室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22日</w:t>
      </w:r>
      <w:r>
        <w:rPr>
          <w:rFonts w:hint="eastAsia" w:ascii="仿宋_GB2312" w:hAnsi="仿宋_GB2312" w:eastAsia="仿宋_GB2312" w:cs="仿宋_GB2312"/>
          <w:sz w:val="28"/>
          <w:szCs w:val="28"/>
        </w:rPr>
        <w:t>印</w:t>
      </w:r>
      <w:r>
        <w:rPr>
          <w:rFonts w:hint="eastAsia" w:ascii="仿宋_GB2312" w:hAnsi="仿宋_GB2312" w:eastAsia="仿宋_GB2312" w:cs="仿宋_GB2312"/>
          <w:sz w:val="28"/>
          <w:szCs w:val="28"/>
          <w:lang w:eastAsia="zh-CN"/>
        </w:rPr>
        <w:t>发</w:t>
      </w:r>
    </w:p>
    <w:sectPr>
      <w:headerReference r:id="rId3" w:type="default"/>
      <w:footerReference r:id="rId4" w:type="default"/>
      <w:pgSz w:w="11906" w:h="16838"/>
      <w:pgMar w:top="1417" w:right="1417" w:bottom="1417" w:left="1701"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1635">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ACAD7A">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FACAD7A">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C86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E3A10"/>
    <w:rsid w:val="00153830"/>
    <w:rsid w:val="002D475A"/>
    <w:rsid w:val="0048137E"/>
    <w:rsid w:val="004E4A5A"/>
    <w:rsid w:val="00517E11"/>
    <w:rsid w:val="006B6D1F"/>
    <w:rsid w:val="00754B4E"/>
    <w:rsid w:val="007A1658"/>
    <w:rsid w:val="007F249E"/>
    <w:rsid w:val="00917EE0"/>
    <w:rsid w:val="00C6664C"/>
    <w:rsid w:val="00FF14DB"/>
    <w:rsid w:val="013D4E22"/>
    <w:rsid w:val="01687703"/>
    <w:rsid w:val="017A03BD"/>
    <w:rsid w:val="018362EB"/>
    <w:rsid w:val="01F53D45"/>
    <w:rsid w:val="026659F0"/>
    <w:rsid w:val="02684FE7"/>
    <w:rsid w:val="0269166D"/>
    <w:rsid w:val="029573E5"/>
    <w:rsid w:val="02F74410"/>
    <w:rsid w:val="03194519"/>
    <w:rsid w:val="03347D7F"/>
    <w:rsid w:val="039842CF"/>
    <w:rsid w:val="039E0BD0"/>
    <w:rsid w:val="03CE5F43"/>
    <w:rsid w:val="03F248A9"/>
    <w:rsid w:val="04030F36"/>
    <w:rsid w:val="04055D35"/>
    <w:rsid w:val="04245B63"/>
    <w:rsid w:val="04781A0B"/>
    <w:rsid w:val="0483793D"/>
    <w:rsid w:val="05490FE9"/>
    <w:rsid w:val="057E2080"/>
    <w:rsid w:val="05834B0B"/>
    <w:rsid w:val="05946E4A"/>
    <w:rsid w:val="05986193"/>
    <w:rsid w:val="05A54A82"/>
    <w:rsid w:val="05DB04A3"/>
    <w:rsid w:val="060F45F1"/>
    <w:rsid w:val="062C692E"/>
    <w:rsid w:val="063901C2"/>
    <w:rsid w:val="065D3EB9"/>
    <w:rsid w:val="065F0BEE"/>
    <w:rsid w:val="067C2ABC"/>
    <w:rsid w:val="06E615DF"/>
    <w:rsid w:val="06F55739"/>
    <w:rsid w:val="0702568C"/>
    <w:rsid w:val="07835682"/>
    <w:rsid w:val="07965778"/>
    <w:rsid w:val="07AA3F74"/>
    <w:rsid w:val="07CC05D8"/>
    <w:rsid w:val="07F364BB"/>
    <w:rsid w:val="07FA36D0"/>
    <w:rsid w:val="08332819"/>
    <w:rsid w:val="087B2735"/>
    <w:rsid w:val="087C4E23"/>
    <w:rsid w:val="0908255E"/>
    <w:rsid w:val="095742E5"/>
    <w:rsid w:val="096B7C2E"/>
    <w:rsid w:val="098D4402"/>
    <w:rsid w:val="099472E7"/>
    <w:rsid w:val="09A017D8"/>
    <w:rsid w:val="09D9119E"/>
    <w:rsid w:val="0A3B7763"/>
    <w:rsid w:val="0A682522"/>
    <w:rsid w:val="0A7E1D45"/>
    <w:rsid w:val="0A7F3240"/>
    <w:rsid w:val="0A917CCA"/>
    <w:rsid w:val="0AA002AF"/>
    <w:rsid w:val="0ABA2D7D"/>
    <w:rsid w:val="0AF54308"/>
    <w:rsid w:val="0B10295D"/>
    <w:rsid w:val="0B330D82"/>
    <w:rsid w:val="0B426F27"/>
    <w:rsid w:val="0B4B1C27"/>
    <w:rsid w:val="0B903ADE"/>
    <w:rsid w:val="0B9A7A1D"/>
    <w:rsid w:val="0BBE064B"/>
    <w:rsid w:val="0C3A6125"/>
    <w:rsid w:val="0CAC2B9A"/>
    <w:rsid w:val="0CC021C4"/>
    <w:rsid w:val="0D1A078A"/>
    <w:rsid w:val="0D411D8C"/>
    <w:rsid w:val="0D505CFB"/>
    <w:rsid w:val="0D5F6D00"/>
    <w:rsid w:val="0D764D13"/>
    <w:rsid w:val="0DD85B76"/>
    <w:rsid w:val="0E292FC0"/>
    <w:rsid w:val="0E6E363A"/>
    <w:rsid w:val="0E811086"/>
    <w:rsid w:val="0EC822C9"/>
    <w:rsid w:val="0F2F5B7D"/>
    <w:rsid w:val="0F380424"/>
    <w:rsid w:val="0F9A4F2B"/>
    <w:rsid w:val="0FA34C58"/>
    <w:rsid w:val="101E7BF6"/>
    <w:rsid w:val="107B5820"/>
    <w:rsid w:val="10885918"/>
    <w:rsid w:val="111D6E87"/>
    <w:rsid w:val="11EF19BA"/>
    <w:rsid w:val="123F1FF0"/>
    <w:rsid w:val="12CC5D44"/>
    <w:rsid w:val="137B0804"/>
    <w:rsid w:val="13CA1B57"/>
    <w:rsid w:val="13DB1B23"/>
    <w:rsid w:val="13F56935"/>
    <w:rsid w:val="140E7208"/>
    <w:rsid w:val="141352AC"/>
    <w:rsid w:val="144E4536"/>
    <w:rsid w:val="14A01236"/>
    <w:rsid w:val="14A97BF1"/>
    <w:rsid w:val="14CD4A71"/>
    <w:rsid w:val="153D5EE7"/>
    <w:rsid w:val="15451DDD"/>
    <w:rsid w:val="15DF0879"/>
    <w:rsid w:val="163D2AB4"/>
    <w:rsid w:val="16581EB6"/>
    <w:rsid w:val="167C0930"/>
    <w:rsid w:val="1683077C"/>
    <w:rsid w:val="16C632F0"/>
    <w:rsid w:val="16DA7D88"/>
    <w:rsid w:val="16E6314C"/>
    <w:rsid w:val="171001C9"/>
    <w:rsid w:val="171B2DF6"/>
    <w:rsid w:val="17422768"/>
    <w:rsid w:val="174D31CB"/>
    <w:rsid w:val="175B20F3"/>
    <w:rsid w:val="177F771A"/>
    <w:rsid w:val="179B3F36"/>
    <w:rsid w:val="179C380B"/>
    <w:rsid w:val="17A76FCB"/>
    <w:rsid w:val="17C43F85"/>
    <w:rsid w:val="17C620DD"/>
    <w:rsid w:val="17DE2FB7"/>
    <w:rsid w:val="18452ED7"/>
    <w:rsid w:val="18716A45"/>
    <w:rsid w:val="187B39F6"/>
    <w:rsid w:val="18802DD1"/>
    <w:rsid w:val="18812A66"/>
    <w:rsid w:val="18F66C76"/>
    <w:rsid w:val="19C052A4"/>
    <w:rsid w:val="1A1F69B1"/>
    <w:rsid w:val="1A32785E"/>
    <w:rsid w:val="1A4C776A"/>
    <w:rsid w:val="1A536897"/>
    <w:rsid w:val="1A7717A5"/>
    <w:rsid w:val="1A7F31EF"/>
    <w:rsid w:val="1A9966B3"/>
    <w:rsid w:val="1A9A6727"/>
    <w:rsid w:val="1AF070C2"/>
    <w:rsid w:val="1B1B3613"/>
    <w:rsid w:val="1B4A17F8"/>
    <w:rsid w:val="1C17464A"/>
    <w:rsid w:val="1C4348D0"/>
    <w:rsid w:val="1C575998"/>
    <w:rsid w:val="1C736EE2"/>
    <w:rsid w:val="1C774065"/>
    <w:rsid w:val="1C817A0F"/>
    <w:rsid w:val="1C92095A"/>
    <w:rsid w:val="1CB84C65"/>
    <w:rsid w:val="1CBA6C0D"/>
    <w:rsid w:val="1CDF6673"/>
    <w:rsid w:val="1CE31FC4"/>
    <w:rsid w:val="1D063DAB"/>
    <w:rsid w:val="1D1A3B4F"/>
    <w:rsid w:val="1D1F1166"/>
    <w:rsid w:val="1D37402C"/>
    <w:rsid w:val="1D682B0D"/>
    <w:rsid w:val="1DB01DBE"/>
    <w:rsid w:val="1DB356EE"/>
    <w:rsid w:val="1DFB7BD2"/>
    <w:rsid w:val="1E022DAA"/>
    <w:rsid w:val="1E0A3BC4"/>
    <w:rsid w:val="1E0E6FDF"/>
    <w:rsid w:val="1E1925A1"/>
    <w:rsid w:val="1E672BF1"/>
    <w:rsid w:val="1E8A260F"/>
    <w:rsid w:val="1E8C751D"/>
    <w:rsid w:val="1EC45B21"/>
    <w:rsid w:val="1ED03F93"/>
    <w:rsid w:val="1EFB52BB"/>
    <w:rsid w:val="1F404C92"/>
    <w:rsid w:val="1FAB4F33"/>
    <w:rsid w:val="20362DDD"/>
    <w:rsid w:val="20743577"/>
    <w:rsid w:val="207551F7"/>
    <w:rsid w:val="209A67D6"/>
    <w:rsid w:val="21207866"/>
    <w:rsid w:val="21555156"/>
    <w:rsid w:val="215E49C8"/>
    <w:rsid w:val="21B24FD9"/>
    <w:rsid w:val="21C244AB"/>
    <w:rsid w:val="21EB5ABA"/>
    <w:rsid w:val="221C4286"/>
    <w:rsid w:val="2242144D"/>
    <w:rsid w:val="225A150C"/>
    <w:rsid w:val="226F33EA"/>
    <w:rsid w:val="22791318"/>
    <w:rsid w:val="22A939AB"/>
    <w:rsid w:val="22B456FE"/>
    <w:rsid w:val="231B2164"/>
    <w:rsid w:val="232144AA"/>
    <w:rsid w:val="234611FA"/>
    <w:rsid w:val="239A32F4"/>
    <w:rsid w:val="23B42AC3"/>
    <w:rsid w:val="23BC770E"/>
    <w:rsid w:val="23BF0FAD"/>
    <w:rsid w:val="23C6233B"/>
    <w:rsid w:val="24024DB5"/>
    <w:rsid w:val="24600018"/>
    <w:rsid w:val="24643DF0"/>
    <w:rsid w:val="248D63A1"/>
    <w:rsid w:val="24A7216D"/>
    <w:rsid w:val="24D618A2"/>
    <w:rsid w:val="24DC64BD"/>
    <w:rsid w:val="24E801F5"/>
    <w:rsid w:val="24E87C1C"/>
    <w:rsid w:val="250026DA"/>
    <w:rsid w:val="2501777F"/>
    <w:rsid w:val="254F0607"/>
    <w:rsid w:val="25AD710F"/>
    <w:rsid w:val="25E5489F"/>
    <w:rsid w:val="26241BA3"/>
    <w:rsid w:val="262C61A6"/>
    <w:rsid w:val="265B26B4"/>
    <w:rsid w:val="26676225"/>
    <w:rsid w:val="26E2748C"/>
    <w:rsid w:val="26E35AEC"/>
    <w:rsid w:val="27135897"/>
    <w:rsid w:val="2728014B"/>
    <w:rsid w:val="27333B61"/>
    <w:rsid w:val="27702CEA"/>
    <w:rsid w:val="278E3373"/>
    <w:rsid w:val="27D43F35"/>
    <w:rsid w:val="27DD6975"/>
    <w:rsid w:val="27FB6C3E"/>
    <w:rsid w:val="28001F91"/>
    <w:rsid w:val="28312663"/>
    <w:rsid w:val="285D2307"/>
    <w:rsid w:val="28A63E40"/>
    <w:rsid w:val="29140FED"/>
    <w:rsid w:val="292A6EC8"/>
    <w:rsid w:val="29414B40"/>
    <w:rsid w:val="29707A78"/>
    <w:rsid w:val="297176FB"/>
    <w:rsid w:val="298068D7"/>
    <w:rsid w:val="298C1931"/>
    <w:rsid w:val="299B1E3B"/>
    <w:rsid w:val="29B669AE"/>
    <w:rsid w:val="29D11A3A"/>
    <w:rsid w:val="29DB05EB"/>
    <w:rsid w:val="29F6324E"/>
    <w:rsid w:val="2A44220C"/>
    <w:rsid w:val="2A4D18A8"/>
    <w:rsid w:val="2A667359"/>
    <w:rsid w:val="2A731975"/>
    <w:rsid w:val="2A7D19BD"/>
    <w:rsid w:val="2A8940C2"/>
    <w:rsid w:val="2AA9450A"/>
    <w:rsid w:val="2AD01CF1"/>
    <w:rsid w:val="2AE16896"/>
    <w:rsid w:val="2B125E66"/>
    <w:rsid w:val="2B434271"/>
    <w:rsid w:val="2BA647AD"/>
    <w:rsid w:val="2BDF043E"/>
    <w:rsid w:val="2C1C7095"/>
    <w:rsid w:val="2C413326"/>
    <w:rsid w:val="2C555D4A"/>
    <w:rsid w:val="2C5B55EB"/>
    <w:rsid w:val="2CAD5E46"/>
    <w:rsid w:val="2CD355FC"/>
    <w:rsid w:val="2CF72E55"/>
    <w:rsid w:val="2D0D5606"/>
    <w:rsid w:val="2D2105E2"/>
    <w:rsid w:val="2D237421"/>
    <w:rsid w:val="2D513B5D"/>
    <w:rsid w:val="2D5704A8"/>
    <w:rsid w:val="2D7834AC"/>
    <w:rsid w:val="2DB83846"/>
    <w:rsid w:val="2DB9081B"/>
    <w:rsid w:val="2E3569FF"/>
    <w:rsid w:val="2E724B65"/>
    <w:rsid w:val="2E7953E4"/>
    <w:rsid w:val="2E7C01C6"/>
    <w:rsid w:val="2E8361EB"/>
    <w:rsid w:val="2E8B0630"/>
    <w:rsid w:val="2E965CA0"/>
    <w:rsid w:val="2EA0058E"/>
    <w:rsid w:val="2EDA4EED"/>
    <w:rsid w:val="2EE47B19"/>
    <w:rsid w:val="2F1C7426"/>
    <w:rsid w:val="2FAEF5C4"/>
    <w:rsid w:val="2FB839DF"/>
    <w:rsid w:val="2FFB21C9"/>
    <w:rsid w:val="30241C05"/>
    <w:rsid w:val="302A1EA4"/>
    <w:rsid w:val="30416F06"/>
    <w:rsid w:val="304E7F5C"/>
    <w:rsid w:val="307F5F9C"/>
    <w:rsid w:val="3091214E"/>
    <w:rsid w:val="309C1FFA"/>
    <w:rsid w:val="30C6270B"/>
    <w:rsid w:val="30F45469"/>
    <w:rsid w:val="316F42A9"/>
    <w:rsid w:val="319F5F79"/>
    <w:rsid w:val="31BC43A8"/>
    <w:rsid w:val="31F46964"/>
    <w:rsid w:val="31FA62F1"/>
    <w:rsid w:val="32115BD1"/>
    <w:rsid w:val="32342D6D"/>
    <w:rsid w:val="32566F80"/>
    <w:rsid w:val="327B4FB4"/>
    <w:rsid w:val="32A31CA7"/>
    <w:rsid w:val="33301130"/>
    <w:rsid w:val="338A1331"/>
    <w:rsid w:val="33993575"/>
    <w:rsid w:val="33B47B64"/>
    <w:rsid w:val="34E81408"/>
    <w:rsid w:val="351153E0"/>
    <w:rsid w:val="3518676F"/>
    <w:rsid w:val="352A3AB6"/>
    <w:rsid w:val="355D23D3"/>
    <w:rsid w:val="35EF5721"/>
    <w:rsid w:val="36130AEC"/>
    <w:rsid w:val="36250A64"/>
    <w:rsid w:val="364315C9"/>
    <w:rsid w:val="3699568D"/>
    <w:rsid w:val="3743283D"/>
    <w:rsid w:val="37A427F7"/>
    <w:rsid w:val="37B16457"/>
    <w:rsid w:val="37DC51AD"/>
    <w:rsid w:val="37FA7718"/>
    <w:rsid w:val="3821662F"/>
    <w:rsid w:val="3871233E"/>
    <w:rsid w:val="38A73A87"/>
    <w:rsid w:val="38D5381C"/>
    <w:rsid w:val="38F4304F"/>
    <w:rsid w:val="391B05DB"/>
    <w:rsid w:val="39290F4A"/>
    <w:rsid w:val="399E62C8"/>
    <w:rsid w:val="39C902E2"/>
    <w:rsid w:val="39EF620D"/>
    <w:rsid w:val="39F447E3"/>
    <w:rsid w:val="39FA03A2"/>
    <w:rsid w:val="39FA26AE"/>
    <w:rsid w:val="3A4F2AA6"/>
    <w:rsid w:val="3A531190"/>
    <w:rsid w:val="3A80236E"/>
    <w:rsid w:val="3AAD52BC"/>
    <w:rsid w:val="3AF13CEA"/>
    <w:rsid w:val="3AFA2251"/>
    <w:rsid w:val="3AFC4698"/>
    <w:rsid w:val="3B043A1D"/>
    <w:rsid w:val="3B044D5F"/>
    <w:rsid w:val="3B3D3668"/>
    <w:rsid w:val="3B6C3ADB"/>
    <w:rsid w:val="3B8E745C"/>
    <w:rsid w:val="3B985F13"/>
    <w:rsid w:val="3C3C2D43"/>
    <w:rsid w:val="3C512748"/>
    <w:rsid w:val="3C53313F"/>
    <w:rsid w:val="3C5462DE"/>
    <w:rsid w:val="3C576930"/>
    <w:rsid w:val="3C5E5B3F"/>
    <w:rsid w:val="3C7500F5"/>
    <w:rsid w:val="3CCE7035"/>
    <w:rsid w:val="3D402D06"/>
    <w:rsid w:val="3D5456C8"/>
    <w:rsid w:val="3D6E02CF"/>
    <w:rsid w:val="3D8F2DE4"/>
    <w:rsid w:val="3DAC5CA6"/>
    <w:rsid w:val="3DC94AAA"/>
    <w:rsid w:val="3DE14002"/>
    <w:rsid w:val="3E112313"/>
    <w:rsid w:val="3E3A59A8"/>
    <w:rsid w:val="3E815973"/>
    <w:rsid w:val="3E857011"/>
    <w:rsid w:val="3E8D7BAE"/>
    <w:rsid w:val="3E9735A8"/>
    <w:rsid w:val="3E9C21BE"/>
    <w:rsid w:val="3ED701A7"/>
    <w:rsid w:val="3EF75F59"/>
    <w:rsid w:val="3F1D2789"/>
    <w:rsid w:val="3F7C1031"/>
    <w:rsid w:val="3FAD475C"/>
    <w:rsid w:val="3FF006FF"/>
    <w:rsid w:val="40185137"/>
    <w:rsid w:val="40730CFD"/>
    <w:rsid w:val="409F2538"/>
    <w:rsid w:val="40D554EA"/>
    <w:rsid w:val="40EF3EB8"/>
    <w:rsid w:val="41155A0E"/>
    <w:rsid w:val="411A185C"/>
    <w:rsid w:val="413B7A6D"/>
    <w:rsid w:val="41B6751F"/>
    <w:rsid w:val="41DA12FB"/>
    <w:rsid w:val="41E56529"/>
    <w:rsid w:val="42073DF3"/>
    <w:rsid w:val="420B38E3"/>
    <w:rsid w:val="423654AA"/>
    <w:rsid w:val="426D560B"/>
    <w:rsid w:val="4284360C"/>
    <w:rsid w:val="428C42F8"/>
    <w:rsid w:val="435049A6"/>
    <w:rsid w:val="43507DFC"/>
    <w:rsid w:val="43550E5F"/>
    <w:rsid w:val="439A5774"/>
    <w:rsid w:val="43BD2121"/>
    <w:rsid w:val="43F263DD"/>
    <w:rsid w:val="440354C6"/>
    <w:rsid w:val="44183734"/>
    <w:rsid w:val="442D2644"/>
    <w:rsid w:val="447C67B9"/>
    <w:rsid w:val="448D1F05"/>
    <w:rsid w:val="44D75CFE"/>
    <w:rsid w:val="44F617B2"/>
    <w:rsid w:val="452A0524"/>
    <w:rsid w:val="45682DFA"/>
    <w:rsid w:val="45713DE8"/>
    <w:rsid w:val="45880BDF"/>
    <w:rsid w:val="458D5981"/>
    <w:rsid w:val="459A5F4C"/>
    <w:rsid w:val="45A8769B"/>
    <w:rsid w:val="45AE0F60"/>
    <w:rsid w:val="45B51AE2"/>
    <w:rsid w:val="45CF69D6"/>
    <w:rsid w:val="45F61652"/>
    <w:rsid w:val="460F1B7D"/>
    <w:rsid w:val="463B050F"/>
    <w:rsid w:val="464C44CA"/>
    <w:rsid w:val="467D0334"/>
    <w:rsid w:val="46B25CF1"/>
    <w:rsid w:val="474B2E49"/>
    <w:rsid w:val="47A923AE"/>
    <w:rsid w:val="47DC16E0"/>
    <w:rsid w:val="47E50732"/>
    <w:rsid w:val="47ED4C61"/>
    <w:rsid w:val="481F1950"/>
    <w:rsid w:val="48292103"/>
    <w:rsid w:val="484B77F9"/>
    <w:rsid w:val="485B2DA0"/>
    <w:rsid w:val="48790E7B"/>
    <w:rsid w:val="48C514F3"/>
    <w:rsid w:val="48D87ACE"/>
    <w:rsid w:val="48EF219A"/>
    <w:rsid w:val="490436CB"/>
    <w:rsid w:val="492E4417"/>
    <w:rsid w:val="49705315"/>
    <w:rsid w:val="4A445DB6"/>
    <w:rsid w:val="4A4534F8"/>
    <w:rsid w:val="4A464097"/>
    <w:rsid w:val="4AA35DF0"/>
    <w:rsid w:val="4AE649F0"/>
    <w:rsid w:val="4AFF05C0"/>
    <w:rsid w:val="4B137A8E"/>
    <w:rsid w:val="4B777B3B"/>
    <w:rsid w:val="4BCB7C3F"/>
    <w:rsid w:val="4BD21CDC"/>
    <w:rsid w:val="4BE64A79"/>
    <w:rsid w:val="4C0455CD"/>
    <w:rsid w:val="4C4874E2"/>
    <w:rsid w:val="4C7E2F03"/>
    <w:rsid w:val="4C8F6EBF"/>
    <w:rsid w:val="4D741F0F"/>
    <w:rsid w:val="4D8367CC"/>
    <w:rsid w:val="4E165E69"/>
    <w:rsid w:val="4E6942B2"/>
    <w:rsid w:val="4ED40264"/>
    <w:rsid w:val="4F0F26C5"/>
    <w:rsid w:val="4F532425"/>
    <w:rsid w:val="4FA55A32"/>
    <w:rsid w:val="4FFD40E4"/>
    <w:rsid w:val="5019366F"/>
    <w:rsid w:val="506146CF"/>
    <w:rsid w:val="506A727A"/>
    <w:rsid w:val="5095081C"/>
    <w:rsid w:val="509D39ED"/>
    <w:rsid w:val="50B60EBE"/>
    <w:rsid w:val="51063016"/>
    <w:rsid w:val="51291C37"/>
    <w:rsid w:val="51313562"/>
    <w:rsid w:val="513149E8"/>
    <w:rsid w:val="51387D53"/>
    <w:rsid w:val="51475FBA"/>
    <w:rsid w:val="5180327A"/>
    <w:rsid w:val="51BC407E"/>
    <w:rsid w:val="51F54112"/>
    <w:rsid w:val="52077265"/>
    <w:rsid w:val="521340EE"/>
    <w:rsid w:val="52AE3CC5"/>
    <w:rsid w:val="52E95362"/>
    <w:rsid w:val="52F67C97"/>
    <w:rsid w:val="53036F3E"/>
    <w:rsid w:val="5331200C"/>
    <w:rsid w:val="53316789"/>
    <w:rsid w:val="534D3630"/>
    <w:rsid w:val="537132FC"/>
    <w:rsid w:val="537D2167"/>
    <w:rsid w:val="538912C2"/>
    <w:rsid w:val="53A000C2"/>
    <w:rsid w:val="53BA5F45"/>
    <w:rsid w:val="53D1326E"/>
    <w:rsid w:val="53F35F85"/>
    <w:rsid w:val="53FC752F"/>
    <w:rsid w:val="542B7F75"/>
    <w:rsid w:val="544E765F"/>
    <w:rsid w:val="54FE7160"/>
    <w:rsid w:val="54FE754D"/>
    <w:rsid w:val="55325E6D"/>
    <w:rsid w:val="557C3F5E"/>
    <w:rsid w:val="55B2735B"/>
    <w:rsid w:val="55B77F3B"/>
    <w:rsid w:val="55BB6F76"/>
    <w:rsid w:val="55BD4A9D"/>
    <w:rsid w:val="55C84413"/>
    <w:rsid w:val="55D3606E"/>
    <w:rsid w:val="55F42B14"/>
    <w:rsid w:val="563C475B"/>
    <w:rsid w:val="567E54E5"/>
    <w:rsid w:val="56855007"/>
    <w:rsid w:val="56B22127"/>
    <w:rsid w:val="56B71078"/>
    <w:rsid w:val="577E341E"/>
    <w:rsid w:val="578A062C"/>
    <w:rsid w:val="57F56069"/>
    <w:rsid w:val="5808324B"/>
    <w:rsid w:val="581A2BFF"/>
    <w:rsid w:val="5834745D"/>
    <w:rsid w:val="585A4825"/>
    <w:rsid w:val="58825341"/>
    <w:rsid w:val="588B2C30"/>
    <w:rsid w:val="58B670DA"/>
    <w:rsid w:val="58F05189"/>
    <w:rsid w:val="591A5BE0"/>
    <w:rsid w:val="59A13B87"/>
    <w:rsid w:val="59DB3E06"/>
    <w:rsid w:val="5A2A46CB"/>
    <w:rsid w:val="5A754877"/>
    <w:rsid w:val="5A865DA5"/>
    <w:rsid w:val="5ABF39F2"/>
    <w:rsid w:val="5AF22A77"/>
    <w:rsid w:val="5AFA7489"/>
    <w:rsid w:val="5B0D5B7E"/>
    <w:rsid w:val="5B253396"/>
    <w:rsid w:val="5B612FA9"/>
    <w:rsid w:val="5B863B83"/>
    <w:rsid w:val="5C64344C"/>
    <w:rsid w:val="5C8F2E08"/>
    <w:rsid w:val="5C910737"/>
    <w:rsid w:val="5CA6628A"/>
    <w:rsid w:val="5CAC586B"/>
    <w:rsid w:val="5CD728E8"/>
    <w:rsid w:val="5D1527D0"/>
    <w:rsid w:val="5D505750"/>
    <w:rsid w:val="5D97130E"/>
    <w:rsid w:val="5DAA1995"/>
    <w:rsid w:val="5DB15F43"/>
    <w:rsid w:val="5DC866D4"/>
    <w:rsid w:val="5E58468C"/>
    <w:rsid w:val="5ECD73AA"/>
    <w:rsid w:val="5ED00D0B"/>
    <w:rsid w:val="5EFD54C0"/>
    <w:rsid w:val="5F3833E6"/>
    <w:rsid w:val="5F3B2FBB"/>
    <w:rsid w:val="5F3D0F4D"/>
    <w:rsid w:val="5F57442C"/>
    <w:rsid w:val="5F7F2518"/>
    <w:rsid w:val="5F924B34"/>
    <w:rsid w:val="5FBC1730"/>
    <w:rsid w:val="604665DE"/>
    <w:rsid w:val="60B91957"/>
    <w:rsid w:val="60E26F17"/>
    <w:rsid w:val="61024E44"/>
    <w:rsid w:val="610C0686"/>
    <w:rsid w:val="615E3B07"/>
    <w:rsid w:val="617B4673"/>
    <w:rsid w:val="617C0DC9"/>
    <w:rsid w:val="61872B84"/>
    <w:rsid w:val="61914BE7"/>
    <w:rsid w:val="61A86601"/>
    <w:rsid w:val="61A91232"/>
    <w:rsid w:val="61CD0301"/>
    <w:rsid w:val="61E82EA1"/>
    <w:rsid w:val="62630A9F"/>
    <w:rsid w:val="62636835"/>
    <w:rsid w:val="627E55B4"/>
    <w:rsid w:val="62B17737"/>
    <w:rsid w:val="63051B4E"/>
    <w:rsid w:val="63365E8E"/>
    <w:rsid w:val="63EF166B"/>
    <w:rsid w:val="6415261D"/>
    <w:rsid w:val="6432672B"/>
    <w:rsid w:val="644665A5"/>
    <w:rsid w:val="647C0409"/>
    <w:rsid w:val="64852C29"/>
    <w:rsid w:val="648C1B70"/>
    <w:rsid w:val="64C574CA"/>
    <w:rsid w:val="64D32693"/>
    <w:rsid w:val="65173C9C"/>
    <w:rsid w:val="651E34F7"/>
    <w:rsid w:val="654D1146"/>
    <w:rsid w:val="656B48D2"/>
    <w:rsid w:val="6587477F"/>
    <w:rsid w:val="65F25E18"/>
    <w:rsid w:val="66027B94"/>
    <w:rsid w:val="662E7ECC"/>
    <w:rsid w:val="663113AF"/>
    <w:rsid w:val="66E75E1D"/>
    <w:rsid w:val="676C02BE"/>
    <w:rsid w:val="6782507E"/>
    <w:rsid w:val="6784366C"/>
    <w:rsid w:val="67C43A69"/>
    <w:rsid w:val="67CA446A"/>
    <w:rsid w:val="67D43D2A"/>
    <w:rsid w:val="6817003C"/>
    <w:rsid w:val="682836D9"/>
    <w:rsid w:val="68355514"/>
    <w:rsid w:val="6841155D"/>
    <w:rsid w:val="68F77208"/>
    <w:rsid w:val="693966D8"/>
    <w:rsid w:val="697A0DF2"/>
    <w:rsid w:val="69B12712"/>
    <w:rsid w:val="6A647F9B"/>
    <w:rsid w:val="6A6968B2"/>
    <w:rsid w:val="6A6B28C1"/>
    <w:rsid w:val="6A7327B4"/>
    <w:rsid w:val="6A886ED6"/>
    <w:rsid w:val="6A9260A0"/>
    <w:rsid w:val="6AA47B81"/>
    <w:rsid w:val="6B260787"/>
    <w:rsid w:val="6B3C7DBA"/>
    <w:rsid w:val="6B8858ED"/>
    <w:rsid w:val="6BDF5315"/>
    <w:rsid w:val="6C0E79A8"/>
    <w:rsid w:val="6C295210"/>
    <w:rsid w:val="6C7052FA"/>
    <w:rsid w:val="6C8639E2"/>
    <w:rsid w:val="6CA57446"/>
    <w:rsid w:val="6CB0280D"/>
    <w:rsid w:val="6CD02EB0"/>
    <w:rsid w:val="6D2D29EC"/>
    <w:rsid w:val="6D5F51BF"/>
    <w:rsid w:val="6D6E3416"/>
    <w:rsid w:val="6D9B34BE"/>
    <w:rsid w:val="6E126D2A"/>
    <w:rsid w:val="6E602011"/>
    <w:rsid w:val="6E8B52E0"/>
    <w:rsid w:val="6F03756C"/>
    <w:rsid w:val="6F6D49E6"/>
    <w:rsid w:val="6F7852EE"/>
    <w:rsid w:val="6F8A1A3C"/>
    <w:rsid w:val="6FC717CB"/>
    <w:rsid w:val="6FD607DD"/>
    <w:rsid w:val="6FE05419"/>
    <w:rsid w:val="700C2451"/>
    <w:rsid w:val="70244CDE"/>
    <w:rsid w:val="70350BEF"/>
    <w:rsid w:val="705B2397"/>
    <w:rsid w:val="707F0C44"/>
    <w:rsid w:val="708F4B22"/>
    <w:rsid w:val="70B30B1E"/>
    <w:rsid w:val="711361A6"/>
    <w:rsid w:val="713D5101"/>
    <w:rsid w:val="715C7816"/>
    <w:rsid w:val="716167CC"/>
    <w:rsid w:val="72102BD5"/>
    <w:rsid w:val="72441905"/>
    <w:rsid w:val="724D0AFE"/>
    <w:rsid w:val="725101D8"/>
    <w:rsid w:val="72536115"/>
    <w:rsid w:val="726F4F19"/>
    <w:rsid w:val="72C963D7"/>
    <w:rsid w:val="72D46E2B"/>
    <w:rsid w:val="72FE2BF5"/>
    <w:rsid w:val="731358A4"/>
    <w:rsid w:val="7346211D"/>
    <w:rsid w:val="739F6935"/>
    <w:rsid w:val="73D76A26"/>
    <w:rsid w:val="73EF6311"/>
    <w:rsid w:val="7402235F"/>
    <w:rsid w:val="744F0B5E"/>
    <w:rsid w:val="74AC7D5E"/>
    <w:rsid w:val="74B0277E"/>
    <w:rsid w:val="75363ACC"/>
    <w:rsid w:val="75483F70"/>
    <w:rsid w:val="7557416E"/>
    <w:rsid w:val="757D7668"/>
    <w:rsid w:val="759251A6"/>
    <w:rsid w:val="75976C60"/>
    <w:rsid w:val="759E075D"/>
    <w:rsid w:val="759F7FAD"/>
    <w:rsid w:val="75AC4499"/>
    <w:rsid w:val="75B74C0D"/>
    <w:rsid w:val="75BD6BB2"/>
    <w:rsid w:val="75CA0CCD"/>
    <w:rsid w:val="75CA3CE1"/>
    <w:rsid w:val="75E65CCC"/>
    <w:rsid w:val="76007AAE"/>
    <w:rsid w:val="761050D9"/>
    <w:rsid w:val="7614205F"/>
    <w:rsid w:val="762436BA"/>
    <w:rsid w:val="76562678"/>
    <w:rsid w:val="76C267F5"/>
    <w:rsid w:val="76DE2D93"/>
    <w:rsid w:val="76E934EC"/>
    <w:rsid w:val="76EF1037"/>
    <w:rsid w:val="77837808"/>
    <w:rsid w:val="77A25449"/>
    <w:rsid w:val="77D75529"/>
    <w:rsid w:val="77F43EF6"/>
    <w:rsid w:val="78EC72C3"/>
    <w:rsid w:val="7936053E"/>
    <w:rsid w:val="7967289F"/>
    <w:rsid w:val="79751067"/>
    <w:rsid w:val="797C23F5"/>
    <w:rsid w:val="79BE53CA"/>
    <w:rsid w:val="79DA711C"/>
    <w:rsid w:val="79DF5657"/>
    <w:rsid w:val="7A396538"/>
    <w:rsid w:val="7A564644"/>
    <w:rsid w:val="7A733BF4"/>
    <w:rsid w:val="7ADB231E"/>
    <w:rsid w:val="7B1A2205"/>
    <w:rsid w:val="7B3A4316"/>
    <w:rsid w:val="7B902188"/>
    <w:rsid w:val="7BBA5FBF"/>
    <w:rsid w:val="7BCE3A10"/>
    <w:rsid w:val="7BE7739F"/>
    <w:rsid w:val="7BEE5100"/>
    <w:rsid w:val="7C016BE2"/>
    <w:rsid w:val="7C32217F"/>
    <w:rsid w:val="7C3C2F1B"/>
    <w:rsid w:val="7C5F1B5A"/>
    <w:rsid w:val="7C640FD2"/>
    <w:rsid w:val="7C916338"/>
    <w:rsid w:val="7C977546"/>
    <w:rsid w:val="7CD6277F"/>
    <w:rsid w:val="7CE4229A"/>
    <w:rsid w:val="7D0B2974"/>
    <w:rsid w:val="7D322473"/>
    <w:rsid w:val="7D957F29"/>
    <w:rsid w:val="7D9B5AED"/>
    <w:rsid w:val="7DD270EF"/>
    <w:rsid w:val="7DD82BB8"/>
    <w:rsid w:val="7DDD71DA"/>
    <w:rsid w:val="7DF60CE8"/>
    <w:rsid w:val="7E12157A"/>
    <w:rsid w:val="7E290F5A"/>
    <w:rsid w:val="7E6F077A"/>
    <w:rsid w:val="7E94068D"/>
    <w:rsid w:val="7E9C2B2A"/>
    <w:rsid w:val="7EC42C09"/>
    <w:rsid w:val="7F3648B6"/>
    <w:rsid w:val="7F5646F6"/>
    <w:rsid w:val="7F8C7B71"/>
    <w:rsid w:val="7F990663"/>
    <w:rsid w:val="7FA322E5"/>
    <w:rsid w:val="7FC95C68"/>
    <w:rsid w:val="BFF6DFE7"/>
    <w:rsid w:val="F9FF620A"/>
    <w:rsid w:val="FAE90E99"/>
    <w:rsid w:val="FB7135A7"/>
    <w:rsid w:val="FDDAF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paragraph" w:styleId="6">
    <w:name w:val="Body Text 3"/>
    <w:basedOn w:val="1"/>
    <w:next w:val="7"/>
    <w:qFormat/>
    <w:uiPriority w:val="0"/>
    <w:pPr>
      <w:spacing w:after="120"/>
    </w:pPr>
    <w:rPr>
      <w:sz w:val="16"/>
      <w:szCs w:val="16"/>
    </w:rPr>
  </w:style>
  <w:style w:type="paragraph" w:customStyle="1" w:styleId="7">
    <w:name w:val="Char1"/>
    <w:basedOn w:val="1"/>
    <w:qFormat/>
    <w:uiPriority w:val="0"/>
    <w:pPr>
      <w:widowControl/>
      <w:tabs>
        <w:tab w:val="left" w:pos="840"/>
      </w:tabs>
      <w:adjustRightInd w:val="0"/>
      <w:snapToGrid w:val="0"/>
      <w:spacing w:after="200"/>
      <w:ind w:left="840" w:hanging="420"/>
      <w:jc w:val="left"/>
    </w:pPr>
    <w:rPr>
      <w:rFonts w:ascii="Tahoma" w:hAnsi="Tahoma" w:eastAsia="微软雅黑"/>
      <w:kern w:val="0"/>
      <w:sz w:val="24"/>
      <w:szCs w:val="30"/>
    </w:rPr>
  </w:style>
  <w:style w:type="paragraph" w:styleId="8">
    <w:name w:val="Body Text"/>
    <w:basedOn w:val="1"/>
    <w:next w:val="1"/>
    <w:qFormat/>
    <w:uiPriority w:val="0"/>
    <w:pPr>
      <w:spacing w:after="120"/>
    </w:pPr>
    <w:rPr>
      <w:szCs w:val="20"/>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6440</Words>
  <Characters>6545</Characters>
  <Lines>0</Lines>
  <Paragraphs>0</Paragraphs>
  <TotalTime>4</TotalTime>
  <ScaleCrop>false</ScaleCrop>
  <LinksUpToDate>false</LinksUpToDate>
  <CharactersWithSpaces>6605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2025-12-29T10:33:00Z</dcterms:created>
  <dc:creator>LENOVO</dc:creator>
  <cp:lastModifiedBy>Administrator</cp:lastModifiedBy>
  <cp:lastPrinted>2026-01-23T02:11:31Z</cp:lastPrinted>
  <dcterms:modified xsi:type="dcterms:W3CDTF">2026-01-23T02:19:41Z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515D6CED75424DA29845686FA0FF52D2_13</vt:lpwstr>
  </property>
  <property fmtid="{D5CDD505-2E9C-101B-9397-08002B2CF9AE}" pid="4" name="KSOTemplateDocerSaveRecord">
    <vt:lpwstr>eyJoZGlkIjoiMDEzMTg1YzQ1MDMxN2YwNWZhODU5NjM4YTk3Mzk4OTUifQ==</vt:lpwstr>
  </property>
</Properties>
</file>