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F4F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/>
          <w:spacing w:val="0"/>
          <w:kern w:val="21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/>
          <w:spacing w:val="0"/>
          <w:kern w:val="21"/>
          <w:sz w:val="44"/>
          <w:szCs w:val="44"/>
          <w:u w:val="none"/>
          <w:lang w:eastAsia="zh-CN"/>
        </w:rPr>
        <w:t>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/>
          <w:spacing w:val="0"/>
          <w:kern w:val="21"/>
          <w:sz w:val="44"/>
          <w:szCs w:val="44"/>
          <w:u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napToGrid/>
          <w:spacing w:val="0"/>
          <w:kern w:val="21"/>
          <w:sz w:val="44"/>
          <w:szCs w:val="44"/>
          <w:u w:val="none"/>
        </w:rPr>
        <w:t>深化营商环境突破年行动方案</w:t>
      </w:r>
    </w:p>
    <w:p w14:paraId="27AFB812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（征求意见稿）</w:t>
      </w:r>
    </w:p>
    <w:p w14:paraId="4B41E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ascii="Arial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</w:pPr>
      <w:bookmarkStart w:id="0" w:name="_GoBack"/>
      <w:bookmarkEnd w:id="0"/>
    </w:p>
    <w:p w14:paraId="68EBA59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为进一步推动全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营商环境持续优化提升，现制定如下行动方案。</w:t>
      </w:r>
    </w:p>
    <w:p w14:paraId="72E28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一、总体要求</w:t>
      </w:r>
    </w:p>
    <w:p w14:paraId="14DDDC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以习近平新时代中国特色社会主义思想为指导，深入学习贯彻党的二十大和二十届二中、三中全会精神，贯通落实习近平总书记历次来陕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来宝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考察重要讲话重要指示，按照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中省市县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经济工作会议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、全县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两会决策部署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以及省市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深化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营商环境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突破年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动方案》有关要求，坚持以服务经营主体为出发点和落脚点，坚持有效市场和有为政府协同，坚持问题导向，深入推进营商环境“小切口”改革，巩固提升“高、低、好、快、强”优势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特点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w w:val="100"/>
          <w:kern w:val="21"/>
          <w:sz w:val="32"/>
          <w:szCs w:val="32"/>
          <w:lang w:val="en-US" w:eastAsia="zh-CN"/>
        </w:rPr>
        <w:t>持续优化全县营商环境，助推县域经济社会高质量发展。</w:t>
      </w:r>
    </w:p>
    <w:p w14:paraId="44ED8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主要目标</w:t>
      </w:r>
    </w:p>
    <w:p w14:paraId="0743E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val="en-US" w:eastAsia="zh-CN"/>
        </w:rPr>
        <w:t>聚焦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“高、低、好、快、强”优势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特点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精准提升高效服务，纵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深推进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val="en-US" w:eastAsia="zh-CN"/>
        </w:rPr>
        <w:t>33项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“高效办成一件事”改革，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eastAsia="zh-CN"/>
        </w:rPr>
        <w:t>编制全县政务服务事项实施清单，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推动更多政务服务事项“全程网办”，加快形成“近悦远来”的发展环境。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32"/>
          <w:szCs w:val="32"/>
        </w:rPr>
        <w:t>全面推行工程建设项目“极简审批”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推动“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1+6+N”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审批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帮办代办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eastAsia="zh-CN"/>
        </w:rPr>
        <w:t>模式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，推行“政务服务+园区”服务模式，推动项目建设提质增效。深入推进“标准地+承诺制”改革，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年度重点项</w:t>
      </w:r>
      <w:r>
        <w:rPr>
          <w:rFonts w:hint="eastAsia" w:ascii="仿宋_GB2312" w:hAnsi="仿宋_GB2312" w:eastAsia="仿宋_GB2312" w:cs="仿宋_GB2312"/>
          <w:b w:val="0"/>
          <w:bCs w:val="0"/>
          <w:snapToGrid/>
          <w:spacing w:val="0"/>
          <w:kern w:val="21"/>
          <w:sz w:val="32"/>
          <w:szCs w:val="32"/>
          <w:lang w:eastAsia="zh-CN"/>
        </w:rPr>
        <w:t>目用地保障率达到90%以上，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推进土地资源节约集约利用。紧盯省市县委《全面深化改革实施意见》任务落实，聚力突破瓶颈问题，争取中省试点示范项目布局我县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全力推动标志性改革举措落地见效。</w:t>
      </w:r>
    </w:p>
    <w:p w14:paraId="42051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、重点任务</w:t>
      </w:r>
    </w:p>
    <w:p w14:paraId="777E763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加快建设市场化营商环境，激发经营主体活力</w:t>
      </w:r>
    </w:p>
    <w:p w14:paraId="1327BA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1.便利市场准入。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持续推进市场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监管领域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准入准营事项“证照联办”,拓展电子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业执照应用。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深化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企业迁移登记“一件事”和个转企“一件事”改革。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（县行政审批局、县市场监管局牵头，各相关部门按照职责分工负责）</w:t>
      </w:r>
    </w:p>
    <w:p w14:paraId="7BE110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2.获取经营场所。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持续推进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不动产首次登记“验登合一”模式，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深化税费入账（库）改革，推广不动产首次登记“验登合一”模式，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积极探索“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带押过户”等新业务类型。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（县税务局、县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自然资源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局、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县住建局、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县财政局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306CC0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3.保障劳动用工。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落实省级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失业、工伤保险统筹制度，优化社保经办服务。健全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农民工工资争议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快立快调快审快结工作机制。全面落实“新八级工”制度，延伸拓展技能人才成长进步阶梯，提高从业人员素质。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（县人社局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248527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4.优化金融服务。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充分发挥小微企业融资协调落实机制，加大对实体经济和乡村振兴金融支持力度。用好政策性担保平台，推动贷款利率稳中有降，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着力解决中小微企业、民营企业融资难融资贵问题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（国家金融监管总局眉县监管支局、县发改局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446479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5.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维护招投标市场秩序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完善招投标机制，进一步规范招标投标活动，积极推行全流程电子化交易，维护公平竞争的招标投标市场秩序。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发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改局牵头，各相关部门按照职责分工负责）</w:t>
      </w:r>
    </w:p>
    <w:p w14:paraId="6768160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en-US"/>
        </w:rPr>
        <w:t>6.提高政府采购效率。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纵深推进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互联网+政府采购”。实施政府采购项目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供应商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盲投”、评审专家“盲抽”、项目评审“盲评”、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有评标室、评审地点随机分配“共享”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财政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局、县发改局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0AF22E0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en-US"/>
        </w:rPr>
        <w:t>7.强化科技支撑。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充分发挥秦创原创新驱动平台作用，积极配合教育科技人才体制一体改革推进。通过项目技术攻关与企业进行产学研合作、联合组建创新联合体突破关键核心技术，不断培育带动引领科技人才在企业创新发展中的支撑作用。鼓励龙头企业联合产业链上下游企业推进“四链”深度融合，加速科技成果转移转化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（县商务和工业信息化局、经开区管委会、猕猴桃园区管委会牵头，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各相关部门按照职责分工负责）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）</w:t>
      </w:r>
    </w:p>
    <w:p w14:paraId="5885CC7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" w:firstLine="661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8.推动涉企政策精准推送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。依托“陕企通”平台，实现惠企政策统一发布、精准推送。扎实做好惠企政策措施宣传落地，深入企业全方位开展宣传解读，打通政策入企“最后一公里”。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(县商务和工业信息化局牵头，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各相关部门按照职责分工负责）</w:t>
      </w:r>
    </w:p>
    <w:p w14:paraId="38B6F4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9.完善政府信息公开。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聚焦县政府重点工作，持续深入开展政策解读，精准释放政策信息，提升解读的准确性、权威性、贴近性。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（县政府办公室（政务公开办）牵头，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各相关部门按照职责分工负责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）</w:t>
      </w:r>
    </w:p>
    <w:p w14:paraId="5BC7C1A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10.推动资金“直达快享”。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不断提高财政资金使用效益和政策效能，促进经济持续回升向好，发挥财政资金直达机制作用，力促涉企资金直接惠企利民。（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县财政局牵头，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各相关部门按照职责分工负责）</w:t>
      </w:r>
    </w:p>
    <w:p w14:paraId="26C6B81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11.开展“股长讲政策”活动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。遴选懂政策、敢担当、有作为的营商环境干部赴重点企业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开展政策解读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，推动政策落地落实。以政策为桥梁，发挥政策和党建双重支撑作用，助力非公企业发展壮大蓬勃发展。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组织部、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县政府办公室（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县职转和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营商办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5A8D1C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12.严格落实负面清单。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全面落实市场准入负面清单制度，持续破除市场准入壁垒，严禁以备案、注册、年检、认定、认证、指定、要求设立分公司等形式设定或变相设定准入障碍。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（县发改局牵头，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各相关部门按照职责分工负责）</w:t>
      </w:r>
    </w:p>
    <w:p w14:paraId="2FE2A5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）加快建设法治化营商环境，保障经营主体合法权益</w:t>
      </w:r>
    </w:p>
    <w:p w14:paraId="13F2A07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.发挥法治保障作用。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加强备案审查工作，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宏观政策取向一致性评估，依法纠正和撤销与宪法法律相抵触的规范性文件。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司法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县发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改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51E763A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.有效解决商业纠纷。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推动民事诉讼繁简分流，依法加大执行力度，提升执行效率和执行质量。开展执行难综合治理、源头治理，推动矛盾纠纷就地发现、就地调处、就地化解。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法院牵头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1A35C7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" w:right="361" w:firstLine="658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强化涉企执法监督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完善行政裁量权基准制度，进一步严格执法程序、优化执法方式、强化监督问责，着力提升行政执法质量和效能。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（县司法局牵头，各相关部门按照职责分工负责）</w:t>
      </w:r>
    </w:p>
    <w:p w14:paraId="549F768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" w:right="361" w:firstLine="658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.规范涉企执法检查。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开展规范涉企执法专项行动，推广行政执法信用分级监管制度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落实涉企检查“五个严禁”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八个不得”要求，防止逐利检查、任性检查。推广行政执法检查“白名单”制度。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司法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1188E0A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" w:right="361" w:firstLine="658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17.提升执法满意度。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各执法部门每季度对全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行政执法检查情况按照行业划分进行一次满意度抽查回访，并对相关情况进行分析研判、查找薄弱环节、提出改进意见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（县司法局牵头，各相关部门按照职责分工负责）</w:t>
      </w:r>
    </w:p>
    <w:p w14:paraId="255C419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" w:right="361" w:firstLine="658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b/>
          <w:bCs/>
          <w:snapToGrid/>
          <w:spacing w:val="0"/>
          <w:kern w:val="21"/>
          <w:sz w:val="32"/>
          <w:szCs w:val="32"/>
        </w:rPr>
        <w:t>1</w:t>
      </w:r>
      <w:r>
        <w:rPr>
          <w:rFonts w:hint="eastAsia"/>
          <w:b/>
          <w:bCs/>
          <w:snapToGrid/>
          <w:spacing w:val="0"/>
          <w:kern w:val="21"/>
          <w:sz w:val="32"/>
          <w:szCs w:val="32"/>
          <w:lang w:val="en-US" w:eastAsia="zh-CN"/>
        </w:rPr>
        <w:t>8</w:t>
      </w:r>
      <w:r>
        <w:rPr>
          <w:b/>
          <w:bCs/>
          <w:snapToGrid/>
          <w:spacing w:val="0"/>
          <w:kern w:val="21"/>
          <w:sz w:val="32"/>
          <w:szCs w:val="32"/>
        </w:rPr>
        <w:t>.提升监管效能。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落实市级“综合查一次”场景清单，深入推进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跨部门综合监管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深化包容审慎监管，依法拓展交通运输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道路交通安全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文化市场等领域的轻微违法不法事项，细化减轻处罚情形，减少实施查封、扣押等强制措施。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（县市场监管局牵头，各相关部门按照职责分工负责）</w:t>
      </w:r>
    </w:p>
    <w:p w14:paraId="7070E9D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" w:right="361" w:firstLine="658"/>
        <w:jc w:val="both"/>
        <w:rPr>
          <w:rFonts w:hint="eastAsia" w:ascii="楷体_GB2312" w:hAnsi="楷体_GB2312" w:eastAsia="楷体_GB2312" w:cs="楷体_GB2312"/>
          <w:snapToGrid/>
          <w:spacing w:val="0"/>
          <w:kern w:val="2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.建设良好信用生态。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健全企业账款清欠机制，深入开展清欠专项行动。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国家城市信用状况监测预警指标要求，尽快开展查漏补缺，补齐工作短板，制定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眉县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信用排名提升工作方案，强化信用信息归集、信用监管、信易贷、信用宣传、信用承诺等工作。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napToGrid/>
          <w:spacing w:val="0"/>
          <w:kern w:val="21"/>
          <w:sz w:val="32"/>
          <w:szCs w:val="32"/>
          <w:lang w:eastAsia="zh-CN"/>
        </w:rPr>
        <w:t>县发改局、县商务和工业信息化局、县财政局牵头，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各相关部门按照职责分工负责）</w:t>
      </w:r>
    </w:p>
    <w:p w14:paraId="7722B7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" w:right="361" w:firstLine="658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.促进市场公平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竞争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全眉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县公平竞争审查制度，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继续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开展反不正当竞争守护行动，打击不正当竞争行为保护消费者和经营者合法权益。整治侵犯知识产权和商业秘密、制售假冒伪劣商品等违法行为。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市场监管局牵头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24575F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" w:right="361" w:firstLine="658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</w:rPr>
        <w:t>.开展涉企公益诉讼监督。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聚焦违法违规套取、骗取、截留、挪用各类助企惠民补贴行为开展专项监督，维护国家利益和社会公共利益。加大公益诉讼案件办理力度，在办理各领域涉企检察公益诉讼案件中，强化以监督促治理，积极引导企业依法合规经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检察院牵头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3A1B91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7" w:right="361" w:firstLine="658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22.强化人大监督。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运用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专题审议、执法检查、专题调研等方式，着力推进相关地方性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法规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有效实施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支持推进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一府两院”依法行政、公正司法，营造宽松便捷、公平有序的发展环境。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人大办公室牵头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4CAE03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23.加强民主监督。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深入企业了解实际情况，综合运用专项监督、会议监督、提案监督、视察监督等方式，推动优化营商环境有关决策部署落细落实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确保企业反馈问题渠道畅通无阻，推动问题有效解决。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政协办公室牵头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7C7583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（三）加快建设国际化营商环境，提升对外开放能级</w:t>
      </w:r>
    </w:p>
    <w:p w14:paraId="370E08A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10" w:right="124" w:firstLine="628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24.提升国际贸易便利化。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鼓励企业申办海关AEO高级认证。利用好“单一窗口”平台地方特色服务，提升外贸企业的抗风险能力和水平。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（县商务和工业信息化局牵头，各相关部门按照职责分工负责）</w:t>
      </w:r>
    </w:p>
    <w:p w14:paraId="3CADA0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25.加强知识产权保护。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完善知识产权协同保护机制，强化知识产权保护执法，严厉打击侵犯知识产权违法行为。围绕重点领域、重点商品和重点市场，积极开展知识产权专项执法行动。加强专利、商标代理行业监管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持续开展专利、商标代理行业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蓝天”专项整治行动。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（县市场监管局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44DB258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26.提高流通转换速率。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加强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智慧交通建设，加快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绿色货运配送示范工程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巩固和完善大型商圈等重点场所的支付便利性。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（县交通局、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国家金融监管总局眉县监管支局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牵头，各相关部门按照职责分工负责）</w:t>
      </w:r>
    </w:p>
    <w:p w14:paraId="35693A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27.发展开放型产业。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大力推动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猕猴桃产业园、常兴纺织工业园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国家外贸转型升级，经开区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管委会向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外向型经济聚集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发展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（猕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猴桃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园区管委会、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经开区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管委会、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常兴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镇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，各相关部门按照职责分工负责）</w:t>
      </w:r>
    </w:p>
    <w:p w14:paraId="6ABAB8F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28.发展大宗贸易。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依托国家猕猴桃、纺织外贸进出口基地，积极与口岸办、对外贸易服务中心，综合港务区对接，促进县域商品出口。依托中欧班列，发挥区域物流集散分拨功能，发展“班列+产业链+大宗商品交易”，扩大辐射面，招引产业合作伙伴，打造区域性物流中心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（县商务和工业信息化局牵头，各相关部门按照职责分工负责）</w:t>
      </w:r>
    </w:p>
    <w:p w14:paraId="56CA05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29.增强招商引资能力。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加强与周边地市全方位合作，组织开展国内招商活动，深入宣传我县产业优势及营商环境，争取吸引一批高质量外资项目落地。进一步规范招商工作流程，实行项目招引、落地、投产、达产闭环管理。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（县招商局、县发改局牵头，各相关部门按照职责分工负责）</w:t>
      </w:r>
    </w:p>
    <w:p w14:paraId="1F7ADE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（四）加快建设便利化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营商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环境，促进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重点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项目落地</w:t>
      </w:r>
    </w:p>
    <w:p w14:paraId="118578D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30.全力保障重点项目建设。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主动对接重点项目，全方位做好审批手续办理工作，推动“容缺受理+告知承诺+联合踏勘”审批、简化政府投资立项审批、能评“绿色通道“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+6+N”帮办代办服务等措施取得实效。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（县行政审批局牵头，各相关部门按照职责分工负责）</w:t>
      </w:r>
    </w:p>
    <w:p w14:paraId="744912C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31.加强项目全流程服务。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推行重点项目“一对一”法律顾问和“项目警官”“代办管家”等制度，为项目落地提供精细化的专业服务。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（县司法局、县公安局、县行政审批局牵头，各相关部门按照职责分工负责）</w:t>
      </w:r>
    </w:p>
    <w:p w14:paraId="5293145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32.深化人才要素保障。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聚焦我县六条重点产业链，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分批组织企业有针对性地到高校精准招才引智，助推全县工业经济高质量发展。全年力争引进硕士以上高层次人才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人以上，培育秦创原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三支队伍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支以上、青年科技新星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人以上。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（县委组织部、县商务和工业信息化局、县人社局牵头，各相关部门按照职责分工负责）</w:t>
      </w:r>
    </w:p>
    <w:p w14:paraId="154637E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33.加强项目用地保障。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加快对2025年县级重点项目用地，预审和审批进度，实行即报即审，年度重点项</w:t>
      </w:r>
      <w:r>
        <w:rPr>
          <w:rFonts w:hint="eastAsia"/>
          <w:b w:val="0"/>
          <w:bCs w:val="0"/>
          <w:snapToGrid/>
          <w:spacing w:val="0"/>
          <w:kern w:val="21"/>
          <w:sz w:val="32"/>
          <w:szCs w:val="32"/>
          <w:lang w:eastAsia="zh-CN"/>
        </w:rPr>
        <w:t>目用地保障率达到90%以上。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（县自然资源局牵头，各相关部门按照职责分工负责）</w:t>
      </w:r>
    </w:p>
    <w:p w14:paraId="673EDC4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34.提升土地节约集约。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落实落细“增存挂钩”机制，持续推进批而未供和闲置土地消化处置工作。深化“标准地”改革，经开区管委会新供应工业用地“标准地”不低于80%。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（县自然资源局、经开区管委会牵头，各相关部门按照职责分工负责）</w:t>
      </w:r>
    </w:p>
    <w:p w14:paraId="7DA0142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35.推动工程建设项目“多测合一”。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优化整合工程建设项目各环节测绘事项，制定“多测合一”统一标准规范，强化质量监管和安全保密，鼓励“多测合一”项目信息化管理，推动成果共享。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（县自然资源局、县行政审批局、县住建局牵头，各相关部门按照职责分工负责）</w:t>
      </w:r>
    </w:p>
    <w:p w14:paraId="390219A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36.加快环评制度改革。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绿色通道机制，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施环评审批服务台账管理。对符合生态环境保护要求的重大项目，开辟绿色通道，实施即报审即受理即转评估，提高环评审批效率。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配合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市级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做好优化环评分类管理试点工作。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（县生态环境局、县行政审批局牵头，各相关部门按照职责分工负责）</w:t>
      </w:r>
    </w:p>
    <w:p w14:paraId="03799B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37.提升文物勘探效率。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依法依规吸纳、扩大社会专业力量参与文物勘探工作，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国有土地“先考古、后出让”政策机制，对相对集中的多宗用地集中统一打包进行考古勘探，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文物勘探、发掘限时完成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（县文旅局牵头，各相关部门按照职责分工负责）</w:t>
      </w:r>
    </w:p>
    <w:p w14:paraId="527CC4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" w:firstLine="664"/>
        <w:jc w:val="both"/>
        <w:rPr>
          <w:rFonts w:hint="default" w:ascii="楷体_GB2312" w:hAnsi="楷体_GB2312" w:eastAsia="楷体_GB2312" w:cs="楷体_GB2312"/>
          <w:b/>
          <w:bCs/>
          <w:snapToGrid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1"/>
          <w:sz w:val="32"/>
          <w:szCs w:val="32"/>
          <w:lang w:eastAsia="zh-CN"/>
        </w:rPr>
        <w:t>（五）加快建设规范</w:t>
      </w: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1"/>
          <w:sz w:val="32"/>
          <w:szCs w:val="32"/>
          <w:lang w:val="en-US" w:eastAsia="zh-CN"/>
        </w:rPr>
        <w:t>化</w:t>
      </w: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1"/>
          <w:sz w:val="32"/>
          <w:szCs w:val="32"/>
          <w:lang w:eastAsia="zh-CN"/>
        </w:rPr>
        <w:t>政务环境，</w:t>
      </w:r>
      <w:r>
        <w:rPr>
          <w:rFonts w:hint="eastAsia" w:ascii="楷体_GB2312" w:hAnsi="楷体_GB2312" w:eastAsia="楷体_GB2312" w:cs="楷体_GB2312"/>
          <w:b/>
          <w:bCs/>
          <w:snapToGrid/>
          <w:spacing w:val="0"/>
          <w:kern w:val="21"/>
          <w:sz w:val="32"/>
          <w:szCs w:val="32"/>
          <w:lang w:val="en-US" w:eastAsia="zh-CN"/>
        </w:rPr>
        <w:t>提升企业群众满意度</w:t>
      </w:r>
    </w:p>
    <w:p w14:paraId="21219A2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38.优化政务服务。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编制县级政务服务事项清单，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指导镇村政务服务大厅实现标准化、规范化、便利化，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实时汇聚调用市级20类高频电子证照应用共享，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及时总结“‘眉’好政务服务”品牌经验，积极推广落实。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（县行政审批局牵头，各相关部门按照职责分工负责）</w:t>
      </w:r>
    </w:p>
    <w:p w14:paraId="4406BE7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39.深化行政审批制度改革。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持续优化审批服务，动态调整行政许可事项清单。深入实施“极简审批”，探索高频事项 AI智能审批，提升行政审批服务集中办理质效。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（县行政审批局牵头，各相关部门按照职责分工负责）</w:t>
      </w:r>
    </w:p>
    <w:p w14:paraId="13A4B88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40.推进“高效办成一件事”。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加快推进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科技成果转化、新车上牌、建设项目开工等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新一批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“高效办成一件事”事项落地见效。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（县行政审批局牵头，各相关部门按照职责分工负责）</w:t>
      </w:r>
    </w:p>
    <w:p w14:paraId="12636E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zh-CN" w:bidi="ar-SA"/>
        </w:rPr>
        <w:t>41.推动政务服务“就近办”。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zh-CN" w:bidi="ar-SA"/>
        </w:rPr>
        <w:t>围绕企业生产经营、群众生活密切相关的重点领域，完善综合性群众服务中心功能， 优化政务服务驿站布局，提升服务质效。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（县行政审批局牵头，各相关部门按照职责分工负责）</w:t>
      </w:r>
    </w:p>
    <w:p w14:paraId="6EE5663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42.加快数字营商建设。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加快完善数字基础设施，全面完成电子政务外网和重点区域5G网络深度覆盖；深入推进数据资源整合共享，完善线上政务服务“一网通办”；推进市县一体化协同办公平台推广应用，加快与“秦政通”融合；充分挖掘数眉运管平台功能，创新性开展城市管理、城市治理工作及数字赋能创新应用建设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（县发改局、县行政审批局牵头，各相关部门按照职责分工负责）</w:t>
      </w:r>
    </w:p>
    <w:p w14:paraId="4BC628D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43.切实减轻企业负担。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建立涉企工作登记机制，对涉企调研、执法检查、政企会议、问题投诉、需求建议、政策推送、满意度评价等工作进行登记备案，进一步减少对企业正常经营的干扰。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（县政府办公室（县职转和营商办）牵头，各相关部门按照职责分工负责）</w:t>
      </w:r>
    </w:p>
    <w:p w14:paraId="276B1EF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b/>
          <w:bCs/>
          <w:snapToGrid/>
          <w:spacing w:val="0"/>
          <w:kern w:val="21"/>
          <w:sz w:val="32"/>
          <w:szCs w:val="32"/>
        </w:rPr>
        <w:t>攻坚大气污染防治。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推行“三抓三盯”工作机制，常态化开展部门联合执法，持续加强联防联控，推动PM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vertAlign w:val="subscript"/>
        </w:rPr>
        <w:t>2.5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、O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vertAlign w:val="subscript"/>
        </w:rPr>
        <w:t>3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等主要污染指标持续下降，确保全年优良天数持续增加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eastAsia="zh-CN"/>
        </w:rPr>
        <w:t>。强力推进工业园区污染整治。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配合做好市级开展第二批农用地土壤重金属污染溯源工作。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（县生态环境局牵头，各相关部门按照职责分工负责）</w:t>
      </w:r>
    </w:p>
    <w:p w14:paraId="3871FE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45.深化医药卫生体制改革。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持续推进医疗服务能力提升“十大行动”，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val="en-US"/>
        </w:rPr>
        <w:t>深化三级医院创建，加快镇卫生院特色科室建设，力争基层医疗机构诊疗量占比50%以上。深入推进县域紧密型医共体建设，扩大县镇托管改革试点范围，推行医共体内医疗机构检查检验结果互认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，深化“三医联动”改革，促进医保、医疗、医药协同发展和治理。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拓展异地就医直接结算范围，探索开展长期护理保险试点，积极开展商业补充医疗保险业务。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（县卫健局、县医保局牵头，各相关部门按照职责分工负责）</w:t>
      </w:r>
    </w:p>
    <w:p w14:paraId="4AE70C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46.提升教育教学质量。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实施“县管校聘”改革和“三名+”工程，加大教师交流轮岗力度，深化集团化办学，培养省市级学科带头人、教学能手30人以上。扎实开展中小幼一体化心理健康试点，加快</w:t>
      </w:r>
      <w:r>
        <w:rPr>
          <w:rFonts w:hint="eastAsia" w:ascii="仿宋_GB2312" w:hAnsi="Calibri" w:eastAsia="仿宋_GB2312"/>
          <w:snapToGrid/>
          <w:spacing w:val="0"/>
          <w:kern w:val="21"/>
          <w:sz w:val="32"/>
          <w:szCs w:val="32"/>
        </w:rPr>
        <w:t>国家特殊教育改革实验区建设</w:t>
      </w:r>
      <w:r>
        <w:rPr>
          <w:rFonts w:hint="eastAsia" w:ascii="仿宋_GB2312" w:eastAsia="仿宋_GB2312"/>
          <w:snapToGrid/>
          <w:spacing w:val="0"/>
          <w:kern w:val="21"/>
          <w:sz w:val="32"/>
          <w:szCs w:val="32"/>
        </w:rPr>
        <w:t>，全面提升教育教学质量。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（县教体局牵头，各相关部门按照职责分工负责）</w:t>
      </w:r>
    </w:p>
    <w:p w14:paraId="1C192CD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47.深化“互联”服务机制。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继续承接省营商环境评价工作，发挥“工商联+N”效应，搭建服务平台，服务好企业和商会，培养企业家队伍，宣传优秀企业家精神。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（县工商联牵头，各相关部门按照职责分工负责）</w:t>
      </w:r>
    </w:p>
    <w:p w14:paraId="326AFC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48.畅通政企沟通渠道。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常态化开展政企恳谈活动，积极协调解决企业困难和问题。密切与民营经济人士联系，加强优秀民营企业家培养，助力民营企业健康发展。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委统战部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牵头，各相关部门按照职责分工负责）</w:t>
      </w:r>
    </w:p>
    <w:p w14:paraId="16D4672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" w:firstLine="664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49.提升经营主体满意度。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不定期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对全县“12345热线”“陕企通企业诉求”“涉企账款清欠“县镇村三级政务服务”办理情况进行抽查回访，对抽查回访情况进行分析研判、查找薄弱环节、提出改进意见，提升全县经营主体满意度。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（县政府办公室（职转和营商办）牵头，各相关部门按照职责分工负责）</w:t>
      </w:r>
    </w:p>
    <w:p w14:paraId="1AA2A7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6" w:firstLine="664"/>
        <w:jc w:val="both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50.营造良好的舆论氛围。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利用县政府门户网站，设立“营商环境突破年”专栏，广泛宣传政策措施和典型经验做法。加强舆论监督，及时曝光破坏营商环境的负面行为，强化反面典型警示震慑作用。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县委纪委监委、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县委宣传部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  <w:lang w:eastAsia="zh-CN"/>
        </w:rPr>
        <w:t>县政府办公室（政务公开办）牵头，各相关部门按照职责分工负责）</w:t>
      </w:r>
    </w:p>
    <w:p w14:paraId="58D96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firstLine="640" w:firstLineChars="200"/>
        <w:jc w:val="both"/>
        <w:textAlignment w:val="auto"/>
        <w:outlineLvl w:val="0"/>
        <w:rPr>
          <w:rFonts w:hint="default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三、</w:t>
      </w:r>
      <w:r>
        <w:rPr>
          <w:rFonts w:hint="default" w:ascii="黑体" w:hAnsi="黑体" w:eastAsia="黑体" w:cs="黑体"/>
          <w:b w:val="0"/>
          <w:bCs w:val="0"/>
          <w:i w:val="0"/>
          <w:iCs w:val="0"/>
          <w:snapToGrid/>
          <w:spacing w:val="0"/>
          <w:kern w:val="21"/>
          <w:sz w:val="32"/>
          <w:szCs w:val="32"/>
          <w:u w:val="none"/>
        </w:rPr>
        <w:t>组织保障</w:t>
      </w:r>
    </w:p>
    <w:p w14:paraId="39A5A9A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en-US" w:bidi="ar-SA"/>
        </w:rPr>
        <w:t>（一）加强组织领导。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优化营商环境改革工作领导小组要加强组织领导和统筹谋划。各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eastAsia="zh-CN"/>
        </w:rPr>
        <w:t>牵头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单位一把手负总责、亲自抓，对照本工作方案，细化本单位落实措施，把握工作进度，确保各项任务落到实处。</w:t>
      </w:r>
    </w:p>
    <w:p w14:paraId="37D1164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en-US" w:bidi="ar-SA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en-US" w:bidi="ar-SA"/>
        </w:rPr>
        <w:t>（二）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zh-CN" w:bidi="ar-SA"/>
        </w:rPr>
        <w:t>强化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en-US" w:bidi="ar-SA"/>
        </w:rPr>
        <w:t>工作机制。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zh-CN" w:bidi="ar-SA"/>
        </w:rPr>
        <w:t>持续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en-US" w:bidi="ar-SA"/>
        </w:rPr>
        <w:t>推进“小切口”改革，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zh-CN" w:bidi="ar-SA"/>
        </w:rPr>
        <w:t>积极创建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en-US" w:bidi="ar-SA"/>
        </w:rPr>
        <w:t>营商环境创新示范区，实现点状突破带动整体提升。健全完善营商环境投诉举报线索处理机制，常态化通报破坏营商环境典型案例，强化反面典型警示教育效应。</w:t>
      </w:r>
    </w:p>
    <w:p w14:paraId="13FC2B4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napToGrid/>
          <w:color w:val="000000"/>
          <w:spacing w:val="0"/>
          <w:kern w:val="21"/>
          <w:sz w:val="32"/>
          <w:szCs w:val="32"/>
          <w:u w:val="none"/>
          <w:lang w:val="en-US" w:eastAsia="en-US" w:bidi="ar-SA"/>
        </w:rPr>
        <w:t>（三）做好宣传推广。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eastAsia="zh-CN"/>
        </w:rPr>
        <w:t>牵头单位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要做好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  <w:lang w:eastAsia="zh-CN"/>
        </w:rPr>
        <w:t>深</w:t>
      </w:r>
      <w:r>
        <w:rPr>
          <w:rFonts w:hint="eastAsia" w:ascii="仿宋_GB2312" w:hAnsi="仿宋_GB2312" w:eastAsia="仿宋_GB2312" w:cs="仿宋_GB2312"/>
          <w:snapToGrid/>
          <w:spacing w:val="0"/>
          <w:kern w:val="21"/>
          <w:sz w:val="32"/>
          <w:szCs w:val="32"/>
        </w:rPr>
        <w:t>化营商环境政策制度宣传解读，挖掘先进典型，提炼经验做法，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</w:rPr>
        <w:t>不断推广全省及我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</w:rPr>
        <w:t>的典型案例和成功做法，形成更多可复制可推广的工作机制和创新成果，实现我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</w:rPr>
        <w:t>营商环境的整体提升。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  <w:lang w:eastAsia="zh-CN"/>
        </w:rPr>
        <w:t>各牵头部门于每季度末最后一个月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  <w:lang w:val="en-US" w:eastAsia="zh-CN"/>
        </w:rPr>
        <w:t>10日前将工作落实情况报县职转和商办。</w:t>
      </w:r>
    </w:p>
    <w:p w14:paraId="2376E94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  <w:lang w:val="en-US" w:eastAsia="zh-CN"/>
        </w:rPr>
      </w:pPr>
    </w:p>
    <w:p w14:paraId="48A9C76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  <w:lang w:val="en-US" w:eastAsia="zh-CN"/>
        </w:rPr>
      </w:pPr>
    </w:p>
    <w:p w14:paraId="1A0859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napToGrid/>
          <w:color w:val="050505"/>
          <w:spacing w:val="0"/>
          <w:kern w:val="21"/>
          <w:sz w:val="32"/>
          <w:szCs w:val="32"/>
          <w:lang w:val="en-US" w:eastAsia="zh-CN"/>
        </w:rPr>
        <w:t xml:space="preserve">                 </w:t>
      </w:r>
    </w:p>
    <w:sectPr>
      <w:footerReference r:id="rId5" w:type="default"/>
      <w:pgSz w:w="11900" w:h="16830"/>
      <w:pgMar w:top="1417" w:right="1417" w:bottom="1417" w:left="1701" w:header="0" w:footer="992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15575">
    <w:pPr>
      <w:spacing w:line="177" w:lineRule="auto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20320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D1BA6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qSy5DTAAAABg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D1BA6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Q0ZmJmOWI5Y2Q4MjdlNWQ0Mzc5YTdkY2ZmODQ0MGEifQ=="/>
  </w:docVars>
  <w:rsids>
    <w:rsidRoot w:val="00000000"/>
    <w:rsid w:val="02D04FAC"/>
    <w:rsid w:val="03BD5AE4"/>
    <w:rsid w:val="05C00974"/>
    <w:rsid w:val="06176B60"/>
    <w:rsid w:val="06B048E3"/>
    <w:rsid w:val="06BC4550"/>
    <w:rsid w:val="07E850FA"/>
    <w:rsid w:val="0A6A44EC"/>
    <w:rsid w:val="0BD0272F"/>
    <w:rsid w:val="0BF7095D"/>
    <w:rsid w:val="0C9F66CF"/>
    <w:rsid w:val="0D58062B"/>
    <w:rsid w:val="0D606DE5"/>
    <w:rsid w:val="0E6C6420"/>
    <w:rsid w:val="11CA5F7C"/>
    <w:rsid w:val="123C676E"/>
    <w:rsid w:val="12ED5C48"/>
    <w:rsid w:val="144F7028"/>
    <w:rsid w:val="146C3DA7"/>
    <w:rsid w:val="14733F9D"/>
    <w:rsid w:val="14B571D6"/>
    <w:rsid w:val="14DA401C"/>
    <w:rsid w:val="15455939"/>
    <w:rsid w:val="16072429"/>
    <w:rsid w:val="17E51656"/>
    <w:rsid w:val="1927725B"/>
    <w:rsid w:val="1A3F504D"/>
    <w:rsid w:val="1B2E0C1E"/>
    <w:rsid w:val="1B5A2131"/>
    <w:rsid w:val="1BCA0E06"/>
    <w:rsid w:val="1DC51D0D"/>
    <w:rsid w:val="1EAA2CB1"/>
    <w:rsid w:val="20452C91"/>
    <w:rsid w:val="21701F90"/>
    <w:rsid w:val="21E0561B"/>
    <w:rsid w:val="23244DE0"/>
    <w:rsid w:val="241A2687"/>
    <w:rsid w:val="24D00DA4"/>
    <w:rsid w:val="252C08C4"/>
    <w:rsid w:val="26571970"/>
    <w:rsid w:val="28B05368"/>
    <w:rsid w:val="294B58AC"/>
    <w:rsid w:val="2A9C4E3A"/>
    <w:rsid w:val="2ACE1AD5"/>
    <w:rsid w:val="2B0C0D2B"/>
    <w:rsid w:val="2C0954BB"/>
    <w:rsid w:val="2C4B162F"/>
    <w:rsid w:val="2CD258AD"/>
    <w:rsid w:val="2D7921CC"/>
    <w:rsid w:val="2DC031A8"/>
    <w:rsid w:val="2EA339A5"/>
    <w:rsid w:val="2EC610B5"/>
    <w:rsid w:val="2FF06AC3"/>
    <w:rsid w:val="30B26121"/>
    <w:rsid w:val="30F2476F"/>
    <w:rsid w:val="31A17F44"/>
    <w:rsid w:val="32907C25"/>
    <w:rsid w:val="358D2372"/>
    <w:rsid w:val="363E0309"/>
    <w:rsid w:val="37BF7375"/>
    <w:rsid w:val="37EA43F2"/>
    <w:rsid w:val="38D155B2"/>
    <w:rsid w:val="39516DFE"/>
    <w:rsid w:val="39A700C1"/>
    <w:rsid w:val="39ED4590"/>
    <w:rsid w:val="3A4818A4"/>
    <w:rsid w:val="3A7B3A28"/>
    <w:rsid w:val="3B133C60"/>
    <w:rsid w:val="3B3836C7"/>
    <w:rsid w:val="3B8A62BD"/>
    <w:rsid w:val="3DA63BD2"/>
    <w:rsid w:val="3E416D36"/>
    <w:rsid w:val="3F3D74FE"/>
    <w:rsid w:val="40923879"/>
    <w:rsid w:val="409749EB"/>
    <w:rsid w:val="428A10DF"/>
    <w:rsid w:val="44F468B0"/>
    <w:rsid w:val="44FA43AA"/>
    <w:rsid w:val="46A44F19"/>
    <w:rsid w:val="4856105F"/>
    <w:rsid w:val="4876582E"/>
    <w:rsid w:val="48DD58AD"/>
    <w:rsid w:val="49B075F8"/>
    <w:rsid w:val="4A1B043B"/>
    <w:rsid w:val="4B41048F"/>
    <w:rsid w:val="4BBA0128"/>
    <w:rsid w:val="4BCD1C09"/>
    <w:rsid w:val="4BE13907"/>
    <w:rsid w:val="4BF54F6F"/>
    <w:rsid w:val="4D64659D"/>
    <w:rsid w:val="4E21448E"/>
    <w:rsid w:val="4E8011B5"/>
    <w:rsid w:val="4E920EE8"/>
    <w:rsid w:val="4FB07878"/>
    <w:rsid w:val="508F1B83"/>
    <w:rsid w:val="51EB2DE9"/>
    <w:rsid w:val="5203124B"/>
    <w:rsid w:val="533407C0"/>
    <w:rsid w:val="53760744"/>
    <w:rsid w:val="53B11E10"/>
    <w:rsid w:val="54344254"/>
    <w:rsid w:val="54A7169D"/>
    <w:rsid w:val="550348EE"/>
    <w:rsid w:val="552C5BF2"/>
    <w:rsid w:val="557B26D6"/>
    <w:rsid w:val="55851481"/>
    <w:rsid w:val="55B65ABA"/>
    <w:rsid w:val="55BA31FE"/>
    <w:rsid w:val="55F06C20"/>
    <w:rsid w:val="57F329F7"/>
    <w:rsid w:val="59046067"/>
    <w:rsid w:val="59590F80"/>
    <w:rsid w:val="5A036A9B"/>
    <w:rsid w:val="5B21787C"/>
    <w:rsid w:val="5B2B7AAE"/>
    <w:rsid w:val="5B3A26EB"/>
    <w:rsid w:val="5BF43C20"/>
    <w:rsid w:val="5C8053C1"/>
    <w:rsid w:val="5CC91C41"/>
    <w:rsid w:val="5E084D23"/>
    <w:rsid w:val="5E814F1D"/>
    <w:rsid w:val="5E9D546B"/>
    <w:rsid w:val="5F357D99"/>
    <w:rsid w:val="5F6661A5"/>
    <w:rsid w:val="5F795ED8"/>
    <w:rsid w:val="64281C7B"/>
    <w:rsid w:val="645760BC"/>
    <w:rsid w:val="6628353C"/>
    <w:rsid w:val="662F5543"/>
    <w:rsid w:val="68572A12"/>
    <w:rsid w:val="68584366"/>
    <w:rsid w:val="6BA75B7B"/>
    <w:rsid w:val="6C270A6A"/>
    <w:rsid w:val="6D325918"/>
    <w:rsid w:val="6D5910F7"/>
    <w:rsid w:val="6DE44E65"/>
    <w:rsid w:val="6F125A01"/>
    <w:rsid w:val="6F7157A3"/>
    <w:rsid w:val="6FA32AFD"/>
    <w:rsid w:val="6FDB5DF3"/>
    <w:rsid w:val="70682710"/>
    <w:rsid w:val="707D53F8"/>
    <w:rsid w:val="71030327"/>
    <w:rsid w:val="73113895"/>
    <w:rsid w:val="73634539"/>
    <w:rsid w:val="73DB2875"/>
    <w:rsid w:val="73E01C2A"/>
    <w:rsid w:val="746F5A96"/>
    <w:rsid w:val="74B11819"/>
    <w:rsid w:val="74F82FA3"/>
    <w:rsid w:val="75947170"/>
    <w:rsid w:val="75A80B7E"/>
    <w:rsid w:val="75AF424E"/>
    <w:rsid w:val="75E41419"/>
    <w:rsid w:val="77010D02"/>
    <w:rsid w:val="77D23F80"/>
    <w:rsid w:val="782B18E2"/>
    <w:rsid w:val="78BA3F3D"/>
    <w:rsid w:val="79A67991"/>
    <w:rsid w:val="7A7E4666"/>
    <w:rsid w:val="7AD539A8"/>
    <w:rsid w:val="7B3A2568"/>
    <w:rsid w:val="7B5D6256"/>
    <w:rsid w:val="7B5E3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spacing w:line="360" w:lineRule="auto"/>
      <w:ind w:left="840" w:leftChars="200" w:hanging="420" w:hangingChars="200"/>
    </w:pPr>
    <w:rPr>
      <w:color w:val="000000"/>
      <w:sz w:val="24"/>
    </w:rPr>
  </w:style>
  <w:style w:type="paragraph" w:styleId="3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首缩两字 Char"/>
    <w:basedOn w:val="1"/>
    <w:qFormat/>
    <w:uiPriority w:val="99"/>
    <w:rPr>
      <w:rFonts w:ascii="Verdana" w:hAnsi="Verdana"/>
      <w:bCs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6748</Words>
  <Characters>6886</Characters>
  <TotalTime>56</TotalTime>
  <ScaleCrop>false</ScaleCrop>
  <LinksUpToDate>false</LinksUpToDate>
  <CharactersWithSpaces>6905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2025-02-08T14:05:00Z</dcterms:created>
  <dc:creator>Kingsoft-PDF</dc:creator>
  <cp:lastModifiedBy>原原~~豆豆</cp:lastModifiedBy>
  <cp:lastPrinted>2025-02-26T04:44:00Z</cp:lastPrinted>
  <dcterms:modified xsi:type="dcterms:W3CDTF">2025-02-28T03:25:43Z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2025-02-08T14:05:37Z</vt:filetime>
  </property>
  <property fmtid="{D5CDD505-2E9C-101B-9397-08002B2CF9AE}" pid="4" name="UsrData">
    <vt:lpwstr>67a6f42e182be6001fdab0c3wl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eyJoZGlkIjoiOGQ2ZGQyZWY5MTY3MzE4YmMzYzBkYzA4NDFjM2UyZWIiLCJ1c2VySWQiOiI0NTM1NjEyMTQifQ==</vt:lpwstr>
  </property>
  <property fmtid="{D5CDD505-2E9C-101B-9397-08002B2CF9AE}" pid="7" name="ICV">
    <vt:lpwstr>65CCA96763BF4BCFAE3CD8C0AD2F095B_13</vt:lpwstr>
  </property>
</Properties>
</file>