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国家级（眉县）猕猴桃产业园区管理委员会</w:t>
      </w:r>
      <w:r>
        <w:rPr>
          <w:rFonts w:hint="eastAsia" w:asciiTheme="majorEastAsia" w:hAnsiTheme="majorEastAsia" w:eastAsiaTheme="majorEastAsia" w:cstheme="majorEastAsia"/>
          <w:b/>
          <w:bCs/>
          <w:sz w:val="48"/>
          <w:szCs w:val="48"/>
        </w:rPr>
        <w:t>2019年</w:t>
      </w:r>
      <w:r>
        <w:rPr>
          <w:rFonts w:hint="eastAsia" w:asciiTheme="majorEastAsia" w:hAnsiTheme="majorEastAsia" w:eastAsiaTheme="majorEastAsia" w:cstheme="majorEastAsia"/>
          <w:b/>
          <w:bCs/>
          <w:sz w:val="48"/>
          <w:szCs w:val="48"/>
          <w:lang w:val="en-US" w:eastAsia="zh-CN"/>
        </w:rPr>
        <w:t>度</w:t>
      </w:r>
      <w:r>
        <w:rPr>
          <w:rFonts w:hint="eastAsia" w:asciiTheme="majorEastAsia" w:hAnsiTheme="majorEastAsia" w:eastAsiaTheme="majorEastAsia" w:cstheme="majorEastAsia"/>
          <w:b/>
          <w:bCs/>
          <w:sz w:val="48"/>
          <w:szCs w:val="48"/>
        </w:rPr>
        <w:t>部门决算</w:t>
      </w:r>
      <w:r>
        <w:rPr>
          <w:rFonts w:hint="eastAsia" w:asciiTheme="majorEastAsia" w:hAnsiTheme="majorEastAsia" w:eastAsiaTheme="majorEastAsia" w:cstheme="majorEastAsia"/>
          <w:b/>
          <w:bCs/>
          <w:sz w:val="48"/>
          <w:szCs w:val="48"/>
          <w:lang w:val="en-US" w:eastAsia="zh-CN"/>
        </w:rPr>
        <w:t>公开</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_GB2312" w:hAnsi="仿宋_GB2312" w:eastAsia="仿宋_GB2312" w:cs="仿宋_GB2312"/>
          <w:sz w:val="32"/>
          <w:szCs w:val="32"/>
        </w:rPr>
      </w:pPr>
      <w:r>
        <w:rPr>
          <w:rFonts w:hint="eastAsia" w:ascii="仿宋" w:hAnsi="仿宋" w:eastAsia="仿宋" w:cs="仿宋"/>
          <w:sz w:val="32"/>
          <w:szCs w:val="32"/>
          <w:lang w:val="en-US" w:eastAsia="zh-CN"/>
        </w:rPr>
        <w:t>国家级（眉县）猕猴桃批发市场是2012年12月原农业部批准建设的全国第七个专业农产品批发市场，为充分发挥国家级（眉县）猕猴桃批发市场推动产业发展，助力农民增收示范引领作用，主要负责产业园区基础设施建设管理、猕猴桃产业开发、招商引资、产品交易管理与服务以及新品种培育研发等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年，经市编办批准，成立了“国家级（眉县）猕猴桃产业园区管理委员会”（宝市编发〔2013〕37号文件），为县政府派出机构，由县政府管理，为副县级全额拨款事业单位，核定编制12名，设主任1名、副主任2名，内设综合管理办公室、基础设施建设管理科、产品开发交易管理科3个正科级机构，设科级领导职数5名，工作人员6名。</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国家级（眉县）猕猴桃产业园区管理委员会</w:t>
            </w:r>
            <w:r>
              <w:rPr>
                <w:rFonts w:hint="eastAsia" w:ascii="仿宋_GB2312" w:hAnsi="仿宋_GB2312" w:eastAsia="仿宋_GB2312" w:cs="仿宋_GB2312"/>
                <w:sz w:val="32"/>
                <w:szCs w:val="32"/>
              </w:rPr>
              <w:t>（机关）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drawing>
          <wp:inline distT="0" distB="0" distL="114300" distR="114300">
            <wp:extent cx="2676525" cy="2262505"/>
            <wp:effectExtent l="4445" t="4445" r="508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仿宋_GB2312" w:hAnsi="仿宋_GB2312" w:eastAsia="仿宋_GB2312" w:cs="仿宋_GB2312"/>
          <w:sz w:val="32"/>
          <w:szCs w:val="32"/>
          <w:lang w:eastAsia="zh-CN"/>
        </w:rPr>
        <w:drawing>
          <wp:inline distT="0" distB="0" distL="114300" distR="114300">
            <wp:extent cx="2365375" cy="2270125"/>
            <wp:effectExtent l="4445" t="5080" r="1143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无政府性基金预算收入</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1377.51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10.52</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827.43</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10.74</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1377.51</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1377.51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1377.51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1377.51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28.82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商业服务业等支出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商业流通事务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187.43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187.43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商业服务业等支出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商业流通事务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1377.51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827.43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827.43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1.74</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177.51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1377.51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1377.51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177.51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177.51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1377.51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187.43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827.43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187.43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183.43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商业服务业等支出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2160299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237.51</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233.51</w:t>
            </w:r>
          </w:p>
        </w:tc>
        <w:tc>
          <w:tcPr>
            <w:tcW w:w="1363"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233.51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97.48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0.78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71.81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28.82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6.65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2</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2</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2019年收入总体情况及比上年减少，</w:t>
      </w:r>
      <w:r>
        <w:rPr>
          <w:rFonts w:hint="eastAsia" w:ascii="仿宋_GB2312" w:hAnsi="仿宋" w:eastAsia="仿宋_GB2312"/>
          <w:sz w:val="32"/>
          <w:szCs w:val="32"/>
          <w:lang w:val="en-US" w:eastAsia="zh-CN"/>
        </w:rPr>
        <w:t>上级补助收入减少</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2019年支出总体情况及比上年减</w:t>
      </w:r>
      <w:r>
        <w:rPr>
          <w:rFonts w:hint="eastAsia" w:ascii="仿宋_GB2312" w:hAnsi="仿宋" w:eastAsia="仿宋_GB2312"/>
          <w:sz w:val="32"/>
          <w:szCs w:val="32"/>
          <w:lang w:val="en-US" w:eastAsia="zh-CN"/>
        </w:rPr>
        <w:t>少</w:t>
      </w:r>
      <w:r>
        <w:rPr>
          <w:rFonts w:hint="eastAsia" w:ascii="仿宋_GB2312" w:hAnsi="仿宋" w:eastAsia="仿宋_GB2312"/>
          <w:sz w:val="32"/>
          <w:szCs w:val="32"/>
        </w:rPr>
        <w:t>，</w:t>
      </w:r>
      <w:r>
        <w:rPr>
          <w:rFonts w:hint="eastAsia" w:ascii="仿宋_GB2312" w:hAnsi="仿宋" w:eastAsia="仿宋_GB2312"/>
          <w:sz w:val="32"/>
          <w:szCs w:val="32"/>
          <w:lang w:val="en-US" w:eastAsia="zh-CN"/>
        </w:rPr>
        <w:t>项目支出减少。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eastAsia="仿宋_GB231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eastAsia="仿宋_GB231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hint="eastAsia" w:eastAsia="仿宋_GB231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233.51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16.95</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1144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83.05</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eastAsia="仿宋_GB231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收入总体情况及比上年减少，</w:t>
      </w:r>
      <w:r>
        <w:rPr>
          <w:rFonts w:hint="eastAsia" w:ascii="仿宋_GB2312" w:hAnsi="仿宋" w:eastAsia="仿宋_GB2312"/>
          <w:sz w:val="32"/>
          <w:szCs w:val="32"/>
          <w:lang w:val="en-US" w:eastAsia="zh-CN"/>
        </w:rPr>
        <w:t>专项资金补助减少。</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支出总体情况及比上年减少，</w:t>
      </w:r>
      <w:r>
        <w:rPr>
          <w:rFonts w:hint="eastAsia" w:ascii="仿宋_GB2312" w:hAnsi="仿宋" w:eastAsia="仿宋_GB2312"/>
          <w:sz w:val="32"/>
          <w:szCs w:val="32"/>
          <w:lang w:val="en-US" w:eastAsia="zh-CN"/>
        </w:rPr>
        <w:t>项目支出减少。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 xml:space="preserve"> 万元，占本年支出合 </w:t>
      </w:r>
    </w:p>
    <w:p>
      <w:pPr>
        <w:widowControl/>
        <w:jc w:val="left"/>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500</w:t>
      </w:r>
      <w:r>
        <w:rPr>
          <w:rFonts w:ascii="仿宋_GB2312" w:hAnsi="宋体" w:eastAsia="仿宋_GB2312" w:cs="仿宋_GB2312"/>
          <w:color w:val="000000"/>
          <w:kern w:val="0"/>
          <w:sz w:val="32"/>
          <w:szCs w:val="32"/>
        </w:rPr>
        <w:t>万元，主要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val="en-US" w:eastAsia="zh-CN"/>
        </w:rPr>
        <w:t>项目支出减少</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1377.51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1144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1144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237.51</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233.51</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4</w:t>
      </w:r>
      <w:r>
        <w:rPr>
          <w:rFonts w:ascii="仿宋_GB2312" w:hAnsi="仿宋_GB2312" w:eastAsia="仿宋_GB2312" w:cs="仿宋_GB2312"/>
          <w:color w:val="000000"/>
          <w:kern w:val="0"/>
          <w:sz w:val="31"/>
          <w:szCs w:val="31"/>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b/>
          <w:bCs/>
          <w:color w:val="000000"/>
          <w:kern w:val="0"/>
          <w:sz w:val="32"/>
          <w:szCs w:val="32"/>
          <w:lang w:val="en-US" w:eastAsia="zh-CN"/>
        </w:rPr>
        <w:t>230.51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hint="eastAsia" w:ascii="仿宋_GB2312" w:hAnsi="宋体" w:eastAsia="仿宋_GB2312" w:cs="仿宋_GB2312"/>
          <w:color w:val="000000"/>
          <w:kern w:val="0"/>
          <w:sz w:val="32"/>
          <w:szCs w:val="32"/>
          <w:lang w:val="en-US" w:eastAsia="zh-CN"/>
        </w:rPr>
        <w:t>养老保险28.82万元</w:t>
      </w:r>
      <w:r>
        <w:rPr>
          <w:rFonts w:hint="eastAsia" w:ascii="仿宋_GB2312" w:hAnsi="宋体" w:eastAsia="仿宋_GB2312" w:cs="仿宋_GB2312"/>
          <w:color w:val="000000"/>
          <w:kern w:val="0"/>
          <w:sz w:val="32"/>
          <w:szCs w:val="32"/>
          <w:lang w:val="en-US" w:eastAsia="zh-CN"/>
        </w:rPr>
        <w:tab/>
      </w:r>
      <w:r>
        <w:rPr>
          <w:rFonts w:hint="eastAsia" w:ascii="仿宋_GB2312" w:hAnsi="宋体" w:eastAsia="仿宋_GB2312" w:cs="仿宋_GB2312"/>
          <w:color w:val="000000"/>
          <w:kern w:val="0"/>
          <w:sz w:val="32"/>
          <w:szCs w:val="32"/>
          <w:lang w:val="en-US" w:eastAsia="zh-CN"/>
        </w:rPr>
        <w:t>，医疗保险10.52万元，住房保障支出10.74万元，</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180.43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b/>
          <w:bCs/>
          <w:color w:val="000000"/>
          <w:kern w:val="0"/>
          <w:sz w:val="32"/>
          <w:szCs w:val="32"/>
          <w:lang w:val="en-US" w:eastAsia="zh-CN"/>
        </w:rPr>
        <w:t>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公务用车运行费3万元。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eastAsia" w:eastAsia="仿宋_GB2312"/>
          <w:lang w:val="en-US"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无变化。</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eastAsia="仿宋_GB2312"/>
          <w:lang w:eastAsia="zh-CN"/>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66.67</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33.33</w:t>
      </w:r>
      <w:r>
        <w:rPr>
          <w:rFonts w:ascii="仿宋_GB2312" w:hAnsi="宋体" w:eastAsia="仿宋_GB2312" w:cs="仿宋_GB2312"/>
          <w:color w:val="000000"/>
          <w:kern w:val="0"/>
          <w:sz w:val="32"/>
          <w:szCs w:val="32"/>
        </w:rPr>
        <w:t>%。具体情况如下：</w:t>
      </w:r>
      <w:r>
        <w:rPr>
          <w:rFonts w:hint="eastAsia" w:eastAsia="仿宋_GB231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1140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1.齐峰果业数字农业</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98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500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500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val="en-US" w:eastAsia="zh-CN"/>
        </w:rPr>
        <w:t>提升了猕猴桃产业升级，助农增收</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lang w:val="en-US" w:eastAsia="zh-CN"/>
        </w:rPr>
        <w:t>资金使用效率低，全产业链应用不到位</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lang w:val="en-US" w:eastAsia="zh-CN"/>
        </w:rPr>
        <w:t>加快农业现代化建设，提高农业科技含量及农产品附加值，把猕猴桃产业做大做强</w:t>
      </w:r>
      <w:r>
        <w:rPr>
          <w:rFonts w:hint="eastAsia"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val="en-US" w:eastAsia="zh-CN"/>
        </w:rPr>
        <w:t>猕猴桃园区基础设施建设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99</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600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600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val="en-US" w:eastAsia="zh-CN"/>
        </w:rPr>
        <w:t>猕猴桃园区基础设施完备，水、电、路、气、绿化、亮化等基础配套进一步提升，服务产业，助农增收，惠民利民</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lang w:val="en-US" w:eastAsia="zh-CN"/>
        </w:rPr>
        <w:t>基础设施维护成本高，建成后维修保养不及时造成设施损毁浪费严重，原因分析：园区缺乏专业的物业管理队伍，基础设施的维保严重滞后</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lang w:eastAsia="zh-CN"/>
        </w:rPr>
        <w:t>：</w:t>
      </w:r>
      <w:r>
        <w:rPr>
          <w:rFonts w:hint="eastAsia" w:ascii="仿宋_GB2312" w:hAnsi="仿宋_GB2312" w:eastAsia="仿宋_GB2312" w:cs="仿宋_GB2312"/>
          <w:color w:val="000000"/>
          <w:kern w:val="0"/>
          <w:sz w:val="31"/>
          <w:szCs w:val="31"/>
          <w:lang w:val="en-US" w:eastAsia="zh-CN"/>
        </w:rPr>
        <w:t>提高资金使用效率，建设的同时注重后期维护</w:t>
      </w:r>
      <w:r>
        <w:rPr>
          <w:rFonts w:hint="eastAsia" w:ascii="仿宋_GB2312" w:hAnsi="仿宋_GB2312" w:eastAsia="仿宋_GB2312" w:cs="仿宋_GB2312"/>
          <w:color w:val="000000"/>
          <w:kern w:val="0"/>
          <w:sz w:val="31"/>
          <w:szCs w:val="31"/>
        </w:rPr>
        <w:t>。</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87.5pt;width:466.55pt;" o:ole="t" filled="f" o:preferrelative="t" stroked="f" coordsize="21600,21600">
            <v:path/>
            <v:fill on="f" focussize="0,0"/>
            <v:stroke on="f"/>
            <v:imagedata r:id="rId10" o:title=""/>
            <o:lock v:ext="edit" aspectratio="t"/>
            <w10:wrap type="none"/>
            <w10:anchorlock/>
          </v:shape>
          <o:OLEObject Type="Embed" ProgID="Excel.Sheet.8" ShapeID="_x0000_i1025" DrawAspect="Content" ObjectID="_1468075725" r:id="rId9">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05pt;width:631.5pt;" o:ole="t" filled="f" o:preferrelative="t" stroked="f" coordsize="21600,21600">
            <v:path/>
            <v:fill on="f" focussize="0,0"/>
            <v:stroke on="f"/>
            <v:imagedata r:id="rId12" o:title=""/>
            <o:lock v:ext="edit" aspectratio="t"/>
            <w10:wrap type="none"/>
            <w10:anchorlock/>
          </v:shape>
          <o:OLEObject Type="Embed" ProgID="Excel.Sheet.8" ShapeID="_x0000_i1026" DrawAspect="Content" ObjectID="_1468075726" r:id="rId11">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4" o:title=""/>
            <o:lock v:ext="edit" aspectratio="t"/>
            <w10:wrap type="none"/>
            <w10:anchorlock/>
          </v:shape>
          <o:OLEObject Type="Embed" ProgID="Excel.Sheet.8" ShapeID="_x0000_i1027" DrawAspect="Content" ObjectID="_1468075727" r:id="rId13">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6" o:title=""/>
            <o:lock v:ext="edit" aspectratio="t"/>
            <w10:wrap type="none"/>
            <w10:anchorlock/>
          </v:shape>
          <o:OLEObject Type="Embed" ProgID="Excel.Sheet.8" ShapeID="_x0000_i1028" DrawAspect="Content" ObjectID="_1468075728" r:id="rId15">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hint="eastAsia" w:ascii="仿宋_GB2312" w:hAnsi="宋体" w:eastAsia="仿宋_GB2312" w:cs="仿宋_GB2312"/>
          <w:color w:val="000000"/>
          <w:kern w:val="0"/>
          <w:sz w:val="32"/>
          <w:szCs w:val="32"/>
          <w:lang w:val="en-US" w:eastAsia="zh-CN"/>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无变化</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年政府采购支出</w:t>
      </w:r>
      <w:r>
        <w:rPr>
          <w:rFonts w:hint="eastAsia" w:ascii="仿宋_GB2312" w:hAnsi="仿宋_GB2312" w:eastAsia="仿宋_GB2312" w:cs="仿宋_GB2312"/>
          <w:sz w:val="32"/>
          <w:szCs w:val="32"/>
          <w:lang w:val="en-US" w:eastAsia="zh-CN"/>
        </w:rPr>
        <w:t>1455.62万元，其中货物采购1337.7647万元，工程支出117.8553万元。</w:t>
      </w:r>
      <w:bookmarkStart w:id="0" w:name="_GoBack"/>
      <w:bookmarkEnd w:id="0"/>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黑体" w:hAnsi="宋体" w:eastAsia="黑体"/>
          <w:color w:val="000000"/>
          <w:kern w:val="0"/>
          <w:sz w:val="32"/>
          <w:szCs w:val="32"/>
        </w:rPr>
      </w:pPr>
      <w:r>
        <w:rPr>
          <w:rFonts w:hint="eastAsia" w:ascii="仿宋_GB2312" w:hAnsi="仿宋_GB2312" w:eastAsia="仿宋_GB2312" w:cs="仿宋_GB2312"/>
          <w:sz w:val="32"/>
          <w:szCs w:val="32"/>
          <w:lang w:val="en-US" w:eastAsia="zh-CN"/>
        </w:rPr>
        <w:t>无</w:t>
      </w: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C7570E9"/>
    <w:rsid w:val="125E2600"/>
    <w:rsid w:val="1291576D"/>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40F5536"/>
    <w:rsid w:val="4619368A"/>
    <w:rsid w:val="4D6E0FDF"/>
    <w:rsid w:val="4EE4307A"/>
    <w:rsid w:val="5153143F"/>
    <w:rsid w:val="54F12DEE"/>
    <w:rsid w:val="623F708D"/>
    <w:rsid w:val="6E9A573C"/>
    <w:rsid w:val="727A344B"/>
    <w:rsid w:val="72E81CD9"/>
    <w:rsid w:val="75C31473"/>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实有人数</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行政人数</c:v>
                </c:pt>
                <c:pt idx="1">
                  <c:v>事业人数</c:v>
                </c:pt>
              </c:strCache>
            </c:strRef>
          </c:cat>
          <c:val>
            <c:numRef>
              <c:f>Sheet1!$B$2:$B$3</c:f>
              <c:numCache>
                <c:formatCode>0%</c:formatCode>
                <c:ptCount val="2"/>
                <c:pt idx="0">
                  <c:v>0</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人员构成</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行政编制</c:v>
                </c:pt>
                <c:pt idx="1">
                  <c:v>事业编制</c:v>
                </c:pt>
              </c:strCache>
            </c:strRef>
          </c:cat>
          <c:val>
            <c:numRef>
              <c:f>Sheet1!$B$2:$B$3</c:f>
              <c:numCache>
                <c:formatCode>0%</c:formatCode>
                <c:ptCount val="2"/>
                <c:pt idx="0">
                  <c:v>0</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经营性收入</c:v>
                </c:pt>
                <c:pt idx="3">
                  <c:v>其他收入</c:v>
                </c:pt>
              </c:strCache>
            </c:strRef>
          </c:cat>
          <c:val>
            <c:numRef>
              <c:f>Sheet1!$B$2:$B$5</c:f>
              <c:numCache>
                <c:formatCode>0%</c:formatCode>
                <c:ptCount val="4"/>
                <c:pt idx="0">
                  <c:v>1</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0.00%</c:formatCode>
                <c:ptCount val="3"/>
                <c:pt idx="0">
                  <c:v>0.1695</c:v>
                </c:pt>
                <c:pt idx="1">
                  <c:v>0.8305</c:v>
                </c:pt>
                <c:pt idx="2"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因公出国费</c:v>
                </c:pt>
                <c:pt idx="1">
                  <c:v>公务车购置</c:v>
                </c:pt>
                <c:pt idx="2">
                  <c:v>公务车运行</c:v>
                </c:pt>
                <c:pt idx="3">
                  <c:v>公务接待费</c:v>
                </c:pt>
              </c:strCache>
            </c:strRef>
          </c:cat>
          <c:val>
            <c:numRef>
              <c:f>Sheet1!$B$2:$B$5</c:f>
              <c:numCache>
                <c:formatCode>0%</c:formatCode>
                <c:ptCount val="4"/>
                <c:pt idx="0">
                  <c:v>0</c:v>
                </c:pt>
                <c:pt idx="1">
                  <c:v>0</c:v>
                </c:pt>
                <c:pt idx="2" c:formatCode="0.00%">
                  <c:v>0.6667</c:v>
                </c:pt>
                <c:pt idx="3" c:formatCode="0.00%">
                  <c:v>0.3333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15</TotalTime>
  <ScaleCrop>false</ScaleCrop>
  <LinksUpToDate>false</LinksUpToDate>
  <CharactersWithSpaces>8708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勇敢的心1394689373</cp:lastModifiedBy>
  <cp:lastPrinted>2020-07-28T02:12:00Z</cp:lastPrinted>
  <dcterms:modified xsi:type="dcterms:W3CDTF">2020-10-14T06:20:05Z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