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眉县总工会</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2019</w:t>
      </w:r>
      <w:r>
        <w:rPr>
          <w:rFonts w:hint="eastAsia" w:ascii="方正小标宋简体" w:hAnsi="方正小标宋简体" w:eastAsia="方正小标宋简体" w:cs="方正小标宋简体"/>
          <w:b w:val="0"/>
          <w:bCs w:val="0"/>
          <w:sz w:val="44"/>
          <w:szCs w:val="44"/>
          <w:lang w:eastAsia="zh-CN"/>
        </w:rPr>
        <w:t>年部门</w:t>
      </w:r>
      <w:r>
        <w:rPr>
          <w:rFonts w:hint="eastAsia" w:ascii="方正小标宋简体" w:hAnsi="方正小标宋简体" w:eastAsia="方正小标宋简体" w:cs="方正小标宋简体"/>
          <w:b w:val="0"/>
          <w:bCs w:val="0"/>
          <w:sz w:val="44"/>
          <w:szCs w:val="44"/>
        </w:rPr>
        <w:t>决算</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ascii="宋体" w:hAnsi="宋体" w:eastAsia="宋体" w:cs="宋体"/>
          <w:b/>
          <w:bCs/>
          <w:sz w:val="32"/>
          <w:szCs w:val="32"/>
        </w:rPr>
      </w:pPr>
    </w:p>
    <w:p>
      <w:pPr>
        <w:spacing w:line="400" w:lineRule="exact"/>
        <w:ind w:firstLine="643" w:firstLineChars="200"/>
        <w:rPr>
          <w:rFonts w:ascii="宋体" w:hAnsi="宋体" w:cs="宋体"/>
          <w:b/>
          <w:bCs/>
          <w:sz w:val="32"/>
          <w:szCs w:val="32"/>
        </w:rPr>
      </w:pPr>
      <w:r>
        <w:rPr>
          <w:rFonts w:hint="eastAsia" w:ascii="宋体" w:hAnsi="宋体" w:eastAsia="宋体" w:cs="宋体"/>
          <w:b/>
          <w:bCs/>
          <w:sz w:val="32"/>
          <w:szCs w:val="32"/>
        </w:rPr>
        <w:t>保密审查情况：</w:t>
      </w:r>
      <w:r>
        <w:rPr>
          <w:rFonts w:hint="eastAsia" w:ascii="宋体" w:hAnsi="宋体" w:cs="宋体"/>
          <w:b/>
          <w:bCs/>
          <w:sz w:val="32"/>
          <w:szCs w:val="32"/>
        </w:rPr>
        <w:t>已审查</w:t>
      </w:r>
    </w:p>
    <w:p>
      <w:pPr>
        <w:spacing w:line="400" w:lineRule="exact"/>
        <w:ind w:firstLine="2088" w:firstLineChars="650"/>
        <w:rPr>
          <w:rFonts w:ascii="宋体" w:hAnsi="宋体" w:eastAsia="宋体" w:cs="宋体"/>
          <w:b/>
          <w:bCs/>
          <w:sz w:val="32"/>
          <w:szCs w:val="32"/>
        </w:rPr>
      </w:pPr>
    </w:p>
    <w:p>
      <w:pPr>
        <w:spacing w:line="400" w:lineRule="exact"/>
        <w:ind w:firstLine="643" w:firstLineChars="200"/>
        <w:rPr>
          <w:rFonts w:ascii="宋体" w:hAnsi="宋体" w:cs="宋体"/>
          <w:b/>
          <w:bCs/>
          <w:sz w:val="32"/>
          <w:szCs w:val="32"/>
        </w:rPr>
      </w:pPr>
      <w:r>
        <w:rPr>
          <w:rFonts w:hint="eastAsia" w:ascii="宋体" w:hAnsi="宋体" w:cs="宋体"/>
          <w:b/>
          <w:bCs/>
          <w:sz w:val="32"/>
          <w:szCs w:val="32"/>
        </w:rPr>
        <w:t>部门主要负责人审签情况：已审查</w:t>
      </w:r>
    </w:p>
    <w:p>
      <w:pPr>
        <w:spacing w:line="400" w:lineRule="exact"/>
        <w:ind w:firstLine="2088" w:firstLineChars="650"/>
        <w:rPr>
          <w:rFonts w:ascii="宋体" w:hAnsi="宋体" w:cs="宋体"/>
          <w:b/>
          <w:bCs/>
          <w:sz w:val="32"/>
          <w:szCs w:val="32"/>
        </w:rPr>
      </w:pP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一、部门主要职责及内设机构</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二、部门决算单位构成</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一、收入支出决算总表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二、收入决算表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四、财政拨款收入支出决算总表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五、一般公共预算财政拨款支出决算表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六、一般公共预算财政拨款基本支出决算表    </w:t>
      </w:r>
    </w:p>
    <w:p>
      <w:pPr>
        <w:widowControl/>
        <w:ind w:left="640" w:hanging="640" w:hanging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七、一般公共预算财政拨款“三公”经费及会议费、培训费支出决算表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一、收入支出决算总体情况说明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二、收入决算情况说明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三、支出决算情况说明    </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四、财政拨款收入支出决算总体情况说明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五、一般公共预算财政拨款支出决算情况说明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（一）财政拨款支出决算总体情况说明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（二）财政拨款支出决算具体情况说明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六、一般公共预算财政拨款基本支出决算情况说明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七、一般公共预算财政拨款“三公”经费及会议费、培训费支出决算情况说明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（一）“三公”经费财政拨款支出决算总体情况说明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（二）“三公”经费财政拨款支出决算具体情况说明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（三）培训费支出情况说明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（四）会议费支出情况说明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八、政府性基金预算财政拨款收入支出情况说明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九、国有资本经营财政拨款收入支出情况说明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十、预算绩效情况说明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（一）预算绩效管理工作开展情况说明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（二）部门决算中项目绩效自评结果</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十一、其他重要事项说明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（一）机关运行经费支出情况说明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（二）政府采购支出情况说明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会的基本职能是“维护、建设、参与、教育”结合工会经费的管理和使用规定，坚持服务大局、服务基层、服务职工方向，依照《工会法》规定，围绕工会的基本职能维护好职工的合法权益和做好全县特困职工帮扶工作。</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眉县总工会共有直属机构一个。</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县总工会机关本级设办公室、业务股。</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纳入2019年本部门决算编制范围的单位共1个，为眉县总工会。</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noWrap w:val="0"/>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眉县总工会本级（机关）</w:t>
            </w:r>
          </w:p>
        </w:tc>
      </w:tr>
    </w:tbl>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截止2019年底，本部门人员编制</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人，其中行政编制</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人；实有人员</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人，其中行政</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、参公</w:t>
      </w:r>
      <w:r>
        <w:rPr>
          <w:rFonts w:hint="eastAsia" w:ascii="仿宋_GB2312" w:hAnsi="仿宋_GB2312" w:eastAsia="仿宋_GB2312" w:cs="仿宋_GB2312"/>
          <w:color w:val="auto"/>
          <w:sz w:val="32"/>
          <w:szCs w:val="32"/>
          <w:highlight w:val="none"/>
          <w:lang w:val="en-US" w:eastAsia="zh-CN"/>
        </w:rPr>
        <w:t>2人</w:t>
      </w:r>
      <w:r>
        <w:rPr>
          <w:rFonts w:hint="eastAsia" w:ascii="仿宋_GB2312" w:hAnsi="仿宋_GB2312" w:eastAsia="仿宋_GB2312" w:cs="仿宋_GB2312"/>
          <w:color w:val="auto"/>
          <w:sz w:val="32"/>
          <w:szCs w:val="32"/>
          <w:highlight w:val="none"/>
        </w:rPr>
        <w:t>。</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4">
            <o:LockedField>false</o:LockedField>
          </o:OLEObject>
        </w:object>
      </w:r>
    </w:p>
    <w:p>
      <w:pPr>
        <w:ind w:firstLine="640"/>
        <w:rPr>
          <w:rFonts w:hint="eastAsia" w:ascii="仿宋_GB2312" w:hAnsi="仿宋_GB2312" w:eastAsia="仿宋_GB2312" w:cs="仿宋_GB2312"/>
          <w:sz w:val="32"/>
          <w:szCs w:val="32"/>
        </w:rPr>
      </w:pPr>
    </w:p>
    <w:p>
      <w:pPr>
        <w:ind w:firstLine="640"/>
        <w:rPr>
          <w:rFonts w:hint="eastAsia" w:ascii="黑体" w:hAnsi="宋体" w:eastAsia="仿宋_GB2312"/>
          <w:color w:val="000000"/>
          <w:kern w:val="0"/>
          <w:sz w:val="44"/>
          <w:szCs w:val="44"/>
          <w:lang w:eastAsia="zh-CN"/>
        </w:rPr>
      </w:pPr>
      <w:r>
        <w:rPr>
          <w:rFonts w:ascii="仿宋_GB2312" w:hAnsi="仿宋_GB2312" w:eastAsia="仿宋_GB2312" w:cs="仿宋_GB2312"/>
          <w:sz w:val="32"/>
          <w:szCs w:val="32"/>
        </w:rPr>
        <w:object>
          <v:shape id="_x0000_i1026" o:spt="75" type="#_x0000_t75" style="height:0.05pt;width:0.05pt;" o:ole="t" filled="f" stroked="f" coordsize="21600,21600">
            <v:path/>
            <v:fill on="f" focussize="0,0"/>
            <v:stroke on="f"/>
            <v:imagedata o:title=""/>
            <o:lock v:ext="edit" aspectratio="t"/>
            <w10:wrap type="none"/>
            <w10:anchorlock/>
          </v:shape>
          <o:OLEObject Type="Embed" ProgID="Excel.Chart.8" ShapeID="_x0000_i1026" DrawAspect="Content" ObjectID="_1468075726" r:id="rId5">
            <o:LockedField>false</o:LockedField>
          </o:OLEObject>
        </w:object>
      </w:r>
      <w:r>
        <w:rPr>
          <w:rFonts w:ascii="仿宋_GB2312" w:hAnsi="仿宋_GB2312" w:eastAsia="仿宋_GB2312" w:cs="仿宋_GB2312"/>
          <w:sz w:val="32"/>
          <w:szCs w:val="32"/>
        </w:rPr>
        <w:br w:type="textWrapping" w:clear="all"/>
      </w:r>
      <w:r>
        <w:rPr>
          <w:rFonts w:hint="eastAsia" w:ascii="黑体" w:hAnsi="宋体" w:eastAsia="仿宋_GB2312"/>
          <w:color w:val="000000"/>
          <w:kern w:val="0"/>
          <w:sz w:val="44"/>
          <w:szCs w:val="44"/>
          <w:lang w:eastAsia="zh-CN"/>
        </w:rPr>
        <w:drawing>
          <wp:inline distT="0" distB="0" distL="114300" distR="114300">
            <wp:extent cx="5080000" cy="2755900"/>
            <wp:effectExtent l="5080" t="4445" r="20320" b="209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jc w:val="center"/>
        <w:rPr>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8719" w:type="dxa"/>
        <w:tblInd w:w="0" w:type="dxa"/>
        <w:tblLayout w:type="fixed"/>
        <w:tblCellMar>
          <w:top w:w="0" w:type="dxa"/>
          <w:left w:w="0" w:type="dxa"/>
          <w:bottom w:w="0" w:type="dxa"/>
          <w:right w:w="0" w:type="dxa"/>
        </w:tblCellMar>
      </w:tblPr>
      <w:tblGrid>
        <w:gridCol w:w="712"/>
        <w:gridCol w:w="3982"/>
        <w:gridCol w:w="1014"/>
        <w:gridCol w:w="3011"/>
      </w:tblGrid>
      <w:tr>
        <w:tblPrEx>
          <w:tblCellMar>
            <w:top w:w="0" w:type="dxa"/>
            <w:left w:w="0" w:type="dxa"/>
            <w:bottom w:w="0" w:type="dxa"/>
            <w:right w:w="0" w:type="dxa"/>
          </w:tblCellMar>
        </w:tblPrEx>
        <w:trPr>
          <w:trHeight w:val="428"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3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470" w:hRule="exac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表1</w:t>
            </w:r>
          </w:p>
        </w:tc>
        <w:tc>
          <w:tcPr>
            <w:tcW w:w="3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收入支出决算总表</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否</w:t>
            </w:r>
          </w:p>
        </w:tc>
        <w:tc>
          <w:tcPr>
            <w:tcW w:w="3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470" w:hRule="exac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表2</w:t>
            </w:r>
          </w:p>
        </w:tc>
        <w:tc>
          <w:tcPr>
            <w:tcW w:w="3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收入决算表</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否</w:t>
            </w:r>
          </w:p>
        </w:tc>
        <w:tc>
          <w:tcPr>
            <w:tcW w:w="3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470" w:hRule="exac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表3</w:t>
            </w:r>
          </w:p>
        </w:tc>
        <w:tc>
          <w:tcPr>
            <w:tcW w:w="3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支出决算表</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否</w:t>
            </w:r>
          </w:p>
        </w:tc>
        <w:tc>
          <w:tcPr>
            <w:tcW w:w="3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470" w:hRule="exac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表4</w:t>
            </w:r>
          </w:p>
        </w:tc>
        <w:tc>
          <w:tcPr>
            <w:tcW w:w="3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财政拨款收入支出决算总表</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否</w:t>
            </w:r>
          </w:p>
        </w:tc>
        <w:tc>
          <w:tcPr>
            <w:tcW w:w="3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3" w:hRule="exac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表5</w:t>
            </w:r>
          </w:p>
        </w:tc>
        <w:tc>
          <w:tcPr>
            <w:tcW w:w="3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一般公共预算财政拨款支出决算表</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（按功能分类科目）</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否</w:t>
            </w:r>
          </w:p>
        </w:tc>
        <w:tc>
          <w:tcPr>
            <w:tcW w:w="3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661" w:hRule="exac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表6</w:t>
            </w:r>
          </w:p>
        </w:tc>
        <w:tc>
          <w:tcPr>
            <w:tcW w:w="3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一般公共预算财政拨款基本支出决算表 （按经济分类科目）</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否</w:t>
            </w:r>
          </w:p>
        </w:tc>
        <w:tc>
          <w:tcPr>
            <w:tcW w:w="3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656" w:hRule="exact"/>
        </w:trPr>
        <w:tc>
          <w:tcPr>
            <w:tcW w:w="7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表7</w:t>
            </w:r>
          </w:p>
        </w:tc>
        <w:tc>
          <w:tcPr>
            <w:tcW w:w="3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一般公共预算财政拨款“三公”经费及会议费、培训费支出决算表</w:t>
            </w:r>
          </w:p>
        </w:tc>
        <w:tc>
          <w:tcPr>
            <w:tcW w:w="101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否</w:t>
            </w:r>
          </w:p>
        </w:tc>
        <w:tc>
          <w:tcPr>
            <w:tcW w:w="30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747" w:hRule="exac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表8</w:t>
            </w:r>
          </w:p>
        </w:tc>
        <w:tc>
          <w:tcPr>
            <w:tcW w:w="3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政府性基金预算财政拨款收入支出</w:t>
            </w:r>
          </w:p>
          <w:p>
            <w:pPr>
              <w:widowControl/>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决算表</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是</w:t>
            </w:r>
          </w:p>
        </w:tc>
        <w:tc>
          <w:tcPr>
            <w:tcW w:w="3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不涉及</w:t>
            </w:r>
          </w:p>
        </w:tc>
      </w:tr>
    </w:tbl>
    <w:p>
      <w:pPr>
        <w:widowControl/>
        <w:rPr>
          <w:rFonts w:hint="eastAsia" w:ascii="仿宋_GB2312" w:hAnsi="仿宋_GB2312" w:eastAsia="仿宋_GB2312" w:cs="仿宋_GB2312"/>
          <w:color w:val="000000"/>
          <w:kern w:val="0"/>
          <w:sz w:val="32"/>
          <w:szCs w:val="32"/>
        </w:rPr>
      </w:pPr>
    </w:p>
    <w:p>
      <w:pPr>
        <w:widowControl/>
        <w:rPr>
          <w:rFonts w:hint="eastAsia" w:ascii="仿宋_GB2312" w:hAnsi="仿宋_GB2312" w:eastAsia="仿宋_GB2312" w:cs="仿宋_GB2312"/>
          <w:color w:val="000000"/>
          <w:kern w:val="0"/>
          <w:sz w:val="32"/>
          <w:szCs w:val="32"/>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编制部门：眉县总工会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630.93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613.93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9.70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3.66</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3.64</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630.93</w:t>
            </w:r>
          </w:p>
        </w:tc>
        <w:tc>
          <w:tcPr>
            <w:tcW w:w="309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Cs w:val="21"/>
              </w:rPr>
            </w:pPr>
            <w:r>
              <w:rPr>
                <w:rFonts w:hint="eastAsia" w:ascii="仿宋_GB2312" w:hAnsi="仿宋_GB2312" w:eastAsia="仿宋_GB2312" w:cs="仿宋_GB2312"/>
              </w:rPr>
              <w:t>630.93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仿宋_GB2312" w:hAnsi="仿宋_GB2312" w:eastAsia="仿宋_GB2312" w:cs="仿宋_GB2312"/>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0.03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r>
              <w:rPr>
                <w:rFonts w:hint="eastAsia" w:ascii="宋体" w:hAnsi="宋体" w:cs="宋体"/>
                <w:color w:val="00000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0.03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630.96</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Cs w:val="21"/>
              </w:rPr>
            </w:pPr>
            <w:r>
              <w:rPr>
                <w:rFonts w:hint="eastAsia" w:ascii="仿宋_GB2312" w:hAnsi="仿宋_GB2312" w:eastAsia="仿宋_GB2312" w:cs="仿宋_GB2312"/>
                <w:color w:val="000000"/>
                <w:szCs w:val="21"/>
              </w:rPr>
              <w:t>630.96</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编制部门：眉县总工会                                              金额单位：万元</w:t>
      </w:r>
    </w:p>
    <w:tbl>
      <w:tblPr>
        <w:tblStyle w:val="8"/>
        <w:tblW w:w="8897" w:type="dxa"/>
        <w:tblInd w:w="0" w:type="dxa"/>
        <w:tblLayout w:type="fixed"/>
        <w:tblCellMar>
          <w:top w:w="15" w:type="dxa"/>
          <w:left w:w="15" w:type="dxa"/>
          <w:bottom w:w="15" w:type="dxa"/>
          <w:right w:w="15" w:type="dxa"/>
        </w:tblCellMar>
      </w:tblPr>
      <w:tblGrid>
        <w:gridCol w:w="820"/>
        <w:gridCol w:w="2004"/>
        <w:gridCol w:w="717"/>
        <w:gridCol w:w="834"/>
        <w:gridCol w:w="995"/>
        <w:gridCol w:w="683"/>
        <w:gridCol w:w="857"/>
        <w:gridCol w:w="567"/>
        <w:gridCol w:w="857"/>
        <w:gridCol w:w="563"/>
      </w:tblGrid>
      <w:tr>
        <w:tblPrEx>
          <w:tblCellMar>
            <w:top w:w="15" w:type="dxa"/>
            <w:left w:w="15" w:type="dxa"/>
            <w:bottom w:w="15" w:type="dxa"/>
            <w:right w:w="15" w:type="dxa"/>
          </w:tblCellMar>
        </w:tblPrEx>
        <w:trPr>
          <w:trHeight w:val="531" w:hRule="atLeast"/>
        </w:trPr>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8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292" w:hRule="atLeast"/>
        </w:trPr>
        <w:tc>
          <w:tcPr>
            <w:tcW w:w="82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004"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r>
              <w:rPr>
                <w:rFonts w:hint="eastAsia" w:ascii="宋体" w:hAnsi="宋体" w:cs="宋体"/>
                <w:b/>
                <w:color w:val="000000"/>
                <w:szCs w:val="21"/>
              </w:rPr>
              <w:t>其中：</w:t>
            </w:r>
            <w:r>
              <w:rPr>
                <w:rFonts w:hint="eastAsia" w:ascii="宋体" w:hAnsi="宋体" w:cs="宋体"/>
                <w:b/>
                <w:color w:val="000000"/>
                <w:szCs w:val="21"/>
                <w:lang w:eastAsia="zh-CN"/>
              </w:rPr>
              <w:t>教</w:t>
            </w:r>
            <w:r>
              <w:rPr>
                <w:rFonts w:hint="eastAsia" w:ascii="宋体" w:hAnsi="宋体" w:cs="宋体"/>
                <w:b/>
                <w:color w:val="000000"/>
                <w:szCs w:val="21"/>
              </w:rPr>
              <w:t>育收费</w:t>
            </w: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31" w:hRule="atLeast"/>
        </w:trPr>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630.93</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630.93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一般公共服务支出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613.93</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613.93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20129</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群众团体事务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613.63</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613.63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2012901</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行政运行</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43"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2012999</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其他群众团体事务支出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20132</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组织事务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2013204</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公务员事务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208</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社会保障和就业支出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20805</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行政事业单位离退休</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43"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2080505</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机关事业单位基本养老保险缴费支出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210</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卫生健康支出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21011</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行政事业单位医疗</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2101101</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行政单位医疗</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221</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住房保障支出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31"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22102</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住房改革支出</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42" w:hRule="atLeast"/>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2210201</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住房公积金</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3.64</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3.64</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眉县总工会                                              金额单位：万元</w:t>
      </w:r>
    </w:p>
    <w:tbl>
      <w:tblPr>
        <w:tblStyle w:val="8"/>
        <w:tblW w:w="8917" w:type="dxa"/>
        <w:tblInd w:w="0" w:type="dxa"/>
        <w:tblLayout w:type="fixed"/>
        <w:tblCellMar>
          <w:top w:w="15" w:type="dxa"/>
          <w:left w:w="15" w:type="dxa"/>
          <w:bottom w:w="15" w:type="dxa"/>
          <w:right w:w="15" w:type="dxa"/>
        </w:tblCellMar>
      </w:tblPr>
      <w:tblGrid>
        <w:gridCol w:w="916"/>
        <w:gridCol w:w="83"/>
        <w:gridCol w:w="1833"/>
        <w:gridCol w:w="1399"/>
        <w:gridCol w:w="845"/>
        <w:gridCol w:w="1283"/>
        <w:gridCol w:w="752"/>
        <w:gridCol w:w="613"/>
        <w:gridCol w:w="1193"/>
      </w:tblGrid>
      <w:tr>
        <w:tblPrEx>
          <w:tblCellMar>
            <w:top w:w="15" w:type="dxa"/>
            <w:left w:w="15" w:type="dxa"/>
            <w:bottom w:w="15" w:type="dxa"/>
            <w:right w:w="15" w:type="dxa"/>
          </w:tblCellMar>
        </w:tblPrEx>
        <w:trPr>
          <w:trHeight w:val="426" w:hRule="atLeast"/>
        </w:trPr>
        <w:tc>
          <w:tcPr>
            <w:tcW w:w="28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2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1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68" w:hRule="atLeast"/>
        </w:trPr>
        <w:tc>
          <w:tcPr>
            <w:tcW w:w="99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3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6" w:hRule="atLeast"/>
        </w:trPr>
        <w:tc>
          <w:tcPr>
            <w:tcW w:w="28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630.93</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tabs>
                <w:tab w:val="left" w:pos="368"/>
              </w:tabs>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112.93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518.00</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一般公共服务支出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613.93</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95.93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20129</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群众团体事务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613.63</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2012901</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行政运行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2012999</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其他群众团体事务支出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20132</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组织事务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2013204</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公务员事务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208</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社会保障和就业支出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20805</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行政事业单位离退休</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2080505</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机关事业单位基本养老保险缴费支出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210</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卫生健康支出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21011</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行政事业单位医疗</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2101101</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行政单位医疗</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221</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住房保障支出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22102</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住房改革支出</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6" w:hRule="atLeast"/>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2210201</w:t>
            </w:r>
          </w:p>
        </w:tc>
        <w:tc>
          <w:tcPr>
            <w:tcW w:w="19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住房公积金</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编制部门：眉县总工会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04"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630.93</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613.93</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613.93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56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9.70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9.70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72"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3.66</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3.66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3.64</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3.64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102" w:type="dxa"/>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color w:val="000000"/>
                <w:kern w:val="0"/>
                <w:sz w:val="21"/>
                <w:szCs w:val="21"/>
              </w:rPr>
              <w:t>0.00</w:t>
            </w:r>
          </w:p>
        </w:tc>
        <w:tc>
          <w:tcPr>
            <w:tcW w:w="984" w:type="dxa"/>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color w:val="000000"/>
                <w:kern w:val="0"/>
                <w:sz w:val="21"/>
                <w:szCs w:val="21"/>
              </w:rPr>
              <w:t>0.00</w:t>
            </w:r>
          </w:p>
        </w:tc>
      </w:tr>
    </w:tbl>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编制部门：眉县总工会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630.93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630.93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0.00</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0.00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0.00</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0.00</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0.00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1"/>
                <w:szCs w:val="21"/>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1"/>
                <w:szCs w:val="21"/>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1"/>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color w:val="000000"/>
                <w:kern w:val="0"/>
                <w:sz w:val="21"/>
                <w:szCs w:val="21"/>
              </w:rPr>
            </w:pPr>
            <w:r>
              <w:rPr>
                <w:rFonts w:hint="eastAsia" w:ascii="仿宋_GB2312" w:hAnsi="仿宋_GB2312" w:eastAsia="仿宋_GB2312" w:cs="仿宋_GB2312"/>
                <w:b w:val="0"/>
                <w:bCs/>
                <w:color w:val="000000"/>
                <w:kern w:val="0"/>
                <w:sz w:val="21"/>
                <w:szCs w:val="21"/>
              </w:rPr>
              <w:t>0.00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1"/>
                <w:szCs w:val="21"/>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1"/>
                <w:szCs w:val="21"/>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1"/>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630.93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630.93</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1"/>
                <w:szCs w:val="21"/>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1"/>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编制部门：眉县总工会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630.93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112.93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112.93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518.00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613.93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95.93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95.93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20129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群众团体事务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613.63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2012901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95.63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2012999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其他群众团体事务支出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518.00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20132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组织事务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2013204</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公务员事务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0.30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2080505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2101101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行政单位医疗</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住房公积金</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color w:val="000000"/>
                <w:sz w:val="21"/>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编制部门：眉县总工会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112.93</w:t>
            </w:r>
          </w:p>
        </w:tc>
        <w:tc>
          <w:tcPr>
            <w:tcW w:w="1437"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112.93</w:t>
            </w:r>
          </w:p>
        </w:tc>
        <w:tc>
          <w:tcPr>
            <w:tcW w:w="1363"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55" w:type="dxa"/>
            <w:tcBorders>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112.93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基本工资</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68.13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津贴补贴</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22.36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奖金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9.70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职工基本医疗保险缴费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3.66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30111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公务员医疗补助缴费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2.40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住房公积金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color w:val="000000"/>
                <w:kern w:val="0"/>
                <w:sz w:val="21"/>
                <w:szCs w:val="21"/>
                <w:u w:val="none"/>
                <w:lang w:val="en-US" w:eastAsia="zh-CN" w:bidi="ar"/>
              </w:rPr>
              <w:t>3.64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bookmarkStart w:id="8" w:name="_GoBack"/>
            <w:bookmarkEnd w:id="8"/>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22"/>
                <w:szCs w:val="22"/>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000000"/>
                <w:kern w:val="0"/>
                <w:sz w:val="22"/>
                <w:szCs w:val="22"/>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color w:val="000000"/>
                <w:kern w:val="0"/>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8"/>
        <w:tblW w:w="8818" w:type="dxa"/>
        <w:tblInd w:w="0" w:type="dxa"/>
        <w:tblLayout w:type="fixed"/>
        <w:tblCellMar>
          <w:top w:w="15" w:type="dxa"/>
          <w:left w:w="15" w:type="dxa"/>
          <w:bottom w:w="15" w:type="dxa"/>
          <w:right w:w="15" w:type="dxa"/>
        </w:tblCellMar>
      </w:tblPr>
      <w:tblGrid>
        <w:gridCol w:w="1074"/>
        <w:gridCol w:w="980"/>
        <w:gridCol w:w="1112"/>
        <w:gridCol w:w="874"/>
        <w:gridCol w:w="874"/>
        <w:gridCol w:w="993"/>
        <w:gridCol w:w="1186"/>
        <w:gridCol w:w="768"/>
        <w:gridCol w:w="957"/>
      </w:tblGrid>
      <w:tr>
        <w:tblPrEx>
          <w:tblCellMar>
            <w:top w:w="15" w:type="dxa"/>
            <w:left w:w="15" w:type="dxa"/>
            <w:bottom w:w="15" w:type="dxa"/>
            <w:right w:w="15" w:type="dxa"/>
          </w:tblCellMar>
        </w:tblPrEx>
        <w:trPr>
          <w:trHeight w:val="734" w:hRule="atLeast"/>
        </w:trPr>
        <w:tc>
          <w:tcPr>
            <w:tcW w:w="10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1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34" w:hRule="atLeast"/>
        </w:trPr>
        <w:tc>
          <w:tcPr>
            <w:tcW w:w="10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688" w:hRule="atLeast"/>
        </w:trPr>
        <w:tc>
          <w:tcPr>
            <w:tcW w:w="10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63" w:hRule="atLeast"/>
        </w:trPr>
        <w:tc>
          <w:tcPr>
            <w:tcW w:w="10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570" w:hRule="atLeast"/>
        </w:trPr>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66" w:hRule="atLeast"/>
        </w:trPr>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bl>
    <w:p>
      <w:pPr>
        <w:widowControl/>
        <w:jc w:val="left"/>
        <w:rPr>
          <w:rFonts w:ascii="宋体" w:hAnsi="宋体" w:cs="宋体"/>
          <w:szCs w:val="21"/>
        </w:rPr>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8"/>
        <w:tblW w:w="8599" w:type="dxa"/>
        <w:tblInd w:w="0" w:type="dxa"/>
        <w:tblLayout w:type="fixed"/>
        <w:tblCellMar>
          <w:top w:w="15" w:type="dxa"/>
          <w:left w:w="15" w:type="dxa"/>
          <w:bottom w:w="15" w:type="dxa"/>
          <w:right w:w="15" w:type="dxa"/>
        </w:tblCellMar>
      </w:tblPr>
      <w:tblGrid>
        <w:gridCol w:w="991"/>
        <w:gridCol w:w="1299"/>
        <w:gridCol w:w="1016"/>
        <w:gridCol w:w="959"/>
        <w:gridCol w:w="900"/>
        <w:gridCol w:w="1016"/>
        <w:gridCol w:w="993"/>
        <w:gridCol w:w="1425"/>
      </w:tblGrid>
      <w:tr>
        <w:tblPrEx>
          <w:tblCellMar>
            <w:top w:w="15" w:type="dxa"/>
            <w:left w:w="15" w:type="dxa"/>
            <w:bottom w:w="15" w:type="dxa"/>
            <w:right w:w="15" w:type="dxa"/>
          </w:tblCellMar>
        </w:tblPrEx>
        <w:trPr>
          <w:trHeight w:val="472" w:hRule="atLeast"/>
        </w:trPr>
        <w:tc>
          <w:tcPr>
            <w:tcW w:w="22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2909"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26"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2" w:hRule="atLeast"/>
        </w:trPr>
        <w:tc>
          <w:tcPr>
            <w:tcW w:w="22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16"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72"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b w:val="0"/>
          <w:bCs w:val="0"/>
          <w:color w:val="000000"/>
          <w:kern w:val="0"/>
          <w:sz w:val="44"/>
          <w:szCs w:val="44"/>
        </w:rPr>
      </w:pPr>
      <w:r>
        <w:rPr>
          <w:rFonts w:hint="eastAsia" w:ascii="黑体" w:hAnsi="宋体" w:eastAsia="黑体"/>
          <w:b w:val="0"/>
          <w:bCs w:val="0"/>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1、本年度收入总计630.96万元，上年收入612.09万元，增加18.87万元，本年度支出总计630.96万元，上年收入支出612.09万元，增加18.87万元，主要为新开工建设眉县工人文化宫项目。</w:t>
      </w:r>
    </w:p>
    <w:p>
      <w:pPr>
        <w:widowControl/>
        <w:ind w:left="420" w:leftChars="200" w:firstLine="320" w:firstLineChars="10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2、本年度收入构成情况。</w:t>
      </w:r>
    </w:p>
    <w:p>
      <w:pPr>
        <w:widowControl/>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本部门收入总计增加18.87万元。其中财政拨款收入为增加18.87万元，占总收入比重为100%。</w:t>
      </w:r>
    </w:p>
    <w:p>
      <w:pPr>
        <w:widowControl/>
        <w:numPr>
          <w:ilvl w:val="0"/>
          <w:numId w:val="1"/>
        </w:numPr>
        <w:ind w:left="420" w:leftChars="200" w:firstLine="320" w:firstLineChars="10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本年支出构成情况。</w:t>
      </w:r>
    </w:p>
    <w:p>
      <w:pPr>
        <w:widowControl/>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本部门支出总计增加18.87万元，包括：</w:t>
      </w:r>
    </w:p>
    <w:p>
      <w:pPr>
        <w:widowControl/>
        <w:numPr>
          <w:ilvl w:val="0"/>
          <w:numId w:val="0"/>
        </w:num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基本支出112.93万元，主要是为保障机构正常运转、完成日常工作任务而发生的各项支出。其中：人员经费69.01万元，日常公用经费3万元。</w:t>
      </w:r>
    </w:p>
    <w:p>
      <w:pPr>
        <w:widowControl/>
        <w:numPr>
          <w:ilvl w:val="0"/>
          <w:numId w:val="0"/>
        </w:num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项目支出518.00万元，主要为举办新建眉县工人文化宫、举行眉县工会第十五次代表大会、运动会、困难职工救助等专项支出。</w:t>
      </w:r>
    </w:p>
    <w:p>
      <w:pPr>
        <w:widowControl/>
        <w:jc w:val="left"/>
        <w:rPr>
          <w:rFonts w:hint="eastAsia" w:ascii="黑体" w:hAnsi="黑体" w:eastAsia="黑体"/>
          <w:color w:val="000000"/>
          <w:kern w:val="0"/>
          <w:sz w:val="32"/>
          <w:szCs w:val="32"/>
        </w:rPr>
      </w:pPr>
    </w:p>
    <w:p>
      <w:pPr>
        <w:widowControl/>
        <w:jc w:val="left"/>
        <w:rPr>
          <w:rFonts w:hint="eastAsia" w:ascii="黑体" w:hAnsi="黑体" w:eastAsia="黑体"/>
          <w:color w:val="000000"/>
          <w:kern w:val="0"/>
          <w:sz w:val="32"/>
          <w:szCs w:val="32"/>
        </w:rPr>
      </w:pPr>
    </w:p>
    <w:p>
      <w:pPr>
        <w:widowControl/>
        <w:jc w:val="left"/>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lang w:eastAsia="zh-CN"/>
        </w:rPr>
        <w:drawing>
          <wp:inline distT="0" distB="0" distL="114300" distR="114300">
            <wp:extent cx="5086350" cy="3810000"/>
            <wp:effectExtent l="4445" t="4445" r="14605" b="14605"/>
            <wp:docPr id="3" name="图片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numPr>
          <w:ilvl w:val="0"/>
          <w:numId w:val="0"/>
        </w:num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 xml:space="preserve">本年度财政拨款收入总计630.96万元，上年收入612.09万元，增加18.87万元，主要为新开工建设眉县工人文化宫项目。 </w:t>
      </w:r>
    </w:p>
    <w:p>
      <w:pPr>
        <w:widowControl/>
        <w:numPr>
          <w:ilvl w:val="0"/>
          <w:numId w:val="0"/>
        </w:numPr>
        <w:jc w:val="left"/>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drawing>
          <wp:anchor distT="0" distB="0" distL="114300" distR="114300" simplePos="0" relativeHeight="251659264" behindDoc="0" locked="0" layoutInCell="1" allowOverlap="1">
            <wp:simplePos x="0" y="0"/>
            <wp:positionH relativeFrom="column">
              <wp:posOffset>494665</wp:posOffset>
            </wp:positionH>
            <wp:positionV relativeFrom="paragraph">
              <wp:posOffset>113030</wp:posOffset>
            </wp:positionV>
            <wp:extent cx="4019550" cy="1885950"/>
            <wp:effectExtent l="5080" t="5080" r="13970" b="13970"/>
            <wp:wrapSquare wrapText="bothSides"/>
            <wp:docPr id="1"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numPr>
          <w:ilvl w:val="0"/>
          <w:numId w:val="0"/>
        </w:numPr>
        <w:jc w:val="left"/>
        <w:rPr>
          <w:rFonts w:hint="eastAsia" w:ascii="仿宋" w:hAnsi="仿宋" w:eastAsia="仿宋" w:cs="仿宋"/>
          <w:color w:val="333333"/>
          <w:sz w:val="32"/>
          <w:szCs w:val="32"/>
          <w:lang w:eastAsia="zh-CN"/>
        </w:rPr>
      </w:pPr>
    </w:p>
    <w:p>
      <w:pPr>
        <w:widowControl/>
        <w:numPr>
          <w:ilvl w:val="0"/>
          <w:numId w:val="0"/>
        </w:numPr>
        <w:jc w:val="left"/>
        <w:rPr>
          <w:rFonts w:hint="eastAsia" w:ascii="仿宋" w:hAnsi="仿宋" w:eastAsia="仿宋" w:cs="仿宋"/>
          <w:color w:val="333333"/>
          <w:sz w:val="32"/>
          <w:szCs w:val="32"/>
        </w:rPr>
      </w:pPr>
    </w:p>
    <w:p>
      <w:pPr>
        <w:widowControl/>
        <w:ind w:firstLine="640" w:firstLineChars="200"/>
        <w:jc w:val="left"/>
        <w:rPr>
          <w:rFonts w:hint="eastAsia" w:ascii="仿宋" w:hAnsi="仿宋" w:eastAsia="仿宋" w:cs="仿宋"/>
          <w:color w:val="333333"/>
          <w:sz w:val="32"/>
          <w:szCs w:val="32"/>
        </w:rPr>
      </w:pPr>
    </w:p>
    <w:p>
      <w:pPr>
        <w:widowControl/>
        <w:ind w:firstLine="640" w:firstLineChars="200"/>
        <w:jc w:val="left"/>
        <w:rPr>
          <w:rFonts w:hint="eastAsia" w:ascii="仿宋" w:hAnsi="仿宋" w:eastAsia="仿宋" w:cs="仿宋"/>
          <w:color w:val="333333"/>
          <w:sz w:val="32"/>
          <w:szCs w:val="32"/>
        </w:rPr>
      </w:pPr>
    </w:p>
    <w:p>
      <w:pPr>
        <w:widowControl/>
        <w:ind w:firstLine="640" w:firstLineChars="200"/>
        <w:jc w:val="left"/>
        <w:rPr>
          <w:rFonts w:hint="eastAsia" w:ascii="仿宋" w:hAnsi="仿宋" w:eastAsia="仿宋" w:cs="仿宋"/>
          <w:color w:val="333333"/>
          <w:sz w:val="32"/>
          <w:szCs w:val="32"/>
        </w:rPr>
      </w:pPr>
    </w:p>
    <w:p>
      <w:pPr>
        <w:widowControl/>
        <w:ind w:firstLine="640" w:firstLineChars="200"/>
        <w:jc w:val="left"/>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2、一般公共预算财政拨款支出630.96万元，包括</w:t>
      </w:r>
      <w:r>
        <w:rPr>
          <w:rFonts w:hint="eastAsia" w:ascii="仿宋_GB2312" w:hAnsi="仿宋_GB2312" w:eastAsia="仿宋_GB2312" w:cs="仿宋_GB2312"/>
          <w:color w:val="333333"/>
          <w:sz w:val="32"/>
          <w:szCs w:val="32"/>
          <w:lang w:eastAsia="zh-CN"/>
        </w:rPr>
        <w:t>：</w:t>
      </w:r>
    </w:p>
    <w:p>
      <w:pPr>
        <w:widowControl/>
        <w:ind w:firstLine="320" w:firstLineChars="1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一般公共服务支出613.93万元；</w:t>
      </w:r>
    </w:p>
    <w:p>
      <w:pPr>
        <w:widowControl/>
        <w:ind w:firstLine="320" w:firstLineChars="1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文化体育与传媒支出10万元；</w:t>
      </w:r>
    </w:p>
    <w:p>
      <w:pPr>
        <w:widowControl/>
        <w:ind w:firstLine="320" w:firstLineChars="1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其他支出0万元。</w:t>
      </w:r>
    </w:p>
    <w:p>
      <w:pPr>
        <w:widowControl/>
        <w:ind w:firstLine="640" w:firstLineChars="200"/>
        <w:jc w:val="left"/>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drawing>
          <wp:inline distT="0" distB="0" distL="114300" distR="114300">
            <wp:extent cx="4381500" cy="2667000"/>
            <wp:effectExtent l="4445" t="4445" r="14605" b="14605"/>
            <wp:docPr id="5"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630.96</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112.93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,占比17.9%</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518.00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，占比</w:t>
      </w:r>
      <w:r>
        <w:rPr>
          <w:rFonts w:hint="eastAsia" w:ascii="仿宋_GB2312" w:hAnsi="宋体" w:eastAsia="仿宋_GB2312" w:cs="仿宋_GB2312"/>
          <w:color w:val="000000"/>
          <w:kern w:val="0"/>
          <w:sz w:val="32"/>
          <w:szCs w:val="32"/>
          <w:lang w:val="en-US" w:eastAsia="zh-CN"/>
        </w:rPr>
        <w:t>82.1%</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p>
    <w:p>
      <w:pPr>
        <w:widowControl/>
        <w:ind w:firstLine="320" w:firstLineChars="100"/>
        <w:jc w:val="left"/>
        <w:rPr>
          <w:rFonts w:hint="eastAsia" w:ascii="仿宋_GB2312" w:hAnsi="宋体" w:eastAsia="仿宋_GB2312" w:cs="仿宋_GB2312"/>
          <w:color w:val="000000"/>
          <w:kern w:val="0"/>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2113915</wp:posOffset>
                </wp:positionH>
                <wp:positionV relativeFrom="paragraph">
                  <wp:posOffset>1824990</wp:posOffset>
                </wp:positionV>
                <wp:extent cx="674370" cy="301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4370" cy="301625"/>
                        </a:xfrm>
                        <a:prstGeom prst="rect">
                          <a:avLst/>
                        </a:prstGeom>
                        <a:noFill/>
                        <a:ln>
                          <a:noFill/>
                        </a:ln>
                        <a:effectLst/>
                      </wps:spPr>
                      <wps:txbx>
                        <w:txbxContent>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82.1%</w:t>
                            </w:r>
                          </w:p>
                        </w:txbxContent>
                      </wps:txbx>
                      <wps:bodyPr vert="horz" wrap="square" anchor="t" upright="1"/>
                    </wps:wsp>
                  </a:graphicData>
                </a:graphic>
              </wp:anchor>
            </w:drawing>
          </mc:Choice>
          <mc:Fallback>
            <w:pict>
              <v:shape id="_x0000_s1026" o:spid="_x0000_s1026" o:spt="202" type="#_x0000_t202" style="position:absolute;left:0pt;margin-left:166.45pt;margin-top:143.7pt;height:23.75pt;width:53.1pt;z-index:251661312;mso-width-relative:page;mso-height-relative:page;" filled="f" stroked="f" coordsize="21600,21600" o:gfxdata="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IjyVvY&#10;AAAACwEAAA8AAAAAAAAAAQAgAAAAIgAAAGRycy9kb3ducmV2LnhtbFBLAQIUABQAAAAIAIdO4kBm&#10;172srgEAADIDAAAOAAAAAAAAAAEAIAAAACcBAABkcnMvZTJvRG9jLnhtbFBLBQYAAAAABgAGAFkB&#10;AABHBQAAAAA=&#10;">
                <v:fill on="f" focussize="0,0"/>
                <v:stroke on="f"/>
                <v:imagedata o:title=""/>
                <o:lock v:ext="edit" aspectratio="f"/>
                <v:textbox>
                  <w:txbxContent>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82.1%</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2444115</wp:posOffset>
                </wp:positionH>
                <wp:positionV relativeFrom="paragraph">
                  <wp:posOffset>826770</wp:posOffset>
                </wp:positionV>
                <wp:extent cx="679450" cy="3632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79450" cy="363220"/>
                        </a:xfrm>
                        <a:prstGeom prst="rect">
                          <a:avLst/>
                        </a:prstGeom>
                        <a:noFill/>
                        <a:ln>
                          <a:noFill/>
                        </a:ln>
                        <a:effectLst/>
                      </wps:spPr>
                      <wps:txbx>
                        <w:txbxContent>
                          <w:p>
                            <w:pP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17.91%</w:t>
                            </w:r>
                          </w:p>
                        </w:txbxContent>
                      </wps:txbx>
                      <wps:bodyPr vert="horz" wrap="square" anchor="t" upright="1"/>
                    </wps:wsp>
                  </a:graphicData>
                </a:graphic>
              </wp:anchor>
            </w:drawing>
          </mc:Choice>
          <mc:Fallback>
            <w:pict>
              <v:shape id="文本框 3" o:spid="_x0000_s1026" o:spt="202" type="#_x0000_t202" style="position:absolute;left:0pt;margin-left:192.45pt;margin-top:65.1pt;height:28.6pt;width:53.5pt;z-index:251660288;mso-width-relative:page;mso-height-relative:page;" filled="f" stroked="f" coordsize="21600,21600" o:gfxdata="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dZHs7X&#10;AAAACwEAAA8AAAAAAAAAAQAgAAAAIgAAAGRycy9kb3ducmV2LnhtbFBLAQIUABQAAAAIAIdO4kAm&#10;DlskrwEAADIDAAAOAAAAAAAAAAEAIAAAACYBAABkcnMvZTJvRG9jLnhtbFBLBQYAAAAABgAGAFkB&#10;AABHBQAAAAA=&#10;">
                <v:fill on="f" focussize="0,0"/>
                <v:stroke on="f"/>
                <v:imagedata o:title=""/>
                <o:lock v:ext="edit" aspectratio="f"/>
                <v:textbox>
                  <w:txbxContent>
                    <w:p>
                      <w:pP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17.91%</w:t>
                      </w:r>
                    </w:p>
                  </w:txbxContent>
                </v:textbox>
              </v:shape>
            </w:pict>
          </mc:Fallback>
        </mc:AlternateContent>
      </w:r>
      <w:r>
        <w:rPr>
          <w:rFonts w:hint="eastAsia" w:ascii="仿宋_GB2312" w:hAnsi="宋体" w:eastAsia="仿宋_GB2312" w:cs="仿宋_GB2312"/>
          <w:color w:val="000000"/>
          <w:kern w:val="0"/>
          <w:sz w:val="32"/>
          <w:szCs w:val="32"/>
          <w:lang w:eastAsia="zh-CN"/>
        </w:rPr>
        <w:drawing>
          <wp:inline distT="0" distB="0" distL="114300" distR="114300">
            <wp:extent cx="4362450" cy="2876550"/>
            <wp:effectExtent l="0" t="0" r="0" b="0"/>
            <wp:docPr id="6"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320" w:firstLineChars="100"/>
        <w:jc w:val="left"/>
        <w:rPr>
          <w:rFonts w:ascii="仿宋_GB2312" w:hAnsi="宋体" w:eastAsia="仿宋_GB2312" w:cs="仿宋_GB2312"/>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收入总体情况及比上年增长18.87万元，业务变化工人文化宫建设使用。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eastAsia="仿宋_GB2312"/>
          <w:lang w:eastAsia="zh-CN"/>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630.96</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rPr>
        <w:t>18.87</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原因是用于工人文化宫建设</w:t>
      </w:r>
      <w:r>
        <w:rPr>
          <w:rFonts w:hint="eastAsia" w:ascii="仿宋_GB2312" w:hAnsi="宋体"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2019 年财政拨款支出年初预算为630.96万元，支出决算为630.96万元，完成年初预算100%。按照政府功能分类科目，其中：一般公共预算财政拨款基本支出613.93万元，包括：</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人员经费95.93万元；</w:t>
      </w:r>
    </w:p>
    <w:p>
      <w:pPr>
        <w:widowControl/>
        <w:numPr>
          <w:ilvl w:val="0"/>
          <w:numId w:val="2"/>
        </w:numPr>
        <w:ind w:left="638" w:leftChars="304"/>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公用经费0万元</w:t>
      </w:r>
      <w:r>
        <w:rPr>
          <w:rFonts w:hint="eastAsia" w:ascii="仿宋_GB2312" w:hAnsi="仿宋_GB2312" w:eastAsia="仿宋_GB2312" w:cs="仿宋_GB2312"/>
          <w:color w:val="333333"/>
          <w:sz w:val="32"/>
          <w:szCs w:val="32"/>
          <w:lang w:eastAsia="zh-CN"/>
        </w:rPr>
        <w:t>；</w:t>
      </w:r>
    </w:p>
    <w:p>
      <w:pPr>
        <w:widowControl/>
        <w:numPr>
          <w:ilvl w:val="0"/>
          <w:numId w:val="2"/>
        </w:numPr>
        <w:ind w:left="638" w:leftChars="304"/>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项目支出518.00万元</w:t>
      </w:r>
      <w:r>
        <w:rPr>
          <w:rFonts w:hint="eastAsia" w:ascii="仿宋_GB2312" w:hAnsi="仿宋_GB2312" w:eastAsia="仿宋_GB2312" w:cs="仿宋_GB2312"/>
          <w:color w:val="333333"/>
          <w:sz w:val="32"/>
          <w:szCs w:val="32"/>
          <w:lang w:eastAsia="zh-CN"/>
        </w:rPr>
        <w:t>；</w:t>
      </w:r>
    </w:p>
    <w:p>
      <w:pPr>
        <w:spacing w:line="36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行政运行95.63万元</w:t>
      </w:r>
      <w:r>
        <w:rPr>
          <w:rFonts w:hint="eastAsia" w:ascii="仿宋_GB2312" w:hAnsi="仿宋_GB2312" w:eastAsia="仿宋_GB2312" w:cs="仿宋_GB2312"/>
          <w:color w:val="333333"/>
          <w:sz w:val="32"/>
          <w:szCs w:val="32"/>
          <w:lang w:eastAsia="zh-CN"/>
        </w:rPr>
        <w:t>。</w:t>
      </w:r>
    </w:p>
    <w:p>
      <w:pPr>
        <w:spacing w:line="360" w:lineRule="auto"/>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六、一般公共预算财政拨款基本支出决算情况说明 </w:t>
      </w:r>
    </w:p>
    <w:p>
      <w:pPr>
        <w:spacing w:line="360" w:lineRule="auto"/>
        <w:ind w:firstLine="640" w:firstLineChars="20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（1）201</w:t>
      </w:r>
      <w:r>
        <w:rPr>
          <w:rFonts w:hint="eastAsia" w:ascii="仿宋_GB2312" w:hAnsi="宋体" w:eastAsia="仿宋_GB2312" w:cs="仿宋_GB2312"/>
          <w:color w:val="000000"/>
          <w:kern w:val="0"/>
          <w:sz w:val="32"/>
          <w:szCs w:val="32"/>
          <w:lang w:val="en-US" w:eastAsia="zh-CN"/>
        </w:rPr>
        <w:t>9</w:t>
      </w:r>
      <w:r>
        <w:rPr>
          <w:rFonts w:hint="eastAsia" w:ascii="仿宋_GB2312" w:hAnsi="宋体" w:eastAsia="仿宋_GB2312" w:cs="仿宋_GB2312"/>
          <w:color w:val="000000"/>
          <w:kern w:val="0"/>
          <w:sz w:val="32"/>
          <w:szCs w:val="32"/>
        </w:rPr>
        <w:t>年本部门支出预算为112.32万元。其中基本支出（包括人员经费和公用经费）79.32万元，占支出总额的70.62%；专项经费支出33万元，占支出总额的29.38%。全部为一般公共预算拨款支出，较上年增加34.01万元，主要原因是新成立了眉县困难职工援助中心，新增全额供养事业单位人员4人，以及机关事业单位基本养老保险制度改革、住房公积金单位缴费由财政统缴变为单位自缴及正常调资晋档带来的人员经费增长。</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（2）本部门2019年一般公共预算支出按功能分类、一般公共预算基本支出按经济分类的明细情况详见附表《一般公共预算支出表》和《一般公共预算基本支出表》。</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2019年“三公”经费财政拨款支出预算为0万元，支出决算为0万元，完成预算的0%。决算数较预算数减少（增加）0万元，主要原因是无申请拨款.</w:t>
      </w:r>
    </w:p>
    <w:p>
      <w:pPr>
        <w:numPr>
          <w:ilvl w:val="0"/>
          <w:numId w:val="3"/>
        </w:numPr>
        <w:spacing w:line="360" w:lineRule="auto"/>
        <w:ind w:firstLine="643" w:firstLineChars="200"/>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年全系统“三公”经费预算控制数为0.2万元，与去年持平。其中出国（境）费0万元；公务接待费0.2万元，与去年持平；公务用车运行费0万元，比上年下降0万元；公务用车购置费0万元，本单位本年度没有安排公务用车购置费用。“三公经费”下降原因为本部门严格执行“中央八项规定”及相关财经纪律，严控三公经费支出。</w:t>
      </w:r>
    </w:p>
    <w:p>
      <w:pPr>
        <w:widowControl/>
        <w:ind w:firstLine="643" w:firstLineChars="200"/>
        <w:jc w:val="left"/>
        <w:rPr>
          <w:rFonts w:hint="eastAsia" w:ascii="黑体" w:hAnsi="黑体" w:eastAsia="黑体" w:cs="黑体"/>
          <w:color w:val="000000"/>
          <w:kern w:val="0"/>
          <w:sz w:val="32"/>
          <w:szCs w:val="32"/>
        </w:rPr>
      </w:pPr>
      <w:r>
        <w:rPr>
          <w:rFonts w:hint="eastAsia" w:ascii="黑体" w:hAnsi="黑体" w:eastAsia="黑体" w:cs="黑体"/>
          <w:b/>
          <w:color w:val="000000"/>
          <w:kern w:val="0"/>
          <w:sz w:val="32"/>
          <w:szCs w:val="32"/>
        </w:rPr>
        <w:t>八、</w:t>
      </w:r>
      <w:r>
        <w:rPr>
          <w:rFonts w:hint="eastAsia" w:ascii="黑体" w:hAnsi="黑体" w:eastAsia="黑体" w:cs="黑体"/>
          <w:color w:val="000000"/>
          <w:kern w:val="0"/>
          <w:sz w:val="32"/>
          <w:szCs w:val="32"/>
        </w:rPr>
        <w:t xml:space="preserve">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2019年政府性基金预算财政拨款上年结转结余0万元，本年收入0万元，本年支出0万元，年末结转结余0万元。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2019年国有资本经营财政拨款上年结转结余0万元，本年收入0万元，本年支出0万元，年末结转结余0万元。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2019年本部门主要通过以下几个方面开展了绩效管理：1.进一步强化预算管理，年初科学编制了办公室经费预算，按照财经纪律，规范了经费支出和票据计开管理，重大支出项目做到有计划、有监督、有评估，做到支出有据可依。2.进一步健全财务管理制度及内控管理制度，不断更新管理思路，新方法，改进完善财务管理方法。3.按照财政局绩效管理的要求，建立科学的财政资金效益考核体系，牢固树立行政成本意识，不断提高财政资金使用管理的水平和效益，力求做到财政资金使用效率最大化，让每一分钱都用在刀刃上。</w:t>
      </w:r>
    </w:p>
    <w:p>
      <w:pPr>
        <w:widowControl/>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2019年本部门对专项业务经费项目开展了绩效自评，涉及一般公共预算当年拨款630.96万元。</w:t>
      </w:r>
    </w:p>
    <w:p>
      <w:pPr>
        <w:widowControl/>
        <w:jc w:val="left"/>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tabs>
          <w:tab w:val="left" w:pos="1449"/>
        </w:tabs>
        <w:bidi w:val="0"/>
        <w:jc w:val="left"/>
        <w:rPr>
          <w:rFonts w:hint="eastAsia"/>
          <w:lang w:val="en-US" w:eastAsia="zh-CN"/>
        </w:rPr>
        <w:sectPr>
          <w:pgSz w:w="11850" w:h="16783"/>
          <w:pgMar w:top="1587" w:right="1474" w:bottom="1701" w:left="1701" w:header="851" w:footer="992" w:gutter="0"/>
          <w:cols w:space="720" w:num="1"/>
          <w:rtlGutter w:val="0"/>
          <w:docGrid w:type="lines" w:linePitch="315" w:charSpace="0"/>
        </w:sectPr>
      </w:pPr>
      <w:r>
        <w:rPr>
          <w:rFonts w:hint="eastAsia" w:ascii="楷体" w:hAnsi="楷体" w:eastAsia="楷体" w:cs="楷体"/>
          <w:sz w:val="32"/>
          <w:szCs w:val="32"/>
        </w:rPr>
        <w:object>
          <v:shape id="_x0000_i1027" o:spt="75" type="#_x0000_t75" style="height:650.05pt;width:440.15pt;" o:ole="t" filled="f" o:preferrelative="t" stroked="f" coordsize="21600,21600">
            <v:path/>
            <v:fill on="f" focussize="0,0"/>
            <v:stroke on="f"/>
            <v:imagedata r:id="rId12" o:title=""/>
            <o:lock v:ext="edit" aspectratio="t"/>
            <w10:wrap type="none"/>
            <w10:anchorlock/>
          </v:shape>
          <o:OLEObject Type="Embed" ProgID="Office12.wks.Sheet.8" ShapeID="_x0000_i1027" DrawAspect="Content" ObjectID="_1468075727" r:id="rId11">
            <o:LockedField>false</o:LockedField>
          </o:OLEObject>
        </w:object>
      </w:r>
    </w:p>
    <w:p>
      <w:pPr>
        <w:widowControl/>
        <w:jc w:val="left"/>
        <w:rPr>
          <w:rFonts w:ascii="楷体" w:hAnsi="楷体" w:eastAsia="楷体" w:cs="楷体"/>
          <w:sz w:val="32"/>
          <w:szCs w:val="32"/>
        </w:rPr>
        <w:sectPr>
          <w:pgSz w:w="16838" w:h="23811"/>
          <w:pgMar w:top="1587" w:right="1474" w:bottom="1701" w:left="1701" w:header="851" w:footer="992" w:gutter="0"/>
          <w:cols w:space="720" w:num="1"/>
          <w:rtlGutter w:val="0"/>
          <w:docGrid w:type="lines" w:linePitch="321" w:charSpace="0"/>
        </w:sectPr>
      </w:pPr>
      <w:bookmarkStart w:id="0" w:name="_1662728987"/>
      <w:bookmarkEnd w:id="0"/>
      <w:bookmarkStart w:id="1" w:name="_1662730984"/>
      <w:bookmarkEnd w:id="1"/>
      <w:bookmarkStart w:id="2" w:name="_1662728733"/>
      <w:bookmarkEnd w:id="2"/>
      <w:bookmarkStart w:id="3" w:name="_1662728933"/>
      <w:bookmarkEnd w:id="3"/>
      <w:bookmarkStart w:id="4" w:name="_1662728955"/>
      <w:bookmarkEnd w:id="4"/>
      <w:bookmarkStart w:id="5" w:name="_1662726520"/>
      <w:bookmarkEnd w:id="5"/>
      <w:bookmarkStart w:id="6" w:name="_1662728638"/>
      <w:bookmarkEnd w:id="6"/>
      <w:bookmarkStart w:id="7" w:name="_1662728144"/>
      <w:bookmarkEnd w:id="7"/>
      <w:r>
        <w:rPr>
          <w:rFonts w:hint="eastAsia" w:ascii="楷体" w:hAnsi="楷体" w:eastAsia="楷体" w:cs="楷体"/>
          <w:sz w:val="32"/>
          <w:szCs w:val="32"/>
        </w:rPr>
        <w:object>
          <v:shape id="_x0000_i1028" o:spt="75" type="#_x0000_t75" style="height:1215.65pt;width:646.95pt;" o:ole="t" filled="f" o:preferrelative="t" stroked="f" coordsize="21600,21600">
            <v:path/>
            <v:fill on="f" focussize="0,0"/>
            <v:stroke on="f"/>
            <v:imagedata r:id="rId14" o:title=""/>
            <o:lock v:ext="edit" aspectratio="t"/>
            <w10:wrap type="none"/>
            <w10:anchorlock/>
          </v:shape>
          <o:OLEObject Type="Embed" ProgID="Office12.wks.Sheet.8" ShapeID="_x0000_i1028" DrawAspect="Content" ObjectID="_1468075728" r:id="rId13">
            <o:LockedField>false</o:LockedField>
          </o:OLEObject>
        </w:object>
      </w:r>
    </w:p>
    <w:p>
      <w:pPr>
        <w:numPr>
          <w:ilvl w:val="0"/>
          <w:numId w:val="0"/>
        </w:numPr>
        <w:ind w:firstLine="640" w:firstLineChars="200"/>
        <w:rPr>
          <w:color w:val="333333"/>
          <w:sz w:val="22"/>
          <w:szCs w:val="2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其他重要事项说明</w:t>
      </w:r>
    </w:p>
    <w:p>
      <w:pPr>
        <w:widowControl/>
        <w:ind w:firstLine="643" w:firstLineChars="200"/>
        <w:jc w:val="left"/>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lang w:eastAsia="zh-CN"/>
        </w:rPr>
        <w:t>一</w:t>
      </w:r>
      <w:r>
        <w:rPr>
          <w:rFonts w:hint="eastAsia" w:ascii="楷体_GB2312" w:hAnsi="宋体" w:eastAsia="楷体_GB2312" w:cs="楷体_GB2312"/>
          <w:b/>
          <w:color w:val="000000"/>
          <w:kern w:val="0"/>
          <w:sz w:val="32"/>
          <w:szCs w:val="32"/>
        </w:rPr>
        <w:t>）机关运行经费支出情况。</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本部门2019年机关运行经费112.93万元，主要是成立困难职工援助中心增加4名事业编制财政供养人员</w:t>
      </w:r>
      <w:r>
        <w:rPr>
          <w:rFonts w:hint="eastAsia" w:ascii="仿宋_GB2312" w:hAnsi="仿宋_GB2312" w:eastAsia="仿宋_GB2312" w:cs="仿宋_GB2312"/>
          <w:sz w:val="32"/>
          <w:szCs w:val="32"/>
          <w:lang w:eastAsia="zh-CN"/>
        </w:rPr>
        <w:t>、困难职工救助、大楼物业</w:t>
      </w:r>
      <w:r>
        <w:rPr>
          <w:rFonts w:hint="eastAsia" w:ascii="仿宋_GB2312" w:hAnsi="仿宋_GB2312" w:eastAsia="仿宋_GB2312" w:cs="仿宋_GB2312"/>
          <w:sz w:val="32"/>
          <w:szCs w:val="32"/>
        </w:rPr>
        <w:t>所致。</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109.5</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109.5</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109.5</w:t>
      </w:r>
      <w:r>
        <w:rPr>
          <w:rFonts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截至2019年末，本部门没有车辆，无单价50万元以上的通用设备。</w:t>
      </w:r>
    </w:p>
    <w:p>
      <w:pPr>
        <w:widowControl/>
        <w:jc w:val="left"/>
        <w:rPr>
          <w:rFonts w:ascii="黑体" w:hAnsi="宋体" w:eastAsia="黑体"/>
          <w:color w:val="000000"/>
          <w:kern w:val="0"/>
          <w:sz w:val="44"/>
          <w:szCs w:val="44"/>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b/>
          <w:bCs/>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849" w:h="16781"/>
      <w:pgMar w:top="1587" w:right="1474" w:bottom="1701" w:left="1701" w:header="851" w:footer="992" w:gutter="0"/>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9BDA5"/>
    <w:multiLevelType w:val="singleLevel"/>
    <w:tmpl w:val="B159BDA5"/>
    <w:lvl w:ilvl="0" w:tentative="0">
      <w:start w:val="3"/>
      <w:numFmt w:val="decimal"/>
      <w:suff w:val="nothing"/>
      <w:lvlText w:val="%1、"/>
      <w:lvlJc w:val="left"/>
    </w:lvl>
  </w:abstractNum>
  <w:abstractNum w:abstractNumId="1">
    <w:nsid w:val="DAD3C5B0"/>
    <w:multiLevelType w:val="singleLevel"/>
    <w:tmpl w:val="DAD3C5B0"/>
    <w:lvl w:ilvl="0" w:tentative="0">
      <w:start w:val="2"/>
      <w:numFmt w:val="chineseCounting"/>
      <w:suff w:val="nothing"/>
      <w:lvlText w:val="（%1）"/>
      <w:lvlJc w:val="left"/>
      <w:rPr>
        <w:rFonts w:hint="eastAsia"/>
      </w:rPr>
    </w:lvl>
  </w:abstractNum>
  <w:abstractNum w:abstractNumId="2">
    <w:nsid w:val="F9C83A4B"/>
    <w:multiLevelType w:val="singleLevel"/>
    <w:tmpl w:val="F9C83A4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131E2"/>
    <w:rsid w:val="00050E89"/>
    <w:rsid w:val="00053317"/>
    <w:rsid w:val="000C173E"/>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541A4"/>
    <w:rsid w:val="007E2125"/>
    <w:rsid w:val="007F5D23"/>
    <w:rsid w:val="00813F4A"/>
    <w:rsid w:val="008E51B2"/>
    <w:rsid w:val="00B7276D"/>
    <w:rsid w:val="00B80654"/>
    <w:rsid w:val="00BE5A8F"/>
    <w:rsid w:val="00CB5EF5"/>
    <w:rsid w:val="00CB7771"/>
    <w:rsid w:val="00CC1BFD"/>
    <w:rsid w:val="00CE7F71"/>
    <w:rsid w:val="00D2119A"/>
    <w:rsid w:val="00D32994"/>
    <w:rsid w:val="00D62E84"/>
    <w:rsid w:val="00DC6A7B"/>
    <w:rsid w:val="00DD1BA0"/>
    <w:rsid w:val="00DE0609"/>
    <w:rsid w:val="00E52581"/>
    <w:rsid w:val="00E569EB"/>
    <w:rsid w:val="00E8111E"/>
    <w:rsid w:val="00F41A39"/>
    <w:rsid w:val="00F9628B"/>
    <w:rsid w:val="0129542B"/>
    <w:rsid w:val="013B79AC"/>
    <w:rsid w:val="01AA1095"/>
    <w:rsid w:val="02D7745F"/>
    <w:rsid w:val="03EE767D"/>
    <w:rsid w:val="09F54553"/>
    <w:rsid w:val="0E7F4991"/>
    <w:rsid w:val="0F28061D"/>
    <w:rsid w:val="0F8256CE"/>
    <w:rsid w:val="109B2E8A"/>
    <w:rsid w:val="1123328E"/>
    <w:rsid w:val="125E2600"/>
    <w:rsid w:val="132E46A0"/>
    <w:rsid w:val="13693D72"/>
    <w:rsid w:val="14411117"/>
    <w:rsid w:val="1586116E"/>
    <w:rsid w:val="18BB4AD7"/>
    <w:rsid w:val="19406DC3"/>
    <w:rsid w:val="1B4A3FDA"/>
    <w:rsid w:val="1B524C98"/>
    <w:rsid w:val="1C5E2F73"/>
    <w:rsid w:val="1D0B26A6"/>
    <w:rsid w:val="1D6E0C0D"/>
    <w:rsid w:val="221C15BB"/>
    <w:rsid w:val="27B902B4"/>
    <w:rsid w:val="280E6B7A"/>
    <w:rsid w:val="29785A6B"/>
    <w:rsid w:val="2D1F3974"/>
    <w:rsid w:val="30DB6CFA"/>
    <w:rsid w:val="31AA6038"/>
    <w:rsid w:val="33887EE3"/>
    <w:rsid w:val="34677C61"/>
    <w:rsid w:val="35032BD7"/>
    <w:rsid w:val="35C265B9"/>
    <w:rsid w:val="379E0388"/>
    <w:rsid w:val="38277222"/>
    <w:rsid w:val="3B121AD1"/>
    <w:rsid w:val="3CB57DB5"/>
    <w:rsid w:val="3CFD0D2E"/>
    <w:rsid w:val="40572B11"/>
    <w:rsid w:val="40D14316"/>
    <w:rsid w:val="41603979"/>
    <w:rsid w:val="44AE6139"/>
    <w:rsid w:val="4619368A"/>
    <w:rsid w:val="47795970"/>
    <w:rsid w:val="48C45B51"/>
    <w:rsid w:val="4939169D"/>
    <w:rsid w:val="4B2D5BB4"/>
    <w:rsid w:val="4C043D0E"/>
    <w:rsid w:val="4D6E0FDF"/>
    <w:rsid w:val="4DEE756E"/>
    <w:rsid w:val="4EE4307A"/>
    <w:rsid w:val="4F1723D5"/>
    <w:rsid w:val="5153143F"/>
    <w:rsid w:val="51CF0641"/>
    <w:rsid w:val="54034B4F"/>
    <w:rsid w:val="54F12DEE"/>
    <w:rsid w:val="552C3476"/>
    <w:rsid w:val="55434FBA"/>
    <w:rsid w:val="565205EE"/>
    <w:rsid w:val="5A9E3B30"/>
    <w:rsid w:val="5C2906B6"/>
    <w:rsid w:val="632D7FEB"/>
    <w:rsid w:val="6A845E22"/>
    <w:rsid w:val="725F5F87"/>
    <w:rsid w:val="73104D07"/>
    <w:rsid w:val="75C31473"/>
    <w:rsid w:val="75F90F44"/>
    <w:rsid w:val="76FC3C91"/>
    <w:rsid w:val="78C0695F"/>
    <w:rsid w:val="7B386EFF"/>
    <w:rsid w:val="7C3E5E46"/>
    <w:rsid w:val="7D0E35D2"/>
    <w:rsid w:val="7D2729F1"/>
    <w:rsid w:val="7E426F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none"/>
    </w:rPr>
  </w:style>
  <w:style w:type="character" w:styleId="14">
    <w:name w:val="annotation reference"/>
    <w:basedOn w:val="10"/>
    <w:qFormat/>
    <w:uiPriority w:val="0"/>
    <w:rPr>
      <w:sz w:val="21"/>
      <w:szCs w:val="21"/>
    </w:rPr>
  </w:style>
  <w:style w:type="character" w:customStyle="1" w:styleId="15">
    <w:name w:val="批注文字 Char"/>
    <w:basedOn w:val="10"/>
    <w:link w:val="2"/>
    <w:qFormat/>
    <w:uiPriority w:val="0"/>
    <w:rPr>
      <w:rFonts w:ascii="Calibri" w:hAnsi="Calibri" w:cs="黑体"/>
      <w:kern w:val="2"/>
      <w:sz w:val="21"/>
      <w:szCs w:val="24"/>
    </w:rPr>
  </w:style>
  <w:style w:type="character" w:customStyle="1" w:styleId="16">
    <w:name w:val="批注框文本 Char"/>
    <w:basedOn w:val="10"/>
    <w:link w:val="3"/>
    <w:qFormat/>
    <w:uiPriority w:val="0"/>
    <w:rPr>
      <w:rFonts w:ascii="Calibri" w:hAnsi="Calibri" w:cs="黑体"/>
      <w:kern w:val="2"/>
      <w:sz w:val="18"/>
      <w:szCs w:val="18"/>
    </w:rPr>
  </w:style>
  <w:style w:type="character" w:customStyle="1" w:styleId="17">
    <w:name w:val="批注主题 Char"/>
    <w:basedOn w:val="15"/>
    <w:link w:val="7"/>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4.bin"/><Relationship Id="rId12" Type="http://schemas.openxmlformats.org/officeDocument/2006/relationships/image" Target="media/image1.emf"/><Relationship Id="rId11" Type="http://schemas.openxmlformats.org/officeDocument/2006/relationships/oleObject" Target="embeddings/oleObject3.bin"/><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c:v>
                </c:pt>
              </c:strCache>
            </c:strRef>
          </c:tx>
          <c:spPr>
            <a:solidFill>
              <a:schemeClr val="accent1"/>
            </a:solidFill>
            <a:ln>
              <a:noFill/>
            </a:ln>
            <a:effectLst/>
          </c:spPr>
          <c:invertIfNegative val="0"/>
          <c:dLbls>
            <c:delete val="1"/>
          </c:dLbls>
          <c:cat>
            <c:strRef>
              <c:f>Sheet1!$A$2:$A$5</c:f>
              <c:strCache>
                <c:ptCount val="4"/>
                <c:pt idx="0">
                  <c:v>行政</c:v>
                </c:pt>
                <c:pt idx="1">
                  <c:v>参公</c:v>
                </c:pt>
              </c:strCache>
            </c:strRef>
          </c:cat>
          <c:val>
            <c:numRef>
              <c:f>Sheet1!$B$2:$B$5</c:f>
              <c:numCache>
                <c:formatCode>General</c:formatCode>
                <c:ptCount val="4"/>
                <c:pt idx="0">
                  <c:v>6</c:v>
                </c:pt>
                <c:pt idx="1">
                  <c:v>2</c:v>
                </c:pt>
              </c:numCache>
            </c:numRef>
          </c:val>
        </c:ser>
        <c:ser>
          <c:idx val="1"/>
          <c:order val="1"/>
          <c:tx>
            <c:strRef>
              <c:f>Sheet1!$C$1</c:f>
              <c:strCache>
                <c:ptCount val="1"/>
                <c:pt idx="0">
                  <c:v>实有</c:v>
                </c:pt>
              </c:strCache>
            </c:strRef>
          </c:tx>
          <c:spPr>
            <a:solidFill>
              <a:schemeClr val="accent2"/>
            </a:solidFill>
            <a:ln>
              <a:noFill/>
            </a:ln>
            <a:effectLst/>
          </c:spPr>
          <c:invertIfNegative val="0"/>
          <c:dLbls>
            <c:delete val="1"/>
          </c:dLbls>
          <c:cat>
            <c:strRef>
              <c:f>Sheet1!$A$2:$A$5</c:f>
              <c:strCache>
                <c:ptCount val="4"/>
                <c:pt idx="0">
                  <c:v>行政</c:v>
                </c:pt>
                <c:pt idx="1">
                  <c:v>参公</c:v>
                </c:pt>
              </c:strCache>
            </c:strRef>
          </c:cat>
          <c:val>
            <c:numRef>
              <c:f>Sheet1!$C$2:$C$5</c:f>
              <c:numCache>
                <c:formatCode>General</c:formatCode>
                <c:ptCount val="4"/>
                <c:pt idx="0">
                  <c:v>6</c:v>
                </c:pt>
                <c:pt idx="1">
                  <c:v>2</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行政</c:v>
                </c:pt>
                <c:pt idx="1">
                  <c:v>参公</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3110823"/>
        <c:axId val="778747711"/>
      </c:barChart>
      <c:catAx>
        <c:axId val="3331108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747711"/>
        <c:crosses val="autoZero"/>
        <c:auto val="1"/>
        <c:lblAlgn val="ctr"/>
        <c:lblOffset val="100"/>
        <c:noMultiLvlLbl val="0"/>
      </c:catAx>
      <c:valAx>
        <c:axId val="778747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31108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c:v>
                </c:pt>
              </c:strCache>
            </c:strRef>
          </c:tx>
          <c:spPr>
            <a:solidFill>
              <a:srgbClr val="5B9BD5"/>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612.09</c:v>
                </c:pt>
                <c:pt idx="1">
                  <c:v>612.09</c:v>
                </c:pt>
              </c:numCache>
            </c:numRef>
          </c:val>
        </c:ser>
        <c:ser>
          <c:idx val="1"/>
          <c:order val="1"/>
          <c:tx>
            <c:strRef>
              <c:f>Sheet1!$C$1</c:f>
              <c:strCache>
                <c:ptCount val="1"/>
                <c:pt idx="0">
                  <c:v>2019</c:v>
                </c:pt>
              </c:strCache>
            </c:strRef>
          </c:tx>
          <c:spPr>
            <a:solidFill>
              <a:srgbClr val="ED7D31"/>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630.96</c:v>
                </c:pt>
                <c:pt idx="1">
                  <c:v>630.96</c:v>
                </c:pt>
              </c:numCache>
            </c:numRef>
          </c:val>
        </c:ser>
        <c:dLbls>
          <c:showLegendKey val="0"/>
          <c:showVal val="0"/>
          <c:showCatName val="0"/>
          <c:showSerName val="0"/>
          <c:showPercent val="0"/>
          <c:showBubbleSize val="0"/>
        </c:dLbls>
        <c:gapWidth val="219"/>
        <c:overlap val="-27"/>
        <c:axId val="534169011"/>
        <c:axId val="439733203"/>
      </c:barChart>
      <c:catAx>
        <c:axId val="534169011"/>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39733203"/>
        <c:crosses val="autoZero"/>
        <c:auto val="1"/>
        <c:lblAlgn val="ctr"/>
        <c:lblOffset val="100"/>
        <c:noMultiLvlLbl val="0"/>
      </c:catAx>
      <c:valAx>
        <c:axId val="439733203"/>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341690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59776536313"/>
          <c:y val="0.00689496667432774"/>
          <c:w val="0.894050279329609"/>
          <c:h val="0.734176051482418"/>
        </c:manualLayout>
      </c:layout>
      <c:barChart>
        <c:barDir val="col"/>
        <c:grouping val="clustered"/>
        <c:varyColors val="0"/>
        <c:ser>
          <c:idx val="0"/>
          <c:order val="0"/>
          <c:tx>
            <c:strRef>
              <c:f>Sheet1!$B$1</c:f>
              <c:strCache>
                <c:ptCount val="1"/>
                <c:pt idx="0">
                  <c:v>财政拨款收入</c:v>
                </c:pt>
              </c:strCache>
            </c:strRef>
          </c:tx>
          <c:spPr>
            <a:solidFill>
              <a:srgbClr val="5B9BD5"/>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612.09</c:v>
                </c:pt>
                <c:pt idx="1">
                  <c:v>630.96</c:v>
                </c:pt>
              </c:numCache>
            </c:numRef>
          </c:val>
        </c:ser>
        <c:ser>
          <c:idx val="1"/>
          <c:order val="1"/>
          <c:tx>
            <c:strRef>
              <c:f>Sheet1!$C$1</c:f>
              <c:strCache>
                <c:ptCount val="1"/>
                <c:pt idx="0">
                  <c:v/>
                </c:pt>
              </c:strCache>
            </c:strRef>
          </c:tx>
          <c:spPr>
            <a:solidFill>
              <a:srgbClr val="ED7D31"/>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numCache>
            </c:numRef>
          </c:val>
        </c:ser>
        <c:dLbls>
          <c:showLegendKey val="0"/>
          <c:showVal val="0"/>
          <c:showCatName val="0"/>
          <c:showSerName val="0"/>
          <c:showPercent val="0"/>
          <c:showBubbleSize val="0"/>
        </c:dLbls>
        <c:gapWidth val="219"/>
        <c:overlap val="-27"/>
        <c:axId val="289877062"/>
        <c:axId val="744505772"/>
      </c:barChart>
      <c:catAx>
        <c:axId val="28987706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44505772"/>
        <c:crosses val="autoZero"/>
        <c:auto val="1"/>
        <c:lblAlgn val="ctr"/>
        <c:lblOffset val="100"/>
        <c:noMultiLvlLbl val="0"/>
      </c:catAx>
      <c:valAx>
        <c:axId val="74450577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89877062"/>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nchor="b" anchorCtr="0"/>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Sheet1!$B$1</c:f>
              <c:strCache>
                <c:ptCount val="1"/>
                <c:pt idx="0">
                  <c:v>财政拨款支出</c:v>
                </c:pt>
              </c:strCache>
            </c:strRef>
          </c:tx>
          <c:spPr/>
          <c:explosion val="0"/>
          <c:dPt>
            <c:idx val="0"/>
            <c:bubble3D val="0"/>
            <c:spPr>
              <a:solidFill>
                <a:srgbClr val="5B9BD5"/>
              </a:solidFill>
              <a:ln w="19050">
                <a:solidFill>
                  <a:srgbClr val="FFFFFF"/>
                </a:solidFill>
              </a:ln>
              <a:effectLst/>
            </c:spPr>
          </c:dPt>
          <c:dPt>
            <c:idx val="1"/>
            <c:bubble3D val="0"/>
            <c:spPr>
              <a:solidFill>
                <a:srgbClr val="ED7D31"/>
              </a:solidFill>
              <a:ln w="19050">
                <a:solidFill>
                  <a:srgbClr val="FFFFFF"/>
                </a:solidFill>
              </a:ln>
              <a:effectLst/>
            </c:spPr>
          </c:dPt>
          <c:dPt>
            <c:idx val="2"/>
            <c:bubble3D val="0"/>
            <c:spPr>
              <a:solidFill>
                <a:srgbClr val="A5A5A5"/>
              </a:solidFill>
              <a:ln w="19050">
                <a:solidFill>
                  <a:srgbClr val="FFFFFF"/>
                </a:solidFill>
              </a:ln>
              <a:effectLst/>
            </c:spPr>
          </c:dPt>
          <c:dPt>
            <c:idx val="3"/>
            <c:bubble3D val="0"/>
            <c:spPr>
              <a:solidFill>
                <a:srgbClr val="FFC000"/>
              </a:solidFill>
              <a:ln w="19050">
                <a:solidFill>
                  <a:srgbClr val="FFFFFF"/>
                </a:solidFill>
              </a:ln>
              <a:effectLst/>
            </c:spPr>
          </c:dPt>
          <c:dLbls>
            <c:delete val="1"/>
          </c:dLbls>
          <c:cat>
            <c:strRef>
              <c:f>Sheet1!$A$2:$A$5</c:f>
              <c:strCache>
                <c:ptCount val="4"/>
                <c:pt idx="0">
                  <c:v>一般公共服务支出</c:v>
                </c:pt>
                <c:pt idx="1">
                  <c:v>文化体育与传媒支出</c:v>
                </c:pt>
              </c:strCache>
            </c:strRef>
          </c:cat>
          <c:val>
            <c:numRef>
              <c:f>Sheet1!$B$2:$B$5</c:f>
              <c:numCache>
                <c:formatCode>General</c:formatCode>
                <c:ptCount val="4"/>
                <c:pt idx="0">
                  <c:v>613.93</c:v>
                </c:pt>
                <c:pt idx="1">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manualLayout>
          <c:layoutTarget val="inner"/>
          <c:xMode val="edge"/>
          <c:yMode val="edge"/>
          <c:x val="0.274202940748289"/>
          <c:y val="0.168618784530387"/>
          <c:w val="0.44984713932159"/>
          <c:h val="0.682872928176796"/>
        </c:manualLayout>
      </c:layout>
      <c:pieChart>
        <c:varyColors val="1"/>
        <c:ser>
          <c:idx val="0"/>
          <c:order val="0"/>
          <c:tx>
            <c:strRef>
              <c:f>Sheet1!$B$1</c:f>
              <c:strCache>
                <c:ptCount val="1"/>
                <c:pt idx="0">
                  <c:v>全年支出</c:v>
                </c:pt>
              </c:strCache>
            </c:strRef>
          </c:tx>
          <c:spPr/>
          <c:explosion val="0"/>
          <c:dPt>
            <c:idx val="0"/>
            <c:bubble3D val="0"/>
            <c:spPr>
              <a:solidFill>
                <a:srgbClr val="5B9BD5"/>
              </a:solidFill>
              <a:ln w="19050">
                <a:solidFill>
                  <a:srgbClr val="FFFFFF"/>
                </a:solidFill>
              </a:ln>
              <a:effectLst/>
            </c:spPr>
          </c:dPt>
          <c:dPt>
            <c:idx val="1"/>
            <c:bubble3D val="0"/>
            <c:spPr>
              <a:solidFill>
                <a:srgbClr val="ED7D31"/>
              </a:solidFill>
              <a:ln w="19050">
                <a:solidFill>
                  <a:srgbClr val="FFFFFF"/>
                </a:solidFill>
              </a:ln>
              <a:effectLst/>
            </c:spPr>
          </c:dPt>
          <c:dPt>
            <c:idx val="2"/>
            <c:bubble3D val="0"/>
            <c:spPr>
              <a:solidFill>
                <a:srgbClr val="A5A5A5"/>
              </a:solidFill>
              <a:ln w="19050">
                <a:solidFill>
                  <a:srgbClr val="FFFFFF"/>
                </a:solidFill>
              </a:ln>
              <a:effectLst/>
            </c:spPr>
          </c:dPt>
          <c:dPt>
            <c:idx val="3"/>
            <c:bubble3D val="0"/>
            <c:spPr>
              <a:solidFill>
                <a:srgbClr val="FFC000"/>
              </a:solidFill>
              <a:ln w="19050">
                <a:solidFill>
                  <a:srgbClr val="FFFFFF"/>
                </a:solidFill>
              </a:ln>
              <a:effectLst/>
            </c:spPr>
          </c:dPt>
          <c:dLbls>
            <c:delete val="1"/>
          </c:dLbls>
          <c:cat>
            <c:strRef>
              <c:f>Sheet1!$A$2:$A$5</c:f>
              <c:strCache>
                <c:ptCount val="4"/>
                <c:pt idx="0">
                  <c:v>基本支出</c:v>
                </c:pt>
                <c:pt idx="1">
                  <c:v>项目支出</c:v>
                </c:pt>
              </c:strCache>
            </c:strRef>
          </c:cat>
          <c:val>
            <c:numRef>
              <c:f>Sheet1!$B$2:$B$5</c:f>
              <c:numCache>
                <c:formatCode>General</c:formatCode>
                <c:ptCount val="4"/>
                <c:pt idx="0">
                  <c:v>112.93</c:v>
                </c:pt>
                <c:pt idx="1">
                  <c:v>518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1279</Words>
  <Characters>7295</Characters>
  <Lines>60</Lines>
  <Paragraphs>17</Paragraphs>
  <TotalTime>3</TotalTime>
  <ScaleCrop>false</ScaleCrop>
  <LinksUpToDate>false</LinksUpToDate>
  <CharactersWithSpaces>8557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Administrator</cp:lastModifiedBy>
  <cp:lastPrinted>2020-07-28T02:12:00Z</cp:lastPrinted>
  <dcterms:modified xsi:type="dcterms:W3CDTF">2020-10-16T03:20:27Z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