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眉县退役军人事务局</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widowControl/>
        <w:jc w:val="center"/>
        <w:rPr>
          <w:sz w:val="44"/>
          <w:szCs w:val="44"/>
        </w:rPr>
      </w:pPr>
      <w:r>
        <w:rPr>
          <w:rFonts w:ascii="黑体" w:hAnsi="宋体" w:eastAsia="黑体"/>
          <w:b/>
          <w:color w:val="000000"/>
          <w:kern w:val="0"/>
          <w:sz w:val="56"/>
          <w:szCs w:val="56"/>
        </w:rPr>
        <w:br w:type="page"/>
      </w:r>
      <w:bookmarkStart w:id="0" w:name="_GoBack"/>
      <w:bookmarkEnd w:id="0"/>
      <w:r>
        <w:rPr>
          <w:rFonts w:ascii="黑体" w:hAnsi="宋体" w:eastAsia="黑体"/>
          <w:color w:val="000000"/>
          <w:kern w:val="0"/>
          <w:sz w:val="44"/>
          <w:szCs w:val="44"/>
        </w:rPr>
        <w:t>第二部分 2019年度部门决算表</w:t>
      </w:r>
    </w:p>
    <w:tbl>
      <w:tblPr>
        <w:tblStyle w:val="8"/>
        <w:tblpPr w:leftFromText="180" w:rightFromText="180" w:vertAnchor="text" w:horzAnchor="page" w:tblpX="1472" w:tblpY="1123"/>
        <w:tblOverlap w:val="never"/>
        <w:tblW w:w="13071" w:type="dxa"/>
        <w:tblInd w:w="0" w:type="dxa"/>
        <w:tblLayout w:type="fixed"/>
        <w:tblCellMar>
          <w:top w:w="0" w:type="dxa"/>
          <w:left w:w="0" w:type="dxa"/>
          <w:bottom w:w="0" w:type="dxa"/>
          <w:right w:w="0" w:type="dxa"/>
        </w:tblCellMar>
      </w:tblPr>
      <w:tblGrid>
        <w:gridCol w:w="1067"/>
        <w:gridCol w:w="5969"/>
        <w:gridCol w:w="1521"/>
        <w:gridCol w:w="4514"/>
      </w:tblGrid>
      <w:tr>
        <w:tblPrEx>
          <w:tblCellMar>
            <w:top w:w="0" w:type="dxa"/>
            <w:left w:w="0" w:type="dxa"/>
            <w:bottom w:w="0" w:type="dxa"/>
            <w:right w:w="0" w:type="dxa"/>
          </w:tblCellMar>
        </w:tblPrEx>
        <w:trPr>
          <w:trHeight w:val="504"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4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575" w:hRule="exac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4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5" w:hRule="exac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4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5" w:hRule="exac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4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575" w:hRule="exac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4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64" w:hRule="exac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4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64" w:hRule="exac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4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64" w:hRule="exact"/>
        </w:trPr>
        <w:tc>
          <w:tcPr>
            <w:tcW w:w="10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59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5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45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664" w:hRule="exact"/>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5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4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不涉及</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bCs/>
          <w:sz w:val="32"/>
          <w:szCs w:val="32"/>
        </w:rPr>
      </w:pPr>
      <w:r>
        <w:rPr>
          <w:rFonts w:hint="eastAsia" w:ascii="宋体" w:hAnsi="宋体" w:cs="宋体"/>
          <w:b/>
          <w:color w:val="000000"/>
          <w:kern w:val="0"/>
          <w:sz w:val="40"/>
          <w:szCs w:val="40"/>
        </w:rPr>
        <w:br w:type="page"/>
      </w: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8"/>
        <w:tblW w:w="13814" w:type="dxa"/>
        <w:tblInd w:w="0" w:type="dxa"/>
        <w:tblLayout w:type="fixed"/>
        <w:tblCellMar>
          <w:top w:w="15" w:type="dxa"/>
          <w:left w:w="15" w:type="dxa"/>
          <w:bottom w:w="15" w:type="dxa"/>
          <w:right w:w="15" w:type="dxa"/>
        </w:tblCellMar>
      </w:tblPr>
      <w:tblGrid>
        <w:gridCol w:w="5265"/>
        <w:gridCol w:w="1681"/>
        <w:gridCol w:w="4804"/>
        <w:gridCol w:w="2064"/>
      </w:tblGrid>
      <w:tr>
        <w:tblPrEx>
          <w:tblCellMar>
            <w:top w:w="15" w:type="dxa"/>
            <w:left w:w="15" w:type="dxa"/>
            <w:bottom w:w="15" w:type="dxa"/>
            <w:right w:w="15" w:type="dxa"/>
          </w:tblCellMar>
        </w:tblPrEx>
        <w:trPr>
          <w:trHeight w:val="173" w:hRule="atLeast"/>
        </w:trPr>
        <w:tc>
          <w:tcPr>
            <w:tcW w:w="69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68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110"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88"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r>
      <w:tr>
        <w:tblPrEx>
          <w:tblCellMar>
            <w:top w:w="15" w:type="dxa"/>
            <w:left w:w="15" w:type="dxa"/>
            <w:bottom w:w="15" w:type="dxa"/>
            <w:right w:w="15" w:type="dxa"/>
          </w:tblCellMar>
        </w:tblPrEx>
        <w:trPr>
          <w:trHeight w:val="88"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88"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88"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88"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r>
      <w:tr>
        <w:tblPrEx>
          <w:tblCellMar>
            <w:top w:w="15" w:type="dxa"/>
            <w:left w:w="15" w:type="dxa"/>
            <w:bottom w:w="15" w:type="dxa"/>
            <w:right w:w="15" w:type="dxa"/>
          </w:tblCellMar>
        </w:tblPrEx>
        <w:trPr>
          <w:trHeight w:val="88"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681"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88"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681"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88"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681"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4,011.12</w:t>
            </w:r>
          </w:p>
        </w:tc>
      </w:tr>
      <w:tr>
        <w:tblPrEx>
          <w:tblCellMar>
            <w:top w:w="15" w:type="dxa"/>
            <w:left w:w="15" w:type="dxa"/>
            <w:bottom w:w="15" w:type="dxa"/>
            <w:right w:w="15" w:type="dxa"/>
          </w:tblCellMar>
        </w:tblPrEx>
        <w:trPr>
          <w:trHeight w:val="88"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681"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56.85</w:t>
            </w:r>
          </w:p>
        </w:tc>
      </w:tr>
      <w:tr>
        <w:tblPrEx>
          <w:tblCellMar>
            <w:top w:w="15" w:type="dxa"/>
            <w:left w:w="15" w:type="dxa"/>
            <w:bottom w:w="15" w:type="dxa"/>
            <w:right w:w="15" w:type="dxa"/>
          </w:tblCellMar>
        </w:tblPrEx>
        <w:trPr>
          <w:trHeight w:val="73"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681"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96"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681"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88"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92"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90" w:hRule="atLeast"/>
        </w:trPr>
        <w:tc>
          <w:tcPr>
            <w:tcW w:w="52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90" w:hRule="atLeast"/>
        </w:trPr>
        <w:tc>
          <w:tcPr>
            <w:tcW w:w="52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86" w:hRule="atLeast"/>
        </w:trPr>
        <w:tc>
          <w:tcPr>
            <w:tcW w:w="52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91" w:hRule="atLeast"/>
        </w:trPr>
        <w:tc>
          <w:tcPr>
            <w:tcW w:w="52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82" w:hRule="atLeast"/>
        </w:trPr>
        <w:tc>
          <w:tcPr>
            <w:tcW w:w="52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101" w:hRule="atLeast"/>
        </w:trPr>
        <w:tc>
          <w:tcPr>
            <w:tcW w:w="52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r>
      <w:tr>
        <w:tblPrEx>
          <w:tblCellMar>
            <w:top w:w="15" w:type="dxa"/>
            <w:left w:w="15" w:type="dxa"/>
            <w:bottom w:w="15" w:type="dxa"/>
            <w:right w:w="15" w:type="dxa"/>
          </w:tblCellMar>
        </w:tblPrEx>
        <w:trPr>
          <w:trHeight w:val="90" w:hRule="atLeast"/>
        </w:trPr>
        <w:tc>
          <w:tcPr>
            <w:tcW w:w="52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84" w:hRule="atLeast"/>
        </w:trPr>
        <w:tc>
          <w:tcPr>
            <w:tcW w:w="52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84" w:hRule="atLeast"/>
        </w:trPr>
        <w:tc>
          <w:tcPr>
            <w:tcW w:w="526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0"/>
                <w:szCs w:val="20"/>
              </w:rPr>
            </w:pPr>
            <w:r>
              <w:rPr>
                <w:rFonts w:hint="eastAsia" w:cs="Arial"/>
                <w:color w:val="000000"/>
                <w:sz w:val="20"/>
                <w:szCs w:val="20"/>
              </w:rPr>
              <w:t>　</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0"/>
                <w:szCs w:val="20"/>
              </w:rPr>
            </w:pPr>
            <w:r>
              <w:rPr>
                <w:rFonts w:hint="eastAsia" w:cs="Arial"/>
                <w:color w:val="000000"/>
                <w:sz w:val="20"/>
                <w:szCs w:val="20"/>
              </w:rPr>
              <w:t>0.00</w:t>
            </w:r>
          </w:p>
        </w:tc>
      </w:tr>
      <w:tr>
        <w:tblPrEx>
          <w:tblCellMar>
            <w:top w:w="15" w:type="dxa"/>
            <w:left w:w="15" w:type="dxa"/>
            <w:bottom w:w="15" w:type="dxa"/>
            <w:right w:w="15" w:type="dxa"/>
          </w:tblCellMar>
        </w:tblPrEx>
        <w:trPr>
          <w:trHeight w:val="120" w:hRule="atLeast"/>
        </w:trPr>
        <w:tc>
          <w:tcPr>
            <w:tcW w:w="526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681" w:type="dxa"/>
            <w:tcBorders>
              <w:top w:val="single" w:color="000000" w:sz="4" w:space="0"/>
              <w:left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c>
          <w:tcPr>
            <w:tcW w:w="480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064" w:type="dxa"/>
            <w:tcBorders>
              <w:top w:val="single" w:color="000000" w:sz="4" w:space="0"/>
              <w:left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r>
      <w:tr>
        <w:tblPrEx>
          <w:tblCellMar>
            <w:top w:w="15" w:type="dxa"/>
            <w:left w:w="15" w:type="dxa"/>
            <w:bottom w:w="15" w:type="dxa"/>
            <w:right w:w="15" w:type="dxa"/>
          </w:tblCellMar>
        </w:tblPrEx>
        <w:trPr>
          <w:trHeight w:val="103"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107"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111" w:hRule="atLeast"/>
        </w:trPr>
        <w:tc>
          <w:tcPr>
            <w:tcW w:w="5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c>
          <w:tcPr>
            <w:tcW w:w="4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Cs w:val="21"/>
        </w:rPr>
      </w:pPr>
      <w:r>
        <w:rPr>
          <w:rFonts w:hint="eastAsia" w:ascii="宋体" w:hAnsi="宋体" w:cs="宋体"/>
          <w:b/>
          <w:bCs/>
          <w:szCs w:val="21"/>
        </w:rPr>
        <w:t>编制部门：                                                           金额单位：万元</w:t>
      </w:r>
    </w:p>
    <w:p>
      <w:pPr>
        <w:tabs>
          <w:tab w:val="left" w:pos="4678"/>
        </w:tabs>
        <w:rPr>
          <w:rFonts w:ascii="宋体" w:hAnsi="宋体" w:cs="宋体"/>
          <w:b/>
          <w:bCs/>
          <w:sz w:val="48"/>
          <w:szCs w:val="48"/>
        </w:rPr>
      </w:pPr>
    </w:p>
    <w:tbl>
      <w:tblPr>
        <w:tblStyle w:val="8"/>
        <w:tblpPr w:leftFromText="180" w:rightFromText="180" w:vertAnchor="text" w:tblpY="1"/>
        <w:tblOverlap w:val="never"/>
        <w:tblW w:w="13765" w:type="dxa"/>
        <w:tblInd w:w="0" w:type="dxa"/>
        <w:tblLayout w:type="fixed"/>
        <w:tblCellMar>
          <w:top w:w="15" w:type="dxa"/>
          <w:left w:w="15" w:type="dxa"/>
          <w:bottom w:w="15" w:type="dxa"/>
          <w:right w:w="15" w:type="dxa"/>
        </w:tblCellMar>
      </w:tblPr>
      <w:tblGrid>
        <w:gridCol w:w="1460"/>
        <w:gridCol w:w="3942"/>
        <w:gridCol w:w="1345"/>
        <w:gridCol w:w="1065"/>
        <w:gridCol w:w="992"/>
        <w:gridCol w:w="850"/>
        <w:gridCol w:w="1418"/>
        <w:gridCol w:w="709"/>
        <w:gridCol w:w="992"/>
        <w:gridCol w:w="992"/>
      </w:tblGrid>
      <w:tr>
        <w:tblPrEx>
          <w:tblCellMar>
            <w:top w:w="15" w:type="dxa"/>
            <w:left w:w="15" w:type="dxa"/>
            <w:bottom w:w="15" w:type="dxa"/>
            <w:right w:w="15" w:type="dxa"/>
          </w:tblCellMar>
        </w:tblPrEx>
        <w:trPr>
          <w:trHeight w:val="313" w:hRule="atLeast"/>
        </w:trPr>
        <w:tc>
          <w:tcPr>
            <w:tcW w:w="54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801" w:hRule="atLeast"/>
        </w:trPr>
        <w:tc>
          <w:tcPr>
            <w:tcW w:w="146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3942"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13" w:hRule="atLeast"/>
        </w:trPr>
        <w:tc>
          <w:tcPr>
            <w:tcW w:w="54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1345" w:type="dxa"/>
            <w:tcBorders>
              <w:top w:val="single" w:color="000000" w:sz="4" w:space="0"/>
              <w:left w:val="single" w:color="000000" w:sz="4" w:space="0"/>
              <w:bottom w:val="single" w:color="000000" w:sz="4" w:space="0"/>
              <w:right w:val="single" w:color="000000" w:sz="4" w:space="0"/>
            </w:tcBorders>
            <w:vAlign w:val="center"/>
          </w:tcPr>
          <w:p>
            <w:pPr>
              <w:ind w:left="409" w:hanging="409" w:hangingChars="186"/>
              <w:jc w:val="right"/>
              <w:rPr>
                <w:rFonts w:ascii="宋体" w:hAnsi="宋体" w:cs="Arial"/>
                <w:color w:val="000000"/>
                <w:sz w:val="22"/>
                <w:szCs w:val="22"/>
              </w:rPr>
            </w:pPr>
            <w:r>
              <w:rPr>
                <w:rFonts w:hint="eastAsia" w:cs="Arial"/>
                <w:color w:val="000000"/>
                <w:sz w:val="22"/>
                <w:szCs w:val="22"/>
              </w:rPr>
              <w:t>0.15</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0.15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20132</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组织事务</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0.15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2013204</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公务员事务</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0.15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205</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教育支出</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20501</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教育管理事务</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2050199</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其他教育管理事务支出</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4,011.12</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4,011.12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2080505</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20808</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抚恤</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2080804</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优抚事业单位支出</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2.64</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2.64</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2080899</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其他优抚支出</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2,169.27</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2,169.27</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退役安置</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932.95</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932.95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2080901</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退役士兵安置</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542.00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542.00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2080902</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军队移交政府的离退休人员安置</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190.30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190.30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2080903</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军队移交政府离退休干部管理机构</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12.65</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12.65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2080904</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退役士兵管理教育</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95.00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95.00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2080905</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军队转业干部安置</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25.00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2080999</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其他退役安置支出</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68.00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68.00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13"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20828</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退役军人管理事务</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897.34</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897.34</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20"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2082801</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6.09</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6.09</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20"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2082804</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拥军优属</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850.00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850.00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20"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2082850</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4.61</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4.61</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20"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2082899</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其他退役军人事务管理支出</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20"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20899</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其他社会保障和就业支出</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20"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2089901</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其他社会保障和就业支出</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20"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卫生健康支出</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56.85</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56.85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20"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行政事业单位医疗</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0.71</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0.71</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20"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2101101</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0.71</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0.71</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20"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21014</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优抚对象医疗</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56.14</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56.14</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20"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2101401</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优抚对象医疗补助</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56.14</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56.14</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20"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221</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20"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20" w:hRule="atLeast"/>
        </w:trPr>
        <w:tc>
          <w:tcPr>
            <w:tcW w:w="14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394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bl>
    <w:p>
      <w:pPr>
        <w:widowControl/>
        <w:jc w:val="left"/>
      </w:pPr>
      <w:r>
        <w:rPr>
          <w:rFonts w:ascii="宋体" w:hAnsi="宋体" w:cs="宋体"/>
          <w:szCs w:val="21"/>
        </w:rPr>
        <w:br w:type="textWrapping" w:clear="all"/>
      </w: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公开03表</w:t>
      </w:r>
    </w:p>
    <w:p>
      <w:pPr>
        <w:rPr>
          <w:rFonts w:ascii="宋体" w:hAnsi="宋体" w:cs="宋体"/>
          <w:b/>
          <w:bCs/>
          <w:sz w:val="48"/>
          <w:szCs w:val="48"/>
        </w:rPr>
      </w:pPr>
      <w:r>
        <w:rPr>
          <w:rFonts w:hint="eastAsia" w:ascii="宋体" w:hAnsi="宋体" w:cs="宋体"/>
          <w:b/>
          <w:bCs/>
          <w:szCs w:val="21"/>
        </w:rPr>
        <w:t>编制部门：                                                            金额单位：万元</w:t>
      </w:r>
    </w:p>
    <w:tbl>
      <w:tblPr>
        <w:tblStyle w:val="8"/>
        <w:tblW w:w="13975" w:type="dxa"/>
        <w:tblInd w:w="0" w:type="dxa"/>
        <w:tblLayout w:type="fixed"/>
        <w:tblCellMar>
          <w:top w:w="15" w:type="dxa"/>
          <w:left w:w="15" w:type="dxa"/>
          <w:bottom w:w="15" w:type="dxa"/>
          <w:right w:w="15" w:type="dxa"/>
        </w:tblCellMar>
      </w:tblPr>
      <w:tblGrid>
        <w:gridCol w:w="1436"/>
        <w:gridCol w:w="130"/>
        <w:gridCol w:w="1916"/>
        <w:gridCol w:w="1971"/>
        <w:gridCol w:w="1550"/>
        <w:gridCol w:w="1691"/>
        <w:gridCol w:w="1742"/>
        <w:gridCol w:w="1426"/>
        <w:gridCol w:w="2113"/>
      </w:tblGrid>
      <w:tr>
        <w:tblPrEx>
          <w:tblCellMar>
            <w:top w:w="15" w:type="dxa"/>
            <w:left w:w="15" w:type="dxa"/>
            <w:bottom w:w="15" w:type="dxa"/>
            <w:right w:w="15" w:type="dxa"/>
          </w:tblCellMar>
        </w:tblPrEx>
        <w:trPr>
          <w:trHeight w:val="64" w:hRule="atLeast"/>
        </w:trPr>
        <w:tc>
          <w:tcPr>
            <w:tcW w:w="34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9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5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6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7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122" w:hRule="atLeast"/>
        </w:trPr>
        <w:tc>
          <w:tcPr>
            <w:tcW w:w="15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9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5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6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7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64" w:hRule="atLeast"/>
        </w:trPr>
        <w:tc>
          <w:tcPr>
            <w:tcW w:w="34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3,886.52</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190.30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20132</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组织事务</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2013204</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公务员事务</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205</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教育支出</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20501</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教育管理事务</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2050199</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其他教育管理事务支出</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4,011.12</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3,820.82</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190.30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2080505</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20808</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抚恤</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2,171.91</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2,171.91</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2080804</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优抚事业单位支出</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2.64</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2.64</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2080899</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其他优抚支出</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2,169.27</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2,169.27</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退役安置</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932.95</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742.65</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190.30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2080901</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退役士兵安置</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542.00</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542.00</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2080902</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军队移交政府的离退休人员安置</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190.30</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190.30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2080903</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军队移交政府离退休干部管理机构</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12.65</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12.65</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2080904</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退役士兵管理教育</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95.00</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95.00</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2080905</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军队转业干部安置</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25.00</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25.00</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2080999</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其他退役安置支出</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68.00</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68.00</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20828</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退役军人管理事务</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897.34</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897.34</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2082801</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6.09</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6.09</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2082804</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拥军优属</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850.00</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850.00</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2082850</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4.61</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4.61</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2082899</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其他退役军人事务管理支出</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20899</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其他社会保障和就业支出</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7.20</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7.20</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2089901</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其他社会保障和就业支出</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7.20</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7.20</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卫生健康支出</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56.85</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56.85</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行政事业单位医疗</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0.71</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0.71</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2101101</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0.71</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0.71</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21014</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优抚对象医疗</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56.14</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56.14</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2101401</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优抚对象医疗补助</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56.14</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56.14</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221</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64" w:hRule="atLeast"/>
        </w:trPr>
        <w:tc>
          <w:tcPr>
            <w:tcW w:w="14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2046"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9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6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8"/>
        <w:tblW w:w="13764" w:type="dxa"/>
        <w:tblInd w:w="0" w:type="dxa"/>
        <w:tblLayout w:type="fixed"/>
        <w:tblCellMar>
          <w:top w:w="15" w:type="dxa"/>
          <w:left w:w="15" w:type="dxa"/>
          <w:bottom w:w="15" w:type="dxa"/>
          <w:right w:w="15" w:type="dxa"/>
        </w:tblCellMar>
      </w:tblPr>
      <w:tblGrid>
        <w:gridCol w:w="2696"/>
        <w:gridCol w:w="1698"/>
        <w:gridCol w:w="4275"/>
        <w:gridCol w:w="1794"/>
        <w:gridCol w:w="1743"/>
        <w:gridCol w:w="1558"/>
      </w:tblGrid>
      <w:tr>
        <w:tblPrEx>
          <w:tblCellMar>
            <w:top w:w="15" w:type="dxa"/>
            <w:left w:w="15" w:type="dxa"/>
            <w:bottom w:w="15" w:type="dxa"/>
            <w:right w:w="15" w:type="dxa"/>
          </w:tblCellMar>
        </w:tblPrEx>
        <w:trPr>
          <w:trHeight w:val="248" w:hRule="atLeast"/>
        </w:trPr>
        <w:tc>
          <w:tcPr>
            <w:tcW w:w="4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937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rPr>
          <w:trHeight w:val="690"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5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469"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469"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469"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4,011.12</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4,011.12</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56.85</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56.85</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248"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7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rPr>
          <w:trHeight w:val="255" w:hRule="atLeast"/>
        </w:trPr>
        <w:tc>
          <w:tcPr>
            <w:tcW w:w="2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6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4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794"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743"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8" w:type="dxa"/>
            <w:tcBorders>
              <w:top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8"/>
        <w:tblW w:w="13996" w:type="dxa"/>
        <w:tblInd w:w="0" w:type="dxa"/>
        <w:tblLayout w:type="fixed"/>
        <w:tblCellMar>
          <w:top w:w="15" w:type="dxa"/>
          <w:left w:w="15" w:type="dxa"/>
          <w:bottom w:w="15" w:type="dxa"/>
          <w:right w:w="15" w:type="dxa"/>
        </w:tblCellMar>
      </w:tblPr>
      <w:tblGrid>
        <w:gridCol w:w="3162"/>
        <w:gridCol w:w="2456"/>
        <w:gridCol w:w="2867"/>
        <w:gridCol w:w="1943"/>
        <w:gridCol w:w="1676"/>
        <w:gridCol w:w="1892"/>
      </w:tblGrid>
      <w:tr>
        <w:tblPrEx>
          <w:tblCellMar>
            <w:top w:w="15" w:type="dxa"/>
            <w:left w:w="15" w:type="dxa"/>
            <w:bottom w:w="15" w:type="dxa"/>
            <w:right w:w="15" w:type="dxa"/>
          </w:tblCellMar>
        </w:tblPrEx>
        <w:trPr>
          <w:trHeight w:val="267" w:hRule="atLeast"/>
        </w:trPr>
        <w:tc>
          <w:tcPr>
            <w:tcW w:w="56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837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463" w:hRule="atLeast"/>
        </w:trPr>
        <w:tc>
          <w:tcPr>
            <w:tcW w:w="3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2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357" w:hRule="atLeast"/>
        </w:trPr>
        <w:tc>
          <w:tcPr>
            <w:tcW w:w="3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24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c>
          <w:tcPr>
            <w:tcW w:w="2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9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c>
          <w:tcPr>
            <w:tcW w:w="16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c>
          <w:tcPr>
            <w:tcW w:w="18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57" w:hRule="atLeast"/>
        </w:trPr>
        <w:tc>
          <w:tcPr>
            <w:tcW w:w="3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24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9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57" w:hRule="atLeast"/>
        </w:trPr>
        <w:tc>
          <w:tcPr>
            <w:tcW w:w="31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24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16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18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r>
      <w:tr>
        <w:tblPrEx>
          <w:tblCellMar>
            <w:top w:w="15" w:type="dxa"/>
            <w:left w:w="15" w:type="dxa"/>
            <w:bottom w:w="15" w:type="dxa"/>
            <w:right w:w="15" w:type="dxa"/>
          </w:tblCellMar>
        </w:tblPrEx>
        <w:trPr>
          <w:trHeight w:val="357" w:hRule="atLeast"/>
        </w:trPr>
        <w:tc>
          <w:tcPr>
            <w:tcW w:w="31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24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9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16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c>
          <w:tcPr>
            <w:tcW w:w="18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　</w:t>
            </w:r>
          </w:p>
        </w:tc>
      </w:tr>
      <w:tr>
        <w:tblPrEx>
          <w:tblCellMar>
            <w:top w:w="15" w:type="dxa"/>
            <w:left w:w="15" w:type="dxa"/>
            <w:bottom w:w="15" w:type="dxa"/>
            <w:right w:w="15" w:type="dxa"/>
          </w:tblCellMar>
        </w:tblPrEx>
        <w:trPr>
          <w:trHeight w:val="260" w:hRule="atLeast"/>
        </w:trPr>
        <w:tc>
          <w:tcPr>
            <w:tcW w:w="3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245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c>
          <w:tcPr>
            <w:tcW w:w="2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9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c>
          <w:tcPr>
            <w:tcW w:w="16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c>
          <w:tcPr>
            <w:tcW w:w="18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公开05表</w:t>
      </w:r>
    </w:p>
    <w:p>
      <w:pPr>
        <w:rPr>
          <w:rFonts w:ascii="宋体" w:hAnsi="宋体" w:cs="宋体"/>
          <w:b/>
          <w:bCs/>
          <w:szCs w:val="21"/>
        </w:rPr>
      </w:pPr>
      <w:r>
        <w:rPr>
          <w:rFonts w:hint="eastAsia" w:ascii="宋体" w:hAnsi="宋体" w:cs="宋体"/>
          <w:b/>
          <w:bCs/>
          <w:szCs w:val="21"/>
        </w:rPr>
        <w:t>编制部门：                                                           金额单位：万元</w:t>
      </w:r>
    </w:p>
    <w:tbl>
      <w:tblPr>
        <w:tblStyle w:val="8"/>
        <w:tblW w:w="13765" w:type="dxa"/>
        <w:tblInd w:w="0" w:type="dxa"/>
        <w:tblLayout w:type="fixed"/>
        <w:tblCellMar>
          <w:top w:w="15" w:type="dxa"/>
          <w:left w:w="15" w:type="dxa"/>
          <w:bottom w:w="15" w:type="dxa"/>
          <w:right w:w="15" w:type="dxa"/>
        </w:tblCellMar>
      </w:tblPr>
      <w:tblGrid>
        <w:gridCol w:w="1867"/>
        <w:gridCol w:w="2968"/>
        <w:gridCol w:w="1604"/>
        <w:gridCol w:w="1626"/>
        <w:gridCol w:w="1492"/>
        <w:gridCol w:w="1658"/>
        <w:gridCol w:w="1626"/>
        <w:gridCol w:w="924"/>
      </w:tblGrid>
      <w:tr>
        <w:tblPrEx>
          <w:tblCellMar>
            <w:top w:w="15" w:type="dxa"/>
            <w:left w:w="15" w:type="dxa"/>
            <w:bottom w:w="15" w:type="dxa"/>
            <w:right w:w="15" w:type="dxa"/>
          </w:tblCellMar>
        </w:tblPrEx>
        <w:trPr>
          <w:trHeight w:val="347" w:hRule="atLeast"/>
        </w:trPr>
        <w:tc>
          <w:tcPr>
            <w:tcW w:w="48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4776"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6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54"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6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47" w:hRule="atLeast"/>
        </w:trPr>
        <w:tc>
          <w:tcPr>
            <w:tcW w:w="48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4,076.82</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3,886.52</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3,831.17</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55.35</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190.30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0"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一般公共服务支出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20132</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组织事务</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2013204</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公务员事务</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205</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教育支出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20501</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教育管理事务</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2050199</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其他教育管理事务支出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4,011.12</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3,820.82</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3,773.47</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47.35</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190.30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2080505</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20808</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抚恤</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2,171.91</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2,171.91</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2,169.27</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2.64</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2080804</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优抚事业单位支出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2.64</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2.64</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2.64</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2080899</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其他优抚支出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2,169.27</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2,169.27</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2,169.27</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退役安置</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932.95</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742.65</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735.06</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7.59</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190.30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2080901</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退役士兵安置</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542.00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542.00</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542.00</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2080902</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军队移交政府的离退休人员安置</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190.30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190.30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2080903</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军队移交政府离退休干部管理机构</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12.65</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12.65</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5.06</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7.59</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2080904</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退役士兵管理教育</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95.00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95.00</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95.00</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2080905</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军队转业干部安置</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25.00</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25.00</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2080999</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其他退役安置支出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68.00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68.00</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68.00</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20828</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退役军人管理事务</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897.34</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897.34</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860.22</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37.12</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7"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2082801</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行政运行</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6.09</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6.09</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5.61</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0.48</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6"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2082804</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拥军优属</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850.00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850.00</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850.00</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6"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2082850</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事业运行</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4.61</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4.61</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4.61</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56"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2082899</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其他退役军人事务管理支出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36.64</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6"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20899</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其他社会保障和就业支出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7.20</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7.20</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56"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2089901</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其他社会保障和就业支出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7.20</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7.20</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6"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卫生健康支出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56.85</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56.85</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56.85</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6"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行政事业单位医疗</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0.71</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0.71</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0.71</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56"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2101101</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行政单位医疗</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0.71</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0.71</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0.71</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6"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21014</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优抚对象医疗</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56.14</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56.14</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56.14</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6"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2101401</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优抚对象医疗补助</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56.14</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56.14</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56.14</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6"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221</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住房保障支出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56"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22102</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住房改革支出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56" w:hRule="atLeast"/>
        </w:trPr>
        <w:tc>
          <w:tcPr>
            <w:tcW w:w="18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2210201</w:t>
            </w:r>
          </w:p>
        </w:tc>
        <w:tc>
          <w:tcPr>
            <w:tcW w:w="29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4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6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tabs>
          <w:tab w:val="left" w:pos="1701"/>
        </w:tabs>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8"/>
        <w:tblW w:w="13393" w:type="dxa"/>
        <w:tblInd w:w="0" w:type="dxa"/>
        <w:tblLayout w:type="fixed"/>
        <w:tblCellMar>
          <w:top w:w="15" w:type="dxa"/>
          <w:left w:w="15" w:type="dxa"/>
          <w:bottom w:w="15" w:type="dxa"/>
          <w:right w:w="15" w:type="dxa"/>
        </w:tblCellMar>
      </w:tblPr>
      <w:tblGrid>
        <w:gridCol w:w="1830"/>
        <w:gridCol w:w="3572"/>
        <w:gridCol w:w="2623"/>
        <w:gridCol w:w="2271"/>
        <w:gridCol w:w="2155"/>
        <w:gridCol w:w="942"/>
      </w:tblGrid>
      <w:tr>
        <w:tblPrEx>
          <w:tblCellMar>
            <w:top w:w="15" w:type="dxa"/>
            <w:left w:w="15" w:type="dxa"/>
            <w:bottom w:w="15" w:type="dxa"/>
            <w:right w:w="15" w:type="dxa"/>
          </w:tblCellMar>
        </w:tblPrEx>
        <w:trPr>
          <w:trHeight w:val="361" w:hRule="atLeast"/>
        </w:trPr>
        <w:tc>
          <w:tcPr>
            <w:tcW w:w="54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26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2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2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widowControl/>
              <w:ind w:right="-405" w:rightChars="-193"/>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557"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35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26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22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2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rPr>
          <w:trHeight w:val="361" w:hRule="atLeast"/>
        </w:trPr>
        <w:tc>
          <w:tcPr>
            <w:tcW w:w="54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2623" w:type="dxa"/>
            <w:tcBorders>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3,886.52</w:t>
            </w:r>
          </w:p>
        </w:tc>
        <w:tc>
          <w:tcPr>
            <w:tcW w:w="2271" w:type="dxa"/>
            <w:tcBorders>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3,831.17</w:t>
            </w:r>
          </w:p>
        </w:tc>
        <w:tc>
          <w:tcPr>
            <w:tcW w:w="2155" w:type="dxa"/>
            <w:tcBorders>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55.35</w:t>
            </w:r>
          </w:p>
        </w:tc>
        <w:tc>
          <w:tcPr>
            <w:tcW w:w="942"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工资福利支出</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18.56</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30101</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基本工资</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9.34</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30102</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津贴补贴</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3.17</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30103</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奖金</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0.15</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30107</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绩效工资</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2.77</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30108</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1.72</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30110</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职工基本医疗保险缴费</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0.71</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30113</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0.70</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商品和服务支出</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55.35</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30201</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办公费</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29.27</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30202</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印刷费</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30205</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水费</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30206</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电费</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30209</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物业管理费</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2.50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30211</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差旅费</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30215</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会议费</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30216</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培训费</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1"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30217</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公务接待费</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69"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30239</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其他交通费用</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0.48</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303</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对个人和家庭的补助</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3,812.61</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69"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30303</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退职（役）费</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542.00</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369"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30304</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抚恤金</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2,169.27</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9"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30399</w:t>
            </w:r>
          </w:p>
        </w:tc>
        <w:tc>
          <w:tcPr>
            <w:tcW w:w="35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 xml:space="preserve">  其他对个人和家庭的补助</w:t>
            </w:r>
          </w:p>
        </w:tc>
        <w:tc>
          <w:tcPr>
            <w:tcW w:w="2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2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1,101.34</w:t>
            </w:r>
          </w:p>
        </w:tc>
        <w:tc>
          <w:tcPr>
            <w:tcW w:w="2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公开07表</w:t>
      </w:r>
    </w:p>
    <w:p>
      <w:pPr>
        <w:rPr>
          <w:rFonts w:ascii="宋体" w:hAnsi="宋体" w:cs="宋体"/>
          <w:b/>
          <w:bCs/>
          <w:szCs w:val="21"/>
        </w:rPr>
      </w:pPr>
      <w:r>
        <w:rPr>
          <w:rFonts w:hint="eastAsia" w:ascii="宋体" w:hAnsi="宋体" w:cs="宋体"/>
          <w:b/>
          <w:bCs/>
          <w:szCs w:val="21"/>
        </w:rPr>
        <w:t>编制部门：                                                            金额单位：万元</w:t>
      </w:r>
    </w:p>
    <w:tbl>
      <w:tblPr>
        <w:tblStyle w:val="8"/>
        <w:tblW w:w="13782" w:type="dxa"/>
        <w:tblInd w:w="0" w:type="dxa"/>
        <w:tblLayout w:type="fixed"/>
        <w:tblCellMar>
          <w:top w:w="15" w:type="dxa"/>
          <w:left w:w="15" w:type="dxa"/>
          <w:bottom w:w="15" w:type="dxa"/>
          <w:right w:w="15" w:type="dxa"/>
        </w:tblCellMar>
      </w:tblPr>
      <w:tblGrid>
        <w:gridCol w:w="1679"/>
        <w:gridCol w:w="1532"/>
        <w:gridCol w:w="1738"/>
        <w:gridCol w:w="1366"/>
        <w:gridCol w:w="1366"/>
        <w:gridCol w:w="1553"/>
        <w:gridCol w:w="1851"/>
        <w:gridCol w:w="1201"/>
        <w:gridCol w:w="1496"/>
      </w:tblGrid>
      <w:tr>
        <w:tblPrEx>
          <w:tblCellMar>
            <w:top w:w="15" w:type="dxa"/>
            <w:left w:w="15" w:type="dxa"/>
            <w:bottom w:w="15" w:type="dxa"/>
            <w:right w:w="15" w:type="dxa"/>
          </w:tblCellMar>
        </w:tblPrEx>
        <w:trPr>
          <w:trHeight w:val="728" w:hRule="atLeast"/>
        </w:trPr>
        <w:tc>
          <w:tcPr>
            <w:tcW w:w="16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9406"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12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8" w:hRule="atLeast"/>
        </w:trPr>
        <w:tc>
          <w:tcPr>
            <w:tcW w:w="1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5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7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13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47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12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6" w:hRule="atLeast"/>
        </w:trPr>
        <w:tc>
          <w:tcPr>
            <w:tcW w:w="1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12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8" w:hRule="atLeast"/>
        </w:trPr>
        <w:tc>
          <w:tcPr>
            <w:tcW w:w="1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13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1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14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8"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15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0.10</w:t>
            </w:r>
          </w:p>
        </w:tc>
        <w:tc>
          <w:tcPr>
            <w:tcW w:w="17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0.10</w:t>
            </w:r>
          </w:p>
        </w:tc>
        <w:tc>
          <w:tcPr>
            <w:tcW w:w="13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2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1.00</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10.00</w:t>
            </w:r>
          </w:p>
        </w:tc>
      </w:tr>
      <w:tr>
        <w:tblPrEx>
          <w:tblCellMar>
            <w:top w:w="15" w:type="dxa"/>
            <w:left w:w="15" w:type="dxa"/>
            <w:bottom w:w="15" w:type="dxa"/>
            <w:right w:w="15" w:type="dxa"/>
          </w:tblCellMar>
        </w:tblPrEx>
        <w:trPr>
          <w:trHeight w:val="741"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153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0.10</w:t>
            </w:r>
          </w:p>
        </w:tc>
        <w:tc>
          <w:tcPr>
            <w:tcW w:w="17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0.10</w:t>
            </w:r>
          </w:p>
        </w:tc>
        <w:tc>
          <w:tcPr>
            <w:tcW w:w="13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55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2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1.00</w:t>
            </w:r>
          </w:p>
        </w:tc>
        <w:tc>
          <w:tcPr>
            <w:tcW w:w="14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10.00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8"/>
        <w:tblW w:w="13685" w:type="dxa"/>
        <w:tblInd w:w="0" w:type="dxa"/>
        <w:tblLayout w:type="fixed"/>
        <w:tblCellMar>
          <w:top w:w="15" w:type="dxa"/>
          <w:left w:w="15" w:type="dxa"/>
          <w:bottom w:w="15" w:type="dxa"/>
          <w:right w:w="15" w:type="dxa"/>
        </w:tblCellMar>
      </w:tblPr>
      <w:tblGrid>
        <w:gridCol w:w="1577"/>
        <w:gridCol w:w="2067"/>
        <w:gridCol w:w="1617"/>
        <w:gridCol w:w="1526"/>
        <w:gridCol w:w="1433"/>
        <w:gridCol w:w="1617"/>
        <w:gridCol w:w="1580"/>
        <w:gridCol w:w="2268"/>
      </w:tblGrid>
      <w:tr>
        <w:tblPrEx>
          <w:tblCellMar>
            <w:top w:w="15" w:type="dxa"/>
            <w:left w:w="15" w:type="dxa"/>
            <w:bottom w:w="15" w:type="dxa"/>
            <w:right w:w="15" w:type="dxa"/>
          </w:tblCellMar>
        </w:tblPrEx>
        <w:trPr>
          <w:trHeight w:val="421" w:hRule="atLeast"/>
        </w:trPr>
        <w:tc>
          <w:tcPr>
            <w:tcW w:w="36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4630"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22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763"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5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2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21" w:hRule="atLeast"/>
        </w:trPr>
        <w:tc>
          <w:tcPr>
            <w:tcW w:w="36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17"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6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5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21"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0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7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1"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0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7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1"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0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7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1"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0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7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rPr>
          <w:trHeight w:val="441" w:hRule="atLeast"/>
        </w:trPr>
        <w:tc>
          <w:tcPr>
            <w:tcW w:w="157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20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6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color w:val="000000"/>
          <w:kern w:val="0"/>
          <w:szCs w:val="21"/>
        </w:rPr>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r>
        <w:rPr>
          <w:rFonts w:ascii="宋体" w:hAnsi="宋体" w:cs="宋体"/>
          <w:color w:val="000000"/>
          <w:kern w:val="0"/>
          <w:szCs w:val="21"/>
        </w:rPr>
        <w:br w:type="page"/>
      </w:r>
    </w:p>
    <w:p>
      <w:pPr>
        <w:widowControl/>
        <w:jc w:val="left"/>
        <w:sectPr>
          <w:pgSz w:w="16838" w:h="11906" w:orient="landscape"/>
          <w:pgMar w:top="567" w:right="567" w:bottom="567" w:left="1134" w:header="851" w:footer="992" w:gutter="0"/>
          <w:cols w:space="0" w:num="1"/>
          <w:docGrid w:type="lines" w:linePitch="315" w:charSpace="0"/>
        </w:sect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2019年本部门收入4076.82万元，其中一般公共预算收入4076.82万元，比上年无增减变化，主要原因是本部门为2019年机改新成立单位。</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2019年本部门支出4076.82万元，其中一般公共预算支出4076.82万元，比上年无增减变化，主要原因是本部门为2019年机改新成立单位。</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rPr>
        <w:t>4076.82</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rPr>
        <w:t>4076.82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元，经营收入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元，其他收入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元</w:t>
      </w:r>
      <w:r>
        <w:rPr>
          <w:rFonts w:hint="eastAsia" w:ascii="仿宋_GB2312" w:hAnsi="宋体" w:eastAsia="仿宋_GB2312" w:cs="仿宋_GB2312"/>
          <w:color w:val="000000"/>
          <w:kern w:val="0"/>
          <w:sz w:val="32"/>
          <w:szCs w:val="32"/>
        </w:rPr>
        <w:t>。</w:t>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rPr>
        <w:t>4076.82</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3886.52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95.3</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190.3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4.7</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元。</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本部门财政拨款收入4076.82万元，其中一般公共预算拨款收入4076.82万元，比上年无增减变化，主要原因是本部门为2019年机改新成立单位；2019年本部门财政拨款支出4076.82万元，其中一般公共预算拨款支出4076.82万元，比上年无增减变化，主要原因是本部门为2019年机改新成立单位。</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仿宋" w:eastAsia="仿宋_GB2312"/>
          <w:sz w:val="32"/>
          <w:szCs w:val="32"/>
        </w:rPr>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rPr>
        <w:t>4076.82</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仿宋" w:eastAsia="仿宋_GB2312"/>
          <w:sz w:val="32"/>
          <w:szCs w:val="32"/>
        </w:rPr>
        <w:t>无增减变化，主要原因是本部门为2019年机改新成立单位。</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rPr>
        <w:t>4076.82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4076.82</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pPr>
      <w:r>
        <w:rPr>
          <w:rFonts w:ascii="仿宋_GB2312" w:hAnsi="宋体" w:eastAsia="仿宋_GB2312" w:cs="仿宋_GB2312"/>
          <w:b/>
          <w:color w:val="000000"/>
          <w:kern w:val="0"/>
          <w:sz w:val="32"/>
          <w:szCs w:val="32"/>
        </w:rPr>
        <w:t>1.一般公共服务支出</w:t>
      </w:r>
      <w:r>
        <w:rPr>
          <w:rFonts w:hint="eastAsia" w:ascii="仿宋_GB2312" w:hAnsi="宋体" w:eastAsia="仿宋_GB2312" w:cs="仿宋_GB2312"/>
          <w:b/>
          <w:color w:val="000000"/>
          <w:kern w:val="0"/>
          <w:sz w:val="32"/>
          <w:szCs w:val="32"/>
        </w:rPr>
        <w:t>(类)组织</w:t>
      </w:r>
      <w:r>
        <w:rPr>
          <w:rFonts w:ascii="仿宋_GB2312" w:hAnsi="宋体" w:eastAsia="仿宋_GB2312" w:cs="仿宋_GB2312"/>
          <w:b/>
          <w:color w:val="000000"/>
          <w:kern w:val="0"/>
          <w:sz w:val="32"/>
          <w:szCs w:val="32"/>
        </w:rPr>
        <w:t>事务（</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公务员事务</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 xml:space="preserve">）。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0.15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0.15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pPr>
      <w:r>
        <w:rPr>
          <w:rFonts w:ascii="仿宋_GB2312" w:hAnsi="宋体" w:eastAsia="仿宋_GB2312" w:cs="仿宋_GB2312"/>
          <w:b/>
          <w:color w:val="000000"/>
          <w:kern w:val="0"/>
          <w:sz w:val="32"/>
          <w:szCs w:val="32"/>
        </w:rPr>
        <w:t xml:space="preserve">2. </w:t>
      </w:r>
      <w:r>
        <w:rPr>
          <w:rFonts w:hint="eastAsia" w:ascii="仿宋_GB2312" w:hAnsi="宋体" w:eastAsia="仿宋_GB2312" w:cs="仿宋_GB2312"/>
          <w:b/>
          <w:color w:val="000000"/>
          <w:kern w:val="0"/>
          <w:sz w:val="32"/>
          <w:szCs w:val="32"/>
        </w:rPr>
        <w:t>教育支出(类)教育管理事务</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其他教育管理事务支出</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 xml:space="preserve">）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 xml:space="preserve">3. </w:t>
      </w:r>
      <w:r>
        <w:rPr>
          <w:rFonts w:hint="eastAsia" w:ascii="仿宋_GB2312" w:hAnsi="宋体" w:eastAsia="仿宋_GB2312" w:cs="仿宋_GB2312"/>
          <w:b/>
          <w:color w:val="000000"/>
          <w:kern w:val="0"/>
          <w:sz w:val="32"/>
          <w:szCs w:val="32"/>
        </w:rPr>
        <w:t>社会保障和就业</w:t>
      </w:r>
      <w:r>
        <w:rPr>
          <w:rFonts w:ascii="仿宋_GB2312" w:hAnsi="宋体" w:eastAsia="仿宋_GB2312" w:cs="仿宋_GB2312"/>
          <w:b/>
          <w:color w:val="000000"/>
          <w:kern w:val="0"/>
          <w:sz w:val="32"/>
          <w:szCs w:val="32"/>
        </w:rPr>
        <w:t>支出</w:t>
      </w:r>
      <w:r>
        <w:rPr>
          <w:rFonts w:hint="eastAsia" w:ascii="仿宋_GB2312" w:hAnsi="宋体" w:eastAsia="仿宋_GB2312" w:cs="仿宋_GB2312"/>
          <w:b/>
          <w:color w:val="000000"/>
          <w:kern w:val="0"/>
          <w:sz w:val="32"/>
          <w:szCs w:val="32"/>
        </w:rPr>
        <w:t>(类)行政事业单位离退休</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机关事业单位基本养老保险缴费支出</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1.72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1.72</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 xml:space="preserve">4. </w:t>
      </w:r>
      <w:r>
        <w:rPr>
          <w:rFonts w:hint="eastAsia" w:ascii="仿宋_GB2312" w:hAnsi="宋体" w:eastAsia="仿宋_GB2312" w:cs="仿宋_GB2312"/>
          <w:b/>
          <w:color w:val="000000"/>
          <w:kern w:val="0"/>
          <w:sz w:val="32"/>
          <w:szCs w:val="32"/>
        </w:rPr>
        <w:t>社会保障和就业</w:t>
      </w:r>
      <w:r>
        <w:rPr>
          <w:rFonts w:ascii="仿宋_GB2312" w:hAnsi="宋体" w:eastAsia="仿宋_GB2312" w:cs="仿宋_GB2312"/>
          <w:b/>
          <w:color w:val="000000"/>
          <w:kern w:val="0"/>
          <w:sz w:val="32"/>
          <w:szCs w:val="32"/>
        </w:rPr>
        <w:t>支出</w:t>
      </w:r>
      <w:r>
        <w:rPr>
          <w:rFonts w:hint="eastAsia" w:ascii="仿宋_GB2312" w:hAnsi="宋体" w:eastAsia="仿宋_GB2312" w:cs="仿宋_GB2312"/>
          <w:b/>
          <w:color w:val="000000"/>
          <w:kern w:val="0"/>
          <w:sz w:val="32"/>
          <w:szCs w:val="32"/>
        </w:rPr>
        <w:t>(类)抚恤</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优抚事业单位支出</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2.64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2.64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left="160" w:leftChars="76" w:firstLine="549" w:firstLineChars="171"/>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5.</w:t>
      </w:r>
      <w:r>
        <w:rPr>
          <w:rFonts w:hint="eastAsia" w:ascii="仿宋_GB2312" w:hAnsi="宋体" w:eastAsia="仿宋_GB2312" w:cs="仿宋_GB2312"/>
          <w:b/>
          <w:color w:val="000000"/>
          <w:kern w:val="0"/>
          <w:sz w:val="32"/>
          <w:szCs w:val="32"/>
        </w:rPr>
        <w:t xml:space="preserve"> 社会保障和就业</w:t>
      </w:r>
      <w:r>
        <w:rPr>
          <w:rFonts w:ascii="仿宋_GB2312" w:hAnsi="宋体" w:eastAsia="仿宋_GB2312" w:cs="仿宋_GB2312"/>
          <w:b/>
          <w:color w:val="000000"/>
          <w:kern w:val="0"/>
          <w:sz w:val="32"/>
          <w:szCs w:val="32"/>
        </w:rPr>
        <w:t>支出</w:t>
      </w:r>
      <w:r>
        <w:rPr>
          <w:rFonts w:hint="eastAsia" w:ascii="仿宋_GB2312" w:hAnsi="宋体" w:eastAsia="仿宋_GB2312" w:cs="仿宋_GB2312"/>
          <w:b/>
          <w:color w:val="000000"/>
          <w:kern w:val="0"/>
          <w:sz w:val="32"/>
          <w:szCs w:val="32"/>
        </w:rPr>
        <w:t>(类)抚恤</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其他抚恤支出</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w:t>
      </w:r>
    </w:p>
    <w:p>
      <w:pPr>
        <w:widowControl/>
        <w:ind w:left="160" w:leftChars="76" w:firstLine="547" w:firstLineChars="171"/>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2169.27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2169.27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pPr>
      <w:r>
        <w:rPr>
          <w:rFonts w:ascii="仿宋_GB2312" w:hAnsi="宋体" w:eastAsia="仿宋_GB2312" w:cs="仿宋_GB2312"/>
          <w:b/>
          <w:color w:val="000000"/>
          <w:kern w:val="0"/>
          <w:sz w:val="32"/>
          <w:szCs w:val="32"/>
        </w:rPr>
        <w:t>6.</w:t>
      </w:r>
      <w:r>
        <w:rPr>
          <w:rFonts w:hint="eastAsia" w:ascii="仿宋_GB2312" w:hAnsi="宋体" w:eastAsia="仿宋_GB2312" w:cs="仿宋_GB2312"/>
          <w:b/>
          <w:color w:val="000000"/>
          <w:kern w:val="0"/>
          <w:sz w:val="32"/>
          <w:szCs w:val="32"/>
        </w:rPr>
        <w:t xml:space="preserve"> 社会保障和就业</w:t>
      </w:r>
      <w:r>
        <w:rPr>
          <w:rFonts w:ascii="仿宋_GB2312" w:hAnsi="宋体" w:eastAsia="仿宋_GB2312" w:cs="仿宋_GB2312"/>
          <w:b/>
          <w:color w:val="000000"/>
          <w:kern w:val="0"/>
          <w:sz w:val="32"/>
          <w:szCs w:val="32"/>
        </w:rPr>
        <w:t>支出</w:t>
      </w:r>
      <w:r>
        <w:rPr>
          <w:rFonts w:hint="eastAsia" w:ascii="仿宋_GB2312" w:hAnsi="宋体" w:eastAsia="仿宋_GB2312" w:cs="仿宋_GB2312"/>
          <w:b/>
          <w:color w:val="000000"/>
          <w:kern w:val="0"/>
          <w:sz w:val="32"/>
          <w:szCs w:val="32"/>
        </w:rPr>
        <w:t>(类)退役安置</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退役士兵安置</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 xml:space="preserve">）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542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542</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 xml:space="preserve">7. </w:t>
      </w:r>
      <w:r>
        <w:rPr>
          <w:rFonts w:hint="eastAsia" w:ascii="仿宋_GB2312" w:hAnsi="宋体" w:eastAsia="仿宋_GB2312" w:cs="仿宋_GB2312"/>
          <w:b/>
          <w:color w:val="000000"/>
          <w:kern w:val="0"/>
          <w:sz w:val="32"/>
          <w:szCs w:val="32"/>
        </w:rPr>
        <w:t>社会保障和就业</w:t>
      </w:r>
      <w:r>
        <w:rPr>
          <w:rFonts w:ascii="仿宋_GB2312" w:hAnsi="宋体" w:eastAsia="仿宋_GB2312" w:cs="仿宋_GB2312"/>
          <w:b/>
          <w:color w:val="000000"/>
          <w:kern w:val="0"/>
          <w:sz w:val="32"/>
          <w:szCs w:val="32"/>
        </w:rPr>
        <w:t>支出</w:t>
      </w:r>
      <w:r>
        <w:rPr>
          <w:rFonts w:hint="eastAsia" w:ascii="仿宋_GB2312" w:hAnsi="宋体" w:eastAsia="仿宋_GB2312" w:cs="仿宋_GB2312"/>
          <w:b/>
          <w:color w:val="000000"/>
          <w:kern w:val="0"/>
          <w:sz w:val="32"/>
          <w:szCs w:val="32"/>
        </w:rPr>
        <w:t>(类) 退役安置</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军队移交政府的离退休人员安置</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190.3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190.3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 xml:space="preserve">8. </w:t>
      </w:r>
      <w:r>
        <w:rPr>
          <w:rFonts w:hint="eastAsia" w:ascii="仿宋_GB2312" w:hAnsi="宋体" w:eastAsia="仿宋_GB2312" w:cs="仿宋_GB2312"/>
          <w:b/>
          <w:color w:val="000000"/>
          <w:kern w:val="0"/>
          <w:sz w:val="32"/>
          <w:szCs w:val="32"/>
        </w:rPr>
        <w:t>社会保障和就业</w:t>
      </w:r>
      <w:r>
        <w:rPr>
          <w:rFonts w:ascii="仿宋_GB2312" w:hAnsi="宋体" w:eastAsia="仿宋_GB2312" w:cs="仿宋_GB2312"/>
          <w:b/>
          <w:color w:val="000000"/>
          <w:kern w:val="0"/>
          <w:sz w:val="32"/>
          <w:szCs w:val="32"/>
        </w:rPr>
        <w:t>支出</w:t>
      </w:r>
      <w:r>
        <w:rPr>
          <w:rFonts w:hint="eastAsia" w:ascii="仿宋_GB2312" w:hAnsi="宋体" w:eastAsia="仿宋_GB2312" w:cs="仿宋_GB2312"/>
          <w:b/>
          <w:color w:val="000000"/>
          <w:kern w:val="0"/>
          <w:sz w:val="32"/>
          <w:szCs w:val="32"/>
        </w:rPr>
        <w:t>(类) 退役安置</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军队移交政府离退休干部管理机构</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12.65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12.65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 xml:space="preserve">9. </w:t>
      </w:r>
      <w:r>
        <w:rPr>
          <w:rFonts w:hint="eastAsia" w:ascii="仿宋_GB2312" w:hAnsi="宋体" w:eastAsia="仿宋_GB2312" w:cs="仿宋_GB2312"/>
          <w:b/>
          <w:color w:val="000000"/>
          <w:kern w:val="0"/>
          <w:sz w:val="32"/>
          <w:szCs w:val="32"/>
        </w:rPr>
        <w:t>社会保障和就业</w:t>
      </w:r>
      <w:r>
        <w:rPr>
          <w:rFonts w:ascii="仿宋_GB2312" w:hAnsi="宋体" w:eastAsia="仿宋_GB2312" w:cs="仿宋_GB2312"/>
          <w:b/>
          <w:color w:val="000000"/>
          <w:kern w:val="0"/>
          <w:sz w:val="32"/>
          <w:szCs w:val="32"/>
        </w:rPr>
        <w:t>支出</w:t>
      </w:r>
      <w:r>
        <w:rPr>
          <w:rFonts w:hint="eastAsia" w:ascii="仿宋_GB2312" w:hAnsi="宋体" w:eastAsia="仿宋_GB2312" w:cs="仿宋_GB2312"/>
          <w:b/>
          <w:color w:val="000000"/>
          <w:kern w:val="0"/>
          <w:sz w:val="32"/>
          <w:szCs w:val="32"/>
        </w:rPr>
        <w:t>(类) 退役安置</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退役士兵管理教育</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95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95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 xml:space="preserve">10. </w:t>
      </w:r>
      <w:r>
        <w:rPr>
          <w:rFonts w:hint="eastAsia" w:ascii="仿宋_GB2312" w:hAnsi="宋体" w:eastAsia="仿宋_GB2312" w:cs="仿宋_GB2312"/>
          <w:b/>
          <w:color w:val="000000"/>
          <w:kern w:val="0"/>
          <w:sz w:val="32"/>
          <w:szCs w:val="32"/>
        </w:rPr>
        <w:t>社会保障和就业</w:t>
      </w:r>
      <w:r>
        <w:rPr>
          <w:rFonts w:ascii="仿宋_GB2312" w:hAnsi="宋体" w:eastAsia="仿宋_GB2312" w:cs="仿宋_GB2312"/>
          <w:b/>
          <w:color w:val="000000"/>
          <w:kern w:val="0"/>
          <w:sz w:val="32"/>
          <w:szCs w:val="32"/>
        </w:rPr>
        <w:t>支出</w:t>
      </w:r>
      <w:r>
        <w:rPr>
          <w:rFonts w:hint="eastAsia" w:ascii="仿宋_GB2312" w:hAnsi="宋体" w:eastAsia="仿宋_GB2312" w:cs="仿宋_GB2312"/>
          <w:b/>
          <w:color w:val="000000"/>
          <w:kern w:val="0"/>
          <w:sz w:val="32"/>
          <w:szCs w:val="32"/>
        </w:rPr>
        <w:t>(类) 退役安置</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军队转业干部安置</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25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 xml:space="preserve">11. </w:t>
      </w:r>
      <w:r>
        <w:rPr>
          <w:rFonts w:hint="eastAsia" w:ascii="仿宋_GB2312" w:hAnsi="宋体" w:eastAsia="仿宋_GB2312" w:cs="仿宋_GB2312"/>
          <w:b/>
          <w:color w:val="000000"/>
          <w:kern w:val="0"/>
          <w:sz w:val="32"/>
          <w:szCs w:val="32"/>
        </w:rPr>
        <w:t>社会保障和就业</w:t>
      </w:r>
      <w:r>
        <w:rPr>
          <w:rFonts w:ascii="仿宋_GB2312" w:hAnsi="宋体" w:eastAsia="仿宋_GB2312" w:cs="仿宋_GB2312"/>
          <w:b/>
          <w:color w:val="000000"/>
          <w:kern w:val="0"/>
          <w:sz w:val="32"/>
          <w:szCs w:val="32"/>
        </w:rPr>
        <w:t>支出</w:t>
      </w:r>
      <w:r>
        <w:rPr>
          <w:rFonts w:hint="eastAsia" w:ascii="仿宋_GB2312" w:hAnsi="宋体" w:eastAsia="仿宋_GB2312" w:cs="仿宋_GB2312"/>
          <w:b/>
          <w:color w:val="000000"/>
          <w:kern w:val="0"/>
          <w:sz w:val="32"/>
          <w:szCs w:val="32"/>
        </w:rPr>
        <w:t>(类) 退役安置</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其他退役安置支出</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68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68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 xml:space="preserve">12. </w:t>
      </w:r>
      <w:r>
        <w:rPr>
          <w:rFonts w:hint="eastAsia" w:ascii="仿宋_GB2312" w:hAnsi="宋体" w:eastAsia="仿宋_GB2312" w:cs="仿宋_GB2312"/>
          <w:b/>
          <w:color w:val="000000"/>
          <w:kern w:val="0"/>
          <w:sz w:val="32"/>
          <w:szCs w:val="32"/>
        </w:rPr>
        <w:t>社会保障和就业</w:t>
      </w:r>
      <w:r>
        <w:rPr>
          <w:rFonts w:ascii="仿宋_GB2312" w:hAnsi="宋体" w:eastAsia="仿宋_GB2312" w:cs="仿宋_GB2312"/>
          <w:b/>
          <w:color w:val="000000"/>
          <w:kern w:val="0"/>
          <w:sz w:val="32"/>
          <w:szCs w:val="32"/>
        </w:rPr>
        <w:t>支出</w:t>
      </w:r>
      <w:r>
        <w:rPr>
          <w:rFonts w:hint="eastAsia" w:ascii="仿宋_GB2312" w:hAnsi="宋体" w:eastAsia="仿宋_GB2312" w:cs="仿宋_GB2312"/>
          <w:b/>
          <w:color w:val="000000"/>
          <w:kern w:val="0"/>
          <w:sz w:val="32"/>
          <w:szCs w:val="32"/>
        </w:rPr>
        <w:t>(类) 退役军人管理事务</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行政运行</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6.09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6.09</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 xml:space="preserve">13. </w:t>
      </w:r>
      <w:r>
        <w:rPr>
          <w:rFonts w:hint="eastAsia" w:ascii="仿宋_GB2312" w:hAnsi="宋体" w:eastAsia="仿宋_GB2312" w:cs="仿宋_GB2312"/>
          <w:b/>
          <w:color w:val="000000"/>
          <w:kern w:val="0"/>
          <w:sz w:val="32"/>
          <w:szCs w:val="32"/>
        </w:rPr>
        <w:t>社会保障和就业</w:t>
      </w:r>
      <w:r>
        <w:rPr>
          <w:rFonts w:ascii="仿宋_GB2312" w:hAnsi="宋体" w:eastAsia="仿宋_GB2312" w:cs="仿宋_GB2312"/>
          <w:b/>
          <w:color w:val="000000"/>
          <w:kern w:val="0"/>
          <w:sz w:val="32"/>
          <w:szCs w:val="32"/>
        </w:rPr>
        <w:t>支出</w:t>
      </w:r>
      <w:r>
        <w:rPr>
          <w:rFonts w:hint="eastAsia" w:ascii="仿宋_GB2312" w:hAnsi="宋体" w:eastAsia="仿宋_GB2312" w:cs="仿宋_GB2312"/>
          <w:b/>
          <w:color w:val="000000"/>
          <w:kern w:val="0"/>
          <w:sz w:val="32"/>
          <w:szCs w:val="32"/>
        </w:rPr>
        <w:t>(类) 退役军人管理事务</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拥军优属</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850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850</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 xml:space="preserve">14. </w:t>
      </w:r>
      <w:r>
        <w:rPr>
          <w:rFonts w:hint="eastAsia" w:ascii="仿宋_GB2312" w:hAnsi="宋体" w:eastAsia="仿宋_GB2312" w:cs="仿宋_GB2312"/>
          <w:b/>
          <w:color w:val="000000"/>
          <w:kern w:val="0"/>
          <w:sz w:val="32"/>
          <w:szCs w:val="32"/>
        </w:rPr>
        <w:t>社会保障和就业</w:t>
      </w:r>
      <w:r>
        <w:rPr>
          <w:rFonts w:ascii="仿宋_GB2312" w:hAnsi="宋体" w:eastAsia="仿宋_GB2312" w:cs="仿宋_GB2312"/>
          <w:b/>
          <w:color w:val="000000"/>
          <w:kern w:val="0"/>
          <w:sz w:val="32"/>
          <w:szCs w:val="32"/>
        </w:rPr>
        <w:t>支出</w:t>
      </w:r>
      <w:r>
        <w:rPr>
          <w:rFonts w:hint="eastAsia" w:ascii="仿宋_GB2312" w:hAnsi="宋体" w:eastAsia="仿宋_GB2312" w:cs="仿宋_GB2312"/>
          <w:b/>
          <w:color w:val="000000"/>
          <w:kern w:val="0"/>
          <w:sz w:val="32"/>
          <w:szCs w:val="32"/>
        </w:rPr>
        <w:t>(类) 退役军人管理事务</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事业运行</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4.61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4.61</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 xml:space="preserve">15. </w:t>
      </w:r>
      <w:r>
        <w:rPr>
          <w:rFonts w:hint="eastAsia" w:ascii="仿宋_GB2312" w:hAnsi="宋体" w:eastAsia="仿宋_GB2312" w:cs="仿宋_GB2312"/>
          <w:b/>
          <w:color w:val="000000"/>
          <w:kern w:val="0"/>
          <w:sz w:val="32"/>
          <w:szCs w:val="32"/>
        </w:rPr>
        <w:t>社会保障和就业</w:t>
      </w:r>
      <w:r>
        <w:rPr>
          <w:rFonts w:ascii="仿宋_GB2312" w:hAnsi="宋体" w:eastAsia="仿宋_GB2312" w:cs="仿宋_GB2312"/>
          <w:b/>
          <w:color w:val="000000"/>
          <w:kern w:val="0"/>
          <w:sz w:val="32"/>
          <w:szCs w:val="32"/>
        </w:rPr>
        <w:t>支出</w:t>
      </w:r>
      <w:r>
        <w:rPr>
          <w:rFonts w:hint="eastAsia" w:ascii="仿宋_GB2312" w:hAnsi="宋体" w:eastAsia="仿宋_GB2312" w:cs="仿宋_GB2312"/>
          <w:b/>
          <w:color w:val="000000"/>
          <w:kern w:val="0"/>
          <w:sz w:val="32"/>
          <w:szCs w:val="32"/>
        </w:rPr>
        <w:t>(类) 退役军人管理事务</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其他退役军人事务管理支出</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36.64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36.64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 xml:space="preserve">16. </w:t>
      </w:r>
      <w:r>
        <w:rPr>
          <w:rFonts w:hint="eastAsia" w:ascii="仿宋_GB2312" w:hAnsi="宋体" w:eastAsia="仿宋_GB2312" w:cs="仿宋_GB2312"/>
          <w:b/>
          <w:color w:val="000000"/>
          <w:kern w:val="0"/>
          <w:sz w:val="32"/>
          <w:szCs w:val="32"/>
        </w:rPr>
        <w:t>社会保障和就业</w:t>
      </w:r>
      <w:r>
        <w:rPr>
          <w:rFonts w:ascii="仿宋_GB2312" w:hAnsi="宋体" w:eastAsia="仿宋_GB2312" w:cs="仿宋_GB2312"/>
          <w:b/>
          <w:color w:val="000000"/>
          <w:kern w:val="0"/>
          <w:sz w:val="32"/>
          <w:szCs w:val="32"/>
        </w:rPr>
        <w:t>支出</w:t>
      </w:r>
      <w:r>
        <w:rPr>
          <w:rFonts w:hint="eastAsia" w:ascii="仿宋_GB2312" w:hAnsi="宋体" w:eastAsia="仿宋_GB2312" w:cs="仿宋_GB2312"/>
          <w:b/>
          <w:color w:val="000000"/>
          <w:kern w:val="0"/>
          <w:sz w:val="32"/>
          <w:szCs w:val="32"/>
        </w:rPr>
        <w:t>(类) 其他社会保障和就业支出</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其他社会保障和就业支出</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7.2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7.2</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 xml:space="preserve">17. </w:t>
      </w:r>
      <w:r>
        <w:rPr>
          <w:rFonts w:hint="eastAsia" w:ascii="仿宋_GB2312" w:hAnsi="宋体" w:eastAsia="仿宋_GB2312" w:cs="仿宋_GB2312"/>
          <w:b/>
          <w:color w:val="000000"/>
          <w:kern w:val="0"/>
          <w:sz w:val="32"/>
          <w:szCs w:val="32"/>
        </w:rPr>
        <w:t>卫生健康支出(类) 行政事业单位医疗</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行政单位医疗</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0.71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0.71</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 xml:space="preserve">18. </w:t>
      </w:r>
      <w:r>
        <w:rPr>
          <w:rFonts w:hint="eastAsia" w:ascii="仿宋_GB2312" w:hAnsi="宋体" w:eastAsia="仿宋_GB2312" w:cs="仿宋_GB2312"/>
          <w:b/>
          <w:color w:val="000000"/>
          <w:kern w:val="0"/>
          <w:sz w:val="32"/>
          <w:szCs w:val="32"/>
        </w:rPr>
        <w:t>卫生健康支出(类) 优抚对象医疗</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优抚对象医疗补助</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56.14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56.14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 xml:space="preserve">19. </w:t>
      </w:r>
      <w:r>
        <w:rPr>
          <w:rFonts w:hint="eastAsia" w:ascii="仿宋_GB2312" w:hAnsi="宋体" w:eastAsia="仿宋_GB2312" w:cs="仿宋_GB2312"/>
          <w:b/>
          <w:color w:val="000000"/>
          <w:kern w:val="0"/>
          <w:sz w:val="32"/>
          <w:szCs w:val="32"/>
        </w:rPr>
        <w:t>住房保障支出(类)住房改革支出</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款</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住房公积金</w:t>
      </w:r>
      <w:r>
        <w:rPr>
          <w:rFonts w:ascii="仿宋_GB2312" w:hAnsi="宋体" w:eastAsia="仿宋_GB2312" w:cs="仿宋_GB2312"/>
          <w:b/>
          <w:color w:val="000000"/>
          <w:kern w:val="0"/>
          <w:sz w:val="32"/>
          <w:szCs w:val="32"/>
        </w:rPr>
        <w:t>（</w:t>
      </w: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0.7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rPr>
        <w:t>3886.52</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3831.17</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55.35</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仿宋_GB2312" w:eastAsia="仿宋_GB2312" w:cs="仿宋_GB2312"/>
          <w:color w:val="000000"/>
          <w:kern w:val="0"/>
          <w:sz w:val="31"/>
          <w:szCs w:val="31"/>
        </w:rPr>
        <w:t>3831.17</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公务员事务0.15万元，机关事业单位基本养老保险缴费支出1.72万元，抚恤支出2169.27万元，退役安置支出735.06万元，退役军人管理服务860.22万元，其他社会保障和就业支出7.2万元，卫生健康支出56.85，住房公积金支出0.7万元。</w:t>
      </w:r>
    </w:p>
    <w:p>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仿宋_GB2312" w:eastAsia="仿宋_GB2312" w:cs="仿宋_GB2312"/>
          <w:color w:val="000000"/>
          <w:kern w:val="0"/>
          <w:sz w:val="31"/>
          <w:szCs w:val="31"/>
        </w:rPr>
        <w:t>55.35</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教育支出8万元，社会保障和就业支出47.35万元。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rPr>
          <w:rFonts w:ascii="仿宋_GB2312" w:hAnsi="仿宋" w:eastAsia="仿宋_GB2312"/>
          <w:sz w:val="32"/>
          <w:szCs w:val="32"/>
        </w:rPr>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rPr>
        <w:t>0.1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无增减变化，</w:t>
      </w:r>
      <w:r>
        <w:rPr>
          <w:rFonts w:hint="eastAsia" w:ascii="仿宋_GB2312" w:hAnsi="仿宋" w:eastAsia="仿宋_GB2312"/>
          <w:sz w:val="32"/>
          <w:szCs w:val="32"/>
        </w:rPr>
        <w:t>主要原因是本部门为2019年机改新成立单位。</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元，公务用车购置</w:t>
      </w:r>
      <w:r>
        <w:rPr>
          <w:rFonts w:hint="eastAsia" w:ascii="仿宋_GB2312" w:hAnsi="宋体" w:eastAsia="仿宋_GB2312" w:cs="仿宋_GB2312"/>
          <w:color w:val="000000"/>
          <w:kern w:val="0"/>
          <w:sz w:val="32"/>
          <w:szCs w:val="32"/>
        </w:rPr>
        <w:t>费支出0元，</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元，公务接待费支出决算</w:t>
      </w:r>
      <w:r>
        <w:rPr>
          <w:rFonts w:hint="eastAsia" w:ascii="仿宋_GB2312" w:hAnsi="宋体" w:eastAsia="仿宋_GB2312" w:cs="仿宋_GB2312"/>
          <w:color w:val="000000"/>
          <w:kern w:val="0"/>
          <w:sz w:val="32"/>
          <w:szCs w:val="32"/>
        </w:rPr>
        <w:t>0.1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%。具体情况如下：</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仿宋" w:eastAsia="仿宋_GB2312"/>
          <w:b/>
          <w:bCs/>
          <w:sz w:val="32"/>
          <w:szCs w:val="32"/>
        </w:rPr>
        <w:t>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仿宋" w:eastAsia="仿宋_GB2312"/>
          <w:sz w:val="32"/>
          <w:szCs w:val="32"/>
        </w:rPr>
      </w:pPr>
      <w:r>
        <w:rPr>
          <w:rFonts w:hint="eastAsia" w:ascii="仿宋_GB2312" w:hAnsi="宋体" w:eastAsia="仿宋_GB2312" w:cs="仿宋_GB2312"/>
          <w:color w:val="000000"/>
          <w:kern w:val="0"/>
          <w:sz w:val="32"/>
          <w:szCs w:val="32"/>
        </w:rPr>
        <w:t>2019年公务接待2批次，20人次，预算为0.1万元，支出决算为0.1万元，</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无增减变化</w:t>
      </w:r>
      <w:r>
        <w:rPr>
          <w:rFonts w:hint="eastAsia" w:ascii="仿宋_GB2312" w:hAnsi="仿宋" w:eastAsia="仿宋_GB2312"/>
          <w:sz w:val="32"/>
          <w:szCs w:val="32"/>
        </w:rPr>
        <w:t>。</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无增减变化</w:t>
      </w:r>
      <w:r>
        <w:rPr>
          <w:rFonts w:hint="eastAsia" w:ascii="仿宋_GB2312" w:hAnsi="仿宋" w:eastAsia="仿宋_GB2312"/>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无增减变化</w:t>
      </w:r>
      <w:r>
        <w:rPr>
          <w:rFonts w:hint="eastAsia" w:ascii="仿宋_GB2312" w:hAnsi="仿宋" w:eastAsia="仿宋_GB2312"/>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r>
        <w:rPr>
          <w:rFonts w:hint="eastAsia" w:ascii="仿宋_GB2312" w:hAnsi="仿宋" w:eastAsia="仿宋_GB2312"/>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rPr>
        <w:t>190.3</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本部门无政府性基金预算项目。</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军队移交政府的离退休人员安置</w:t>
      </w:r>
      <w:r>
        <w:rPr>
          <w:rFonts w:ascii="仿宋_GB2312" w:hAnsi="仿宋_GB2312" w:eastAsia="仿宋_GB2312" w:cs="仿宋_GB2312"/>
          <w:color w:val="000000"/>
          <w:kern w:val="0"/>
          <w:sz w:val="31"/>
          <w:szCs w:val="31"/>
        </w:rPr>
        <w:t>项目绩效自评综述：根据年初设定的绩效目标，项目全年预算数</w:t>
      </w:r>
      <w:r>
        <w:rPr>
          <w:rFonts w:hint="eastAsia" w:ascii="仿宋_GB2312" w:hAnsi="仿宋_GB2312" w:eastAsia="仿宋_GB2312" w:cs="仿宋_GB2312"/>
          <w:color w:val="000000"/>
          <w:kern w:val="0"/>
          <w:sz w:val="31"/>
          <w:szCs w:val="31"/>
        </w:rPr>
        <w:t>190.3</w:t>
      </w:r>
      <w:r>
        <w:rPr>
          <w:rFonts w:ascii="仿宋_GB2312" w:hAnsi="仿宋_GB2312" w:eastAsia="仿宋_GB2312" w:cs="仿宋_GB2312"/>
          <w:color w:val="000000"/>
          <w:kern w:val="0"/>
          <w:sz w:val="31"/>
          <w:szCs w:val="31"/>
        </w:rPr>
        <w:t>万元，执行数190.3万元，完成预算的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w:t>
      </w: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r>
        <w:rPr>
          <w:rFonts w:ascii="楷体" w:hAnsi="楷体" w:eastAsia="楷体" w:cs="楷体"/>
          <w:sz w:val="32"/>
          <w:szCs w:val="32"/>
        </w:rPr>
        <w:pict>
          <v:shape id="_x0000_s1030" o:spid="_x0000_s1030" o:spt="75" type="#_x0000_t75" style="position:absolute;left:0pt;margin-left:-13.7pt;margin-top:-51.25pt;height:654.3pt;width:464.9pt;z-index:251658240;mso-width-relative:page;mso-height-relative:page;" o:ole="t" filled="f" o:preferrelative="t" stroked="f" coordsize="21600,21600">
            <v:path/>
            <v:fill on="f" focussize="0,0"/>
            <v:stroke on="f" joinstyle="miter"/>
            <v:imagedata r:id="rId5" o:title=""/>
            <o:lock v:ext="edit" aspectratio="t"/>
          </v:shape>
          <o:OLEObject Type="Embed" ProgID="Excel.Sheet.8" ShapeID="_x0000_s1030" DrawAspect="Content" ObjectID="_1468075725" r:id="rId4">
            <o:LockedField>false</o:LockedField>
          </o:OLEObject>
        </w:pict>
      </w: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sectPr>
          <w:pgSz w:w="11906" w:h="16838"/>
          <w:pgMar w:top="1985" w:right="1588" w:bottom="2098" w:left="1474" w:header="851" w:footer="992" w:gutter="0"/>
          <w:cols w:space="0" w:num="1"/>
          <w:docGrid w:type="lines" w:linePitch="315" w:charSpace="0"/>
        </w:sectPr>
      </w:pPr>
    </w:p>
    <w:p>
      <w:pPr>
        <w:widowControl/>
        <w:jc w:val="left"/>
        <w:rPr>
          <w:rFonts w:ascii="楷体" w:hAnsi="楷体" w:eastAsia="楷体" w:cs="楷体"/>
          <w:sz w:val="32"/>
          <w:szCs w:val="32"/>
        </w:rPr>
      </w:pPr>
      <w:r>
        <w:rPr>
          <w:rFonts w:ascii="楷体" w:hAnsi="楷体" w:eastAsia="楷体" w:cs="楷体"/>
          <w:sz w:val="32"/>
          <w:szCs w:val="32"/>
        </w:rPr>
        <w:pict>
          <v:shape id="_x0000_s1032" o:spid="_x0000_s1032" o:spt="75" type="#_x0000_t75" style="position:absolute;left:0pt;margin-left:-83.5pt;margin-top:-38.15pt;height:1537.55pt;width:798.05pt;z-index:251660288;mso-width-relative:page;mso-height-relative:page;" o:ole="t" filled="f" o:preferrelative="t" stroked="f" coordsize="21600,21600">
            <v:path/>
            <v:fill on="f" focussize="0,0"/>
            <v:stroke on="f" joinstyle="miter"/>
            <v:imagedata r:id="rId7" o:title=""/>
            <o:lock v:ext="edit" aspectratio="t"/>
          </v:shape>
          <o:OLEObject Type="Embed" ProgID="Excel.Sheet.8" ShapeID="_x0000_s1032" DrawAspect="Content" ObjectID="_1468075726" r:id="rId6">
            <o:LockedField>false</o:LockedField>
          </o:OLEObject>
        </w:pict>
      </w:r>
    </w:p>
    <w:p>
      <w:pPr>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tbl>
      <w:tblPr>
        <w:tblStyle w:val="8"/>
        <w:tblpPr w:leftFromText="180" w:rightFromText="180" w:horzAnchor="margin" w:tblpXSpec="center" w:tblpY="-585"/>
        <w:tblW w:w="15960" w:type="dxa"/>
        <w:tblInd w:w="0" w:type="dxa"/>
        <w:tblLayout w:type="autofit"/>
        <w:tblCellMar>
          <w:top w:w="0" w:type="dxa"/>
          <w:left w:w="108" w:type="dxa"/>
          <w:bottom w:w="0" w:type="dxa"/>
          <w:right w:w="108" w:type="dxa"/>
        </w:tblCellMar>
      </w:tblPr>
      <w:tblGrid>
        <w:gridCol w:w="538"/>
        <w:gridCol w:w="699"/>
        <w:gridCol w:w="616"/>
        <w:gridCol w:w="417"/>
        <w:gridCol w:w="3764"/>
        <w:gridCol w:w="2988"/>
        <w:gridCol w:w="1228"/>
        <w:gridCol w:w="817"/>
        <w:gridCol w:w="817"/>
        <w:gridCol w:w="676"/>
        <w:gridCol w:w="1800"/>
        <w:gridCol w:w="1600"/>
      </w:tblGrid>
      <w:tr>
        <w:tblPrEx>
          <w:tblCellMar>
            <w:top w:w="0" w:type="dxa"/>
            <w:left w:w="108" w:type="dxa"/>
            <w:bottom w:w="0" w:type="dxa"/>
            <w:right w:w="108" w:type="dxa"/>
          </w:tblCellMar>
        </w:tblPrEx>
        <w:trPr>
          <w:trHeight w:val="979" w:hRule="atLeast"/>
        </w:trPr>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hint="eastAsia"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w:t>
            </w:r>
            <w:r>
              <w:rPr>
                <w:rFonts w:hint="eastAsia"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37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2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指标值计算公式和数据获取方式</w:t>
            </w: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年初目标值</w:t>
            </w: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实际完成值</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未完成原因分析与改进措施</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绩效指标分析与建议</w:t>
            </w:r>
          </w:p>
        </w:tc>
      </w:tr>
      <w:tr>
        <w:tblPrEx>
          <w:tblCellMar>
            <w:top w:w="0" w:type="dxa"/>
            <w:left w:w="108" w:type="dxa"/>
            <w:bottom w:w="0" w:type="dxa"/>
            <w:right w:w="108" w:type="dxa"/>
          </w:tblCellMar>
        </w:tblPrEx>
        <w:trPr>
          <w:trHeight w:val="2561" w:hRule="atLeast"/>
        </w:trPr>
        <w:tc>
          <w:tcPr>
            <w:tcW w:w="538"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投入</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预算执行（25分）</w:t>
            </w: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支出进度率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（5分）</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376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支出进度率=（实际支出/支出预算）×100%，用以反映和考核部门（单位）预算执行的及时性和均衡性程度。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半年支出进度＝部门上半年实际支出/（上年结余结转+本年部门预算安排+上半年执行中追加追减）*100%。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前三季度支出进度＝部门前三季度实际支出/（上年结余结转+本年部门预算安排+前三季度执行中追加追减）*100%。</w:t>
            </w:r>
          </w:p>
        </w:tc>
        <w:tc>
          <w:tcPr>
            <w:tcW w:w="298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半年进度：进度率≥45%，得2分；进度率在40%（含）和45%之间，得1分；进度率＜40%，得0分。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前三季度进度：进度率≥75%，得3分；进度率在60%（含）和75%之间，得2分；进度率＜60%，得0分。</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100%</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100%</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411" w:hRule="atLeast"/>
        </w:trPr>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预算编制准确率（5分）</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376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部门预算中除财政拨款外的其他收入预算与决算差异率。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预算编制准确率＝其他收入决算数/其他收入预算数×100%-100%。</w:t>
            </w:r>
          </w:p>
        </w:tc>
        <w:tc>
          <w:tcPr>
            <w:tcW w:w="298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预算编制准确率≤20%，得5分。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预算编制准确率在20%和40%（含）之间，得3分。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预算编制准确率＞40%，得0分。</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0%</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0%</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782" w:hRule="atLeast"/>
        </w:trPr>
        <w:tc>
          <w:tcPr>
            <w:tcW w:w="538"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过程</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预算管理（15分）</w:t>
            </w: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“三公经费”控制率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（5分）</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376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“三公经费”控制率=（“三公经费”实际支出数/“三公经费”预算安排数）×100%，用以反映和考核部门（单位）对“三公经费”的实际控制程度。</w:t>
            </w:r>
          </w:p>
        </w:tc>
        <w:tc>
          <w:tcPr>
            <w:tcW w:w="298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三公经费控制率 ≤100%，得5分，每增加0.1个百分点扣0.5分，扣完为止。</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0%</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0%</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1782" w:hRule="atLeast"/>
        </w:trPr>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资产管理规范性</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（5分）</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376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部门（单位）资产管理是否规范，用以反映和考核部门（单位）资产管理情况。</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1.新增资产配置按预算执行。</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2.资产有偿使用、处置按规定程序审批。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3.资产收益及时、足额上缴财政。</w:t>
            </w:r>
          </w:p>
        </w:tc>
        <w:tc>
          <w:tcPr>
            <w:tcW w:w="298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全部符合5分，有1项不符扣2分,扣完为止。</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是</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是</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1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bl>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tbl>
      <w:tblPr>
        <w:tblStyle w:val="8"/>
        <w:tblW w:w="15960" w:type="dxa"/>
        <w:tblInd w:w="-1094" w:type="dxa"/>
        <w:tblLayout w:type="autofit"/>
        <w:tblCellMar>
          <w:top w:w="0" w:type="dxa"/>
          <w:left w:w="108" w:type="dxa"/>
          <w:bottom w:w="0" w:type="dxa"/>
          <w:right w:w="108" w:type="dxa"/>
        </w:tblCellMar>
      </w:tblPr>
      <w:tblGrid>
        <w:gridCol w:w="537"/>
        <w:gridCol w:w="699"/>
        <w:gridCol w:w="616"/>
        <w:gridCol w:w="417"/>
        <w:gridCol w:w="3758"/>
        <w:gridCol w:w="2993"/>
        <w:gridCol w:w="1229"/>
        <w:gridCol w:w="817"/>
        <w:gridCol w:w="817"/>
        <w:gridCol w:w="677"/>
        <w:gridCol w:w="1800"/>
        <w:gridCol w:w="1600"/>
      </w:tblGrid>
      <w:tr>
        <w:tblPrEx>
          <w:tblCellMar>
            <w:top w:w="0" w:type="dxa"/>
            <w:left w:w="108" w:type="dxa"/>
            <w:bottom w:w="0" w:type="dxa"/>
            <w:right w:w="108" w:type="dxa"/>
          </w:tblCellMar>
        </w:tblPrEx>
        <w:trPr>
          <w:trHeight w:val="795"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hint="eastAsia"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w:t>
            </w:r>
            <w:r>
              <w:rPr>
                <w:rFonts w:hint="eastAsia"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3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2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12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指标值计算公式和数据获取方式</w:t>
            </w: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年初目标值</w:t>
            </w: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实际完成值</w:t>
            </w:r>
          </w:p>
        </w:tc>
        <w:tc>
          <w:tcPr>
            <w:tcW w:w="6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未完成原因分析与改进措施</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绩效指标分析与建议</w:t>
            </w:r>
          </w:p>
        </w:tc>
      </w:tr>
      <w:tr>
        <w:tblPrEx>
          <w:tblCellMar>
            <w:top w:w="0" w:type="dxa"/>
            <w:left w:w="108" w:type="dxa"/>
            <w:bottom w:w="0" w:type="dxa"/>
            <w:right w:w="108" w:type="dxa"/>
          </w:tblCellMar>
        </w:tblPrEx>
        <w:trPr>
          <w:trHeight w:val="2880" w:hRule="atLeast"/>
        </w:trPr>
        <w:tc>
          <w:tcPr>
            <w:tcW w:w="537" w:type="dxa"/>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过程</w:t>
            </w:r>
          </w:p>
        </w:tc>
        <w:tc>
          <w:tcPr>
            <w:tcW w:w="699"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预算管理（15分）</w:t>
            </w: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资金使用合规性</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（5分）</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375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部门（单位）使用预算资金是否符合相关的预算财务管理制度的规定，用以反映和考核部门（单位）预算资金的规范运行情况。</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1.符合国家财经法规和财务管理制度规定以及有关专项资金管理办法的规定；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2.资金的拨付有完整的审批程序和手续；</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3.重大项目开支经过评估论证；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4.符合部门预算批复的用途；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5.不存在截留、挤占、挪用、虚列支出等情况。</w:t>
            </w:r>
          </w:p>
        </w:tc>
        <w:tc>
          <w:tcPr>
            <w:tcW w:w="2993"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全部符合5分,有1项不符扣2分。</w:t>
            </w:r>
          </w:p>
        </w:tc>
        <w:tc>
          <w:tcPr>
            <w:tcW w:w="1229"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是</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是</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5</w:t>
            </w:r>
          </w:p>
        </w:tc>
        <w:tc>
          <w:tcPr>
            <w:tcW w:w="1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635" w:hRule="atLeast"/>
        </w:trPr>
        <w:tc>
          <w:tcPr>
            <w:tcW w:w="537"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效果</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履职尽责（60分）</w:t>
            </w: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项目产出</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（40分）</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40</w:t>
            </w:r>
          </w:p>
        </w:tc>
        <w:tc>
          <w:tcPr>
            <w:tcW w:w="375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2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1.若为定性指标，根据“三档”原则分别按照指标分值的100-80%（含）、80-50%（含）、50-10%来记分；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1229"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100%</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100%</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40</w:t>
            </w:r>
          </w:p>
        </w:tc>
        <w:tc>
          <w:tcPr>
            <w:tcW w:w="1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635" w:hRule="atLeast"/>
        </w:trPr>
        <w:tc>
          <w:tcPr>
            <w:tcW w:w="537"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项目效益</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20</w:t>
            </w:r>
          </w:p>
        </w:tc>
        <w:tc>
          <w:tcPr>
            <w:tcW w:w="375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2993"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29"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100%</w:t>
            </w:r>
          </w:p>
        </w:tc>
        <w:tc>
          <w:tcPr>
            <w:tcW w:w="81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100%</w:t>
            </w:r>
          </w:p>
        </w:tc>
        <w:tc>
          <w:tcPr>
            <w:tcW w:w="677"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20</w:t>
            </w:r>
          </w:p>
        </w:tc>
        <w:tc>
          <w:tcPr>
            <w:tcW w:w="1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395" w:hRule="atLeast"/>
        </w:trPr>
        <w:tc>
          <w:tcPr>
            <w:tcW w:w="15960"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r>
              <w:rPr>
                <w:rFonts w:hint="eastAsia" w:ascii="宋体" w:hAnsi="宋体" w:cs="宋体"/>
                <w:kern w:val="0"/>
                <w:sz w:val="20"/>
                <w:szCs w:val="20"/>
              </w:rPr>
              <w:br w:type="textWrapping"/>
            </w:r>
            <w:r>
              <w:rPr>
                <w:rFonts w:hint="eastAsia" w:ascii="宋体" w:hAnsi="宋体" w:cs="宋体"/>
                <w:kern w:val="0"/>
                <w:sz w:val="20"/>
                <w:szCs w:val="20"/>
              </w:rPr>
              <w:t>1.“项目产出”和“项目效果”直接细化成部门年初绩效目标中的指标，并根据重要程度赋权。</w:t>
            </w:r>
            <w:r>
              <w:rPr>
                <w:rFonts w:hint="eastAsia" w:ascii="宋体" w:hAnsi="宋体" w:cs="宋体"/>
                <w:kern w:val="0"/>
                <w:sz w:val="20"/>
                <w:szCs w:val="20"/>
              </w:rPr>
              <w:br w:type="textWrapping"/>
            </w:r>
            <w:r>
              <w:rPr>
                <w:rFonts w:hint="eastAsia" w:ascii="宋体" w:hAnsi="宋体" w:cs="宋体"/>
                <w:kern w:val="0"/>
                <w:sz w:val="20"/>
                <w:szCs w:val="20"/>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p>
    <w:p>
      <w:pPr>
        <w:widowControl/>
        <w:jc w:val="left"/>
        <w:rPr>
          <w:rFonts w:ascii="楷体" w:hAnsi="楷体" w:eastAsia="楷体" w:cs="楷体"/>
          <w:sz w:val="32"/>
          <w:szCs w:val="32"/>
        </w:rPr>
      </w:pPr>
      <w:r>
        <w:rPr>
          <w:rFonts w:ascii="楷体" w:hAnsi="楷体" w:eastAsia="楷体" w:cs="楷体"/>
          <w:sz w:val="32"/>
          <w:szCs w:val="32"/>
        </w:rPr>
        <w:br w:type="page"/>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3886.52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3886.52</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无增减变化。</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截至2019年末，本部门机关及所属单位共有车辆0辆；单价50万元以上的通用设备0台（套）。201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年当年未购置车辆未购置单价50万元以上的通用设备。</w:t>
      </w: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31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50E89"/>
    <w:rsid w:val="00053317"/>
    <w:rsid w:val="000A41FF"/>
    <w:rsid w:val="001117E2"/>
    <w:rsid w:val="0011661B"/>
    <w:rsid w:val="00124897"/>
    <w:rsid w:val="0013201D"/>
    <w:rsid w:val="00134523"/>
    <w:rsid w:val="00146787"/>
    <w:rsid w:val="00164001"/>
    <w:rsid w:val="001A5F65"/>
    <w:rsid w:val="001D0CAF"/>
    <w:rsid w:val="001D7568"/>
    <w:rsid w:val="001E103F"/>
    <w:rsid w:val="00201C4D"/>
    <w:rsid w:val="002238F8"/>
    <w:rsid w:val="00233A3A"/>
    <w:rsid w:val="00234D94"/>
    <w:rsid w:val="00236AB2"/>
    <w:rsid w:val="002424C8"/>
    <w:rsid w:val="002932BE"/>
    <w:rsid w:val="002A7893"/>
    <w:rsid w:val="002A7DC6"/>
    <w:rsid w:val="002C4685"/>
    <w:rsid w:val="003017B4"/>
    <w:rsid w:val="003364E9"/>
    <w:rsid w:val="00344BCB"/>
    <w:rsid w:val="00344C05"/>
    <w:rsid w:val="00356689"/>
    <w:rsid w:val="00363FAD"/>
    <w:rsid w:val="00396D40"/>
    <w:rsid w:val="003C336F"/>
    <w:rsid w:val="003D54EF"/>
    <w:rsid w:val="003D5B26"/>
    <w:rsid w:val="003E67A0"/>
    <w:rsid w:val="0042058B"/>
    <w:rsid w:val="00452E2E"/>
    <w:rsid w:val="004A1F8F"/>
    <w:rsid w:val="004B6D6E"/>
    <w:rsid w:val="004D7B92"/>
    <w:rsid w:val="004F7265"/>
    <w:rsid w:val="005213FF"/>
    <w:rsid w:val="005246F1"/>
    <w:rsid w:val="00545FDE"/>
    <w:rsid w:val="005621FD"/>
    <w:rsid w:val="00585846"/>
    <w:rsid w:val="005B0DFE"/>
    <w:rsid w:val="005F78FD"/>
    <w:rsid w:val="00602A0C"/>
    <w:rsid w:val="00642D57"/>
    <w:rsid w:val="006614AE"/>
    <w:rsid w:val="006800ED"/>
    <w:rsid w:val="006B1F29"/>
    <w:rsid w:val="006F01C7"/>
    <w:rsid w:val="006F79ED"/>
    <w:rsid w:val="007500DD"/>
    <w:rsid w:val="007B6E04"/>
    <w:rsid w:val="007E2125"/>
    <w:rsid w:val="007F5D23"/>
    <w:rsid w:val="00813F4A"/>
    <w:rsid w:val="00834424"/>
    <w:rsid w:val="00945F70"/>
    <w:rsid w:val="0094638F"/>
    <w:rsid w:val="00954052"/>
    <w:rsid w:val="00982213"/>
    <w:rsid w:val="009C3E5F"/>
    <w:rsid w:val="009C7450"/>
    <w:rsid w:val="009E04A3"/>
    <w:rsid w:val="00A14019"/>
    <w:rsid w:val="00A44449"/>
    <w:rsid w:val="00A44FBE"/>
    <w:rsid w:val="00AA08A5"/>
    <w:rsid w:val="00B36410"/>
    <w:rsid w:val="00B7276D"/>
    <w:rsid w:val="00B80654"/>
    <w:rsid w:val="00B917B9"/>
    <w:rsid w:val="00BD3ABF"/>
    <w:rsid w:val="00BE5A8F"/>
    <w:rsid w:val="00BF02AC"/>
    <w:rsid w:val="00C61DE0"/>
    <w:rsid w:val="00CB55EE"/>
    <w:rsid w:val="00CB5EF5"/>
    <w:rsid w:val="00CB7771"/>
    <w:rsid w:val="00CC1BFD"/>
    <w:rsid w:val="00CC6F68"/>
    <w:rsid w:val="00CE2CC0"/>
    <w:rsid w:val="00CE7F71"/>
    <w:rsid w:val="00D05A0F"/>
    <w:rsid w:val="00D2119A"/>
    <w:rsid w:val="00D25FF3"/>
    <w:rsid w:val="00D30B76"/>
    <w:rsid w:val="00D32994"/>
    <w:rsid w:val="00D62E84"/>
    <w:rsid w:val="00D67DFC"/>
    <w:rsid w:val="00D7500D"/>
    <w:rsid w:val="00DB7B33"/>
    <w:rsid w:val="00DC6A7B"/>
    <w:rsid w:val="00E569EB"/>
    <w:rsid w:val="00E8111E"/>
    <w:rsid w:val="00EA5F4F"/>
    <w:rsid w:val="00EC7DAC"/>
    <w:rsid w:val="00EE3165"/>
    <w:rsid w:val="00F03A92"/>
    <w:rsid w:val="00F14928"/>
    <w:rsid w:val="00F31BBA"/>
    <w:rsid w:val="00F70969"/>
    <w:rsid w:val="00F866FC"/>
    <w:rsid w:val="00F9628B"/>
    <w:rsid w:val="013B79AC"/>
    <w:rsid w:val="0A955DC7"/>
    <w:rsid w:val="125E2600"/>
    <w:rsid w:val="132E46A0"/>
    <w:rsid w:val="14411117"/>
    <w:rsid w:val="1586116E"/>
    <w:rsid w:val="18BB4AD7"/>
    <w:rsid w:val="1B4A3FDA"/>
    <w:rsid w:val="1B524C98"/>
    <w:rsid w:val="1C5E2F73"/>
    <w:rsid w:val="1D6E0C0D"/>
    <w:rsid w:val="221C15BB"/>
    <w:rsid w:val="29785A6B"/>
    <w:rsid w:val="2D1F3974"/>
    <w:rsid w:val="31AA6038"/>
    <w:rsid w:val="33887EE3"/>
    <w:rsid w:val="34677C61"/>
    <w:rsid w:val="3B121AD1"/>
    <w:rsid w:val="3CFD0D2E"/>
    <w:rsid w:val="41603979"/>
    <w:rsid w:val="4619368A"/>
    <w:rsid w:val="4D6E0FDF"/>
    <w:rsid w:val="4EE4307A"/>
    <w:rsid w:val="5153143F"/>
    <w:rsid w:val="54F12DEE"/>
    <w:rsid w:val="75C31473"/>
    <w:rsid w:val="7B681166"/>
    <w:rsid w:val="7C3E5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jc w:val="left"/>
    </w:pPr>
    <w:rPr>
      <w:rFonts w:cs="Times New Roman"/>
      <w:kern w:val="0"/>
      <w:sz w:val="24"/>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2"/>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3"/>
    <w:qFormat/>
    <w:uiPriority w:val="0"/>
    <w:rPr>
      <w:rFonts w:ascii="Calibri" w:hAnsi="Calibri" w:cs="黑体"/>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29B30-40DC-4799-A7BD-64CB80F7ABDB}">
  <ds:schemaRefs/>
</ds:datastoreItem>
</file>

<file path=docProps/app.xml><?xml version="1.0" encoding="utf-8"?>
<Properties xmlns="http://schemas.openxmlformats.org/officeDocument/2006/extended-properties" xmlns:vt="http://schemas.openxmlformats.org/officeDocument/2006/docPropsVTypes">
  <Template>Normal</Template>
  <Pages>36</Pages>
  <Words>9842</Words>
  <Characters>7440</Characters>
  <Lines>62</Lines>
  <Paragraphs>34</Paragraphs>
  <TotalTime>330</TotalTime>
  <ScaleCrop>false</ScaleCrop>
  <LinksUpToDate>false</LinksUpToDate>
  <CharactersWithSpaces>17248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嫣然</cp:lastModifiedBy>
  <cp:lastPrinted>2020-07-28T02:12:00Z</cp:lastPrinted>
  <dcterms:modified xsi:type="dcterms:W3CDTF">2020-09-24T06:43:49Z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