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眉县</w:t>
      </w:r>
      <w:r>
        <w:rPr>
          <w:rFonts w:hint="eastAsia" w:asciiTheme="majorEastAsia" w:hAnsiTheme="majorEastAsia" w:eastAsiaTheme="majorEastAsia" w:cstheme="majorEastAsia"/>
          <w:b/>
          <w:bCs/>
          <w:sz w:val="48"/>
          <w:szCs w:val="48"/>
          <w:lang w:val="en-US" w:eastAsia="zh-CN"/>
        </w:rPr>
        <w:t>统计</w:t>
      </w:r>
      <w:r>
        <w:rPr>
          <w:rFonts w:hint="eastAsia" w:asciiTheme="majorEastAsia" w:hAnsiTheme="majorEastAsia" w:eastAsiaTheme="majorEastAsia" w:cstheme="majorEastAsia"/>
          <w:b/>
          <w:bCs/>
          <w:sz w:val="48"/>
          <w:szCs w:val="48"/>
        </w:rPr>
        <w:t>局2019年部门决算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bookmarkStart w:id="0" w:name="_GoBack"/>
      <w:bookmarkEnd w:id="0"/>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pStyle w:val="6"/>
        <w:keepNext w:val="0"/>
        <w:keepLines w:val="0"/>
        <w:widowControl/>
        <w:suppressLineNumbers w:val="0"/>
        <w:spacing w:after="300" w:afterAutospacing="0" w:line="480" w:lineRule="atLeast"/>
        <w:ind w:left="376"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shd w:val="clear" w:fill="FFFFFF"/>
        </w:rPr>
        <w:t>1、承担组织领导和协调全县统计工作，拟订全县统计规划及全县统计调查计划，监督检查统计法规和统计制度的实施情况，依法查处违反统计法规和统计制度的行为。</w:t>
      </w:r>
    </w:p>
    <w:p>
      <w:pPr>
        <w:pStyle w:val="6"/>
        <w:keepNext w:val="0"/>
        <w:keepLines w:val="0"/>
        <w:widowControl/>
        <w:suppressLineNumbers w:val="0"/>
        <w:spacing w:after="300" w:afterAutospacing="0" w:line="480" w:lineRule="atLeast"/>
        <w:ind w:left="376" w:right="0" w:firstLine="420"/>
        <w:rPr>
          <w:rFonts w:hint="eastAsia" w:ascii="仿宋_GB2312" w:hAnsi="仿宋_GB2312" w:eastAsia="仿宋_GB2312" w:cs="仿宋_GB2312"/>
          <w:color w:val="666666"/>
          <w:sz w:val="32"/>
          <w:szCs w:val="32"/>
          <w:shd w:val="clear" w:fill="FFFFFF"/>
        </w:rPr>
      </w:pPr>
      <w:r>
        <w:rPr>
          <w:rFonts w:hint="eastAsia" w:ascii="仿宋_GB2312" w:hAnsi="仿宋_GB2312" w:eastAsia="仿宋_GB2312" w:cs="仿宋_GB2312"/>
          <w:color w:val="666666"/>
          <w:sz w:val="32"/>
          <w:szCs w:val="32"/>
          <w:shd w:val="clear" w:fill="FFFFFF"/>
        </w:rPr>
        <w:t>2、建立健全全县国民经济核算体系和统计指标体系;核算全县国内生产总值，汇编提供国民经济核算资料，监督管理相关部门统计数据</w:t>
      </w:r>
    </w:p>
    <w:p>
      <w:pPr>
        <w:pStyle w:val="6"/>
        <w:keepNext w:val="0"/>
        <w:keepLines w:val="0"/>
        <w:widowControl/>
        <w:suppressLineNumbers w:val="0"/>
        <w:spacing w:after="300" w:afterAutospacing="0" w:line="480" w:lineRule="atLeast"/>
        <w:ind w:left="376"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shd w:val="clear" w:fill="FFFFFF"/>
        </w:rPr>
        <w:t>质量工作。</w:t>
      </w:r>
    </w:p>
    <w:p>
      <w:pPr>
        <w:pStyle w:val="6"/>
        <w:keepNext w:val="0"/>
        <w:keepLines w:val="0"/>
        <w:widowControl/>
        <w:suppressLineNumbers w:val="0"/>
        <w:spacing w:after="300" w:afterAutospacing="0" w:line="480" w:lineRule="atLeast"/>
        <w:ind w:left="376"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shd w:val="clear" w:fill="FFFFFF"/>
        </w:rPr>
        <w:t>3、会同有关部门组织实施国家重大国情国力普查计划，组织实施全县人口、经济、农业等重大国情国力普查，汇总、整理和提供有关国情国力普查方面的统计数据。</w:t>
      </w:r>
    </w:p>
    <w:p>
      <w:pPr>
        <w:pStyle w:val="6"/>
        <w:keepNext w:val="0"/>
        <w:keepLines w:val="0"/>
        <w:widowControl/>
        <w:suppressLineNumbers w:val="0"/>
        <w:spacing w:after="300" w:afterAutospacing="0" w:line="480" w:lineRule="atLeast"/>
        <w:ind w:left="376"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shd w:val="clear" w:fill="FFFFFF"/>
        </w:rPr>
        <w:t>4、组织实施农林牧渔业、工业、建筑业、批发和零售业、住宿和餐饮业、房地产业、租赁和商务服务业、居民服务和其他服务业、仓储业、计算机服务业、软件业、科技交流和推广服务业等统计调查，收集、汇总、整理和提供有关调查的统计数据。</w:t>
      </w:r>
    </w:p>
    <w:p>
      <w:pPr>
        <w:pStyle w:val="6"/>
        <w:keepNext w:val="0"/>
        <w:keepLines w:val="0"/>
        <w:widowControl/>
        <w:suppressLineNumbers w:val="0"/>
        <w:spacing w:after="300" w:afterAutospacing="0" w:line="480" w:lineRule="atLeast"/>
        <w:ind w:left="376"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shd w:val="clear" w:fill="FFFFFF"/>
        </w:rPr>
        <w:t>5、组织实施能源、投资、消费、价格、收入、科技、人口、劳动力、社会发展基本情况、环境基本状况等统计调查，收集、汇总、综合整理和提供全县基本统计数据。</w:t>
      </w:r>
    </w:p>
    <w:p>
      <w:pPr>
        <w:pStyle w:val="6"/>
        <w:keepNext w:val="0"/>
        <w:keepLines w:val="0"/>
        <w:widowControl/>
        <w:suppressLineNumbers w:val="0"/>
        <w:spacing w:after="300" w:afterAutospacing="0" w:line="480" w:lineRule="atLeast"/>
        <w:ind w:left="376"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shd w:val="clear" w:fill="FFFFFF"/>
        </w:rPr>
        <w:t>6、组织全县各部门的经济、社会、科技和资源环境统计调查，统一核定、管理、公布全县基本统计资料，定期发布全县国民经济和社会发展情况的统计信息。</w:t>
      </w:r>
    </w:p>
    <w:p>
      <w:pPr>
        <w:pStyle w:val="6"/>
        <w:keepNext w:val="0"/>
        <w:keepLines w:val="0"/>
        <w:widowControl/>
        <w:suppressLineNumbers w:val="0"/>
        <w:spacing w:after="300" w:afterAutospacing="0" w:line="480" w:lineRule="atLeast"/>
        <w:ind w:left="376"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shd w:val="clear" w:fill="FFFFFF"/>
        </w:rPr>
        <w:t>7、对全县国民经济、社会发展、科技进步和资源环境等情况进行统计分析、统计监测和统计监督，向县委、县政府及有关部门提供统计信息和咨询建议。</w:t>
      </w:r>
    </w:p>
    <w:p>
      <w:pPr>
        <w:pStyle w:val="6"/>
        <w:keepNext w:val="0"/>
        <w:keepLines w:val="0"/>
        <w:widowControl/>
        <w:suppressLineNumbers w:val="0"/>
        <w:spacing w:after="300" w:afterAutospacing="0" w:line="480" w:lineRule="atLeast"/>
        <w:ind w:left="376"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shd w:val="clear" w:fill="FFFFFF"/>
        </w:rPr>
        <w:t>8、依法指导专业统计基础工作和基层统计业务建设，建立健全统计数据质量审核、监测制度，开展对重要统计数据的审核、监测工作。</w:t>
      </w:r>
    </w:p>
    <w:p>
      <w:pPr>
        <w:pStyle w:val="6"/>
        <w:keepNext w:val="0"/>
        <w:keepLines w:val="0"/>
        <w:widowControl/>
        <w:suppressLineNumbers w:val="0"/>
        <w:spacing w:after="300" w:afterAutospacing="0" w:line="480" w:lineRule="atLeast"/>
        <w:ind w:left="376"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shd w:val="clear" w:fill="FFFFFF"/>
        </w:rPr>
        <w:t>9、建立健全并管理全县统计信息自动化系统和统计数据库系统；组织、推广计算机及传输技术在全县统计工作中的运用。</w:t>
      </w:r>
    </w:p>
    <w:p>
      <w:pPr>
        <w:pStyle w:val="6"/>
        <w:keepNext w:val="0"/>
        <w:keepLines w:val="0"/>
        <w:widowControl/>
        <w:suppressLineNumbers w:val="0"/>
        <w:spacing w:after="300" w:afterAutospacing="0" w:line="480" w:lineRule="atLeast"/>
        <w:ind w:left="376"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666666"/>
          <w:sz w:val="32"/>
          <w:szCs w:val="32"/>
          <w:shd w:val="clear" w:fill="FFFFFF"/>
        </w:rPr>
        <w:t>10、承办县政府交办的其他事项。</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color w:val="666666"/>
          <w:kern w:val="0"/>
          <w:sz w:val="32"/>
          <w:szCs w:val="32"/>
          <w:shd w:val="clear" w:fill="FFFFFF"/>
          <w:lang w:val="en-US" w:eastAsia="zh-CN" w:bidi="ar"/>
        </w:rPr>
        <w:t>眉县统计局决算单位包括局机关及内设机构县社会经济调查队。局机关内设机构2个：政秘股、业务股，下设县社会经济调查队（正科级），为公益一类事业单位。</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眉县统计局</w:t>
            </w:r>
            <w:r>
              <w:rPr>
                <w:rFonts w:hint="eastAsia" w:ascii="仿宋_GB2312" w:hAnsi="仿宋_GB2312" w:eastAsia="仿宋_GB2312" w:cs="仿宋_GB2312"/>
                <w:sz w:val="32"/>
                <w:szCs w:val="32"/>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color w:val="666666"/>
          <w:kern w:val="0"/>
          <w:sz w:val="32"/>
          <w:szCs w:val="32"/>
          <w:shd w:val="clear" w:fill="FFFFFF"/>
          <w:lang w:val="en-US" w:eastAsia="zh-CN" w:bidi="ar"/>
        </w:rPr>
      </w:pPr>
      <w:r>
        <w:rPr>
          <w:rFonts w:hint="eastAsia" w:ascii="仿宋_GB2312" w:hAnsi="仿宋_GB2312" w:eastAsia="仿宋_GB2312" w:cs="仿宋_GB2312"/>
          <w:color w:val="666666"/>
          <w:kern w:val="0"/>
          <w:sz w:val="32"/>
          <w:szCs w:val="32"/>
          <w:shd w:val="clear" w:fill="FFFFFF"/>
          <w:lang w:val="en-US" w:eastAsia="zh-CN" w:bidi="ar"/>
        </w:rPr>
        <w:t>截止2019年底，本部门人员编制21人，其中行政编制18人、事业编制3人；实有人员21人，其中行政18人、事业3人。单位管理的离退休人员7人。</w:t>
      </w:r>
    </w:p>
    <w:p>
      <w:pPr>
        <w:ind w:firstLine="640"/>
        <w:rPr>
          <w:rFonts w:ascii="微软雅黑" w:hAnsi="微软雅黑" w:eastAsia="微软雅黑" w:cs="微软雅黑"/>
          <w:color w:val="666666"/>
          <w:sz w:val="22"/>
          <w:szCs w:val="22"/>
          <w:shd w:val="clear" w:fill="FFFFFF"/>
        </w:rPr>
      </w:pPr>
      <w:r>
        <w:rPr>
          <w:rFonts w:hint="eastAsia" w:ascii="微软雅黑" w:hAnsi="微软雅黑" w:eastAsia="微软雅黑" w:cs="微软雅黑"/>
          <w:i w:val="0"/>
          <w:caps w:val="0"/>
          <w:color w:val="666666"/>
          <w:spacing w:val="0"/>
          <w:sz w:val="22"/>
          <w:szCs w:val="22"/>
          <w:shd w:val="clear" w:fill="FFFFFF"/>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widowControl/>
        <w:jc w:val="center"/>
        <w:rPr>
          <w:rFonts w:ascii="黑体" w:hAnsi="宋体" w:eastAsia="黑体"/>
          <w:color w:val="000000"/>
          <w:kern w:val="0"/>
          <w:sz w:val="44"/>
          <w:szCs w:val="44"/>
        </w:rPr>
      </w:pPr>
    </w:p>
    <w:p>
      <w:pPr>
        <w:widowControl/>
        <w:jc w:val="center"/>
        <w:rPr>
          <w:sz w:val="44"/>
          <w:szCs w:val="44"/>
        </w:rPr>
      </w:pPr>
      <w:r>
        <w:rPr>
          <w:rFonts w:ascii="黑体" w:hAnsi="宋体" w:eastAsia="黑体"/>
          <w:color w:val="000000"/>
          <w:kern w:val="0"/>
          <w:sz w:val="44"/>
          <w:szCs w:val="44"/>
        </w:rPr>
        <w:t>第二部分 2019年度部门决算表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本单位无基金</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247.84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205.18</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25.54</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8.51</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8.62</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247.84</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247.84</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0.06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0.06</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247.91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47.91</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8"/>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247.84</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247.84</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201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205.18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205.18</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20105</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统计信息事务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204.58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204.58</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2010501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166.58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166.58</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2010505</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专项统计业务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2010506</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统计管理</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2010507</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专项普查活动</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8"/>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247.84</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224.84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205.18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182.18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统计信息事务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204.58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181.58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2010501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166.58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166.58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2010505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专项统计业务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2010506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统计管理</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2010507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专项普查活动</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247.84</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205.18</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205.18</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247.84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247.84</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247.84</w:t>
            </w:r>
          </w:p>
        </w:tc>
        <w:tc>
          <w:tcPr>
            <w:tcW w:w="1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0.05</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0.05</w:t>
            </w:r>
          </w:p>
        </w:tc>
        <w:tc>
          <w:tcPr>
            <w:tcW w:w="1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247.90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247.90</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247.90</w:t>
            </w:r>
          </w:p>
        </w:tc>
        <w:tc>
          <w:tcPr>
            <w:tcW w:w="1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247.84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224.84</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209.84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205.18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182.18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167.18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统计信息事务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204.58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181.58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166.58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2010501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166.58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166.58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166.58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2010505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专项统计业务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2010506</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统计管理</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2010507</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专项普查活动</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224.84</w:t>
            </w:r>
          </w:p>
        </w:tc>
        <w:tc>
          <w:tcPr>
            <w:tcW w:w="143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209.84</w:t>
            </w:r>
          </w:p>
        </w:tc>
        <w:tc>
          <w:tcPr>
            <w:tcW w:w="136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15.00</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209.84</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86.58</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25.54</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8.51</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2.40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2.40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2019年收入总体情况及比上年增长</w:t>
      </w:r>
      <w:r>
        <w:rPr>
          <w:rFonts w:hint="eastAsia" w:ascii="仿宋_GB2312" w:hAnsi="仿宋" w:eastAsia="仿宋_GB2312"/>
          <w:sz w:val="32"/>
          <w:szCs w:val="32"/>
          <w:lang w:val="en-US" w:eastAsia="zh-CN"/>
        </w:rPr>
        <w:t>2.44万元</w:t>
      </w:r>
      <w:r>
        <w:rPr>
          <w:rFonts w:hint="eastAsia" w:ascii="仿宋_GB2312" w:hAnsi="仿宋" w:eastAsia="仿宋_GB2312"/>
          <w:sz w:val="32"/>
          <w:szCs w:val="32"/>
        </w:rPr>
        <w:t>，</w:t>
      </w:r>
      <w:r>
        <w:rPr>
          <w:rFonts w:hint="eastAsia" w:ascii="仿宋_GB2312" w:hAnsi="仿宋" w:eastAsia="仿宋_GB2312"/>
          <w:sz w:val="32"/>
          <w:szCs w:val="32"/>
          <w:lang w:val="en-US" w:eastAsia="zh-CN"/>
        </w:rPr>
        <w:t>人员工资待遇上浮</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2019年支出总体情况及比上年增长</w:t>
      </w:r>
      <w:r>
        <w:rPr>
          <w:rFonts w:hint="eastAsia" w:ascii="仿宋_GB2312" w:hAnsi="仿宋" w:eastAsia="仿宋_GB2312"/>
          <w:sz w:val="32"/>
          <w:szCs w:val="32"/>
          <w:lang w:val="en-US" w:eastAsia="zh-CN"/>
        </w:rPr>
        <w:t>2.44万元</w:t>
      </w:r>
      <w:r>
        <w:rPr>
          <w:rFonts w:hint="eastAsia" w:ascii="仿宋_GB2312" w:hAnsi="仿宋" w:eastAsia="仿宋_GB2312"/>
          <w:sz w:val="32"/>
          <w:szCs w:val="32"/>
        </w:rPr>
        <w:t>，</w:t>
      </w:r>
      <w:r>
        <w:rPr>
          <w:rFonts w:hint="eastAsia" w:ascii="仿宋_GB2312" w:hAnsi="仿宋" w:eastAsia="仿宋_GB2312"/>
          <w:sz w:val="32"/>
          <w:szCs w:val="32"/>
          <w:lang w:val="en-US" w:eastAsia="zh-CN"/>
        </w:rPr>
        <w:t>人员工资待遇上浮</w:t>
      </w:r>
      <w:r>
        <w:rPr>
          <w:rFonts w:hint="eastAsia" w:ascii="仿宋_GB2312" w:hAnsi="仿宋" w:eastAsia="仿宋_GB2312"/>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lang w:val="en-US" w:eastAsia="zh-CN"/>
        </w:rPr>
        <w:t>247.84</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247.84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lang w:val="en-US" w:eastAsia="zh-CN"/>
        </w:rPr>
        <w:t>247.84</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224.84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90.7</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23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9.3</w:t>
      </w:r>
      <w:r>
        <w:rPr>
          <w:rFonts w:ascii="仿宋_GB2312" w:hAnsi="宋体" w:eastAsia="仿宋_GB2312" w:cs="仿宋_GB2312"/>
          <w:color w:val="000000"/>
          <w:kern w:val="0"/>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收入总体情况及比上年增长</w:t>
      </w:r>
      <w:r>
        <w:rPr>
          <w:rFonts w:hint="eastAsia" w:ascii="仿宋_GB2312" w:hAnsi="仿宋" w:eastAsia="仿宋_GB2312"/>
          <w:sz w:val="32"/>
          <w:szCs w:val="32"/>
          <w:lang w:val="en-US" w:eastAsia="zh-CN"/>
        </w:rPr>
        <w:t>2.44万元</w:t>
      </w:r>
      <w:r>
        <w:rPr>
          <w:rFonts w:hint="eastAsia" w:ascii="仿宋_GB2312" w:hAnsi="仿宋" w:eastAsia="仿宋_GB2312"/>
          <w:sz w:val="32"/>
          <w:szCs w:val="32"/>
        </w:rPr>
        <w:t>，</w:t>
      </w:r>
      <w:r>
        <w:rPr>
          <w:rFonts w:hint="eastAsia" w:ascii="仿宋_GB2312" w:hAnsi="仿宋" w:eastAsia="仿宋_GB2312"/>
          <w:sz w:val="32"/>
          <w:szCs w:val="32"/>
          <w:lang w:val="en-US" w:eastAsia="zh-CN"/>
        </w:rPr>
        <w:t>人员工资待遇上浮</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支出总体情况及比上年增长增长</w:t>
      </w:r>
      <w:r>
        <w:rPr>
          <w:rFonts w:hint="eastAsia" w:ascii="仿宋_GB2312" w:hAnsi="仿宋" w:eastAsia="仿宋_GB2312"/>
          <w:sz w:val="32"/>
          <w:szCs w:val="32"/>
          <w:lang w:val="en-US" w:eastAsia="zh-CN"/>
        </w:rPr>
        <w:t>2.44万元</w:t>
      </w:r>
      <w:r>
        <w:rPr>
          <w:rFonts w:hint="eastAsia" w:ascii="仿宋_GB2312" w:hAnsi="仿宋" w:eastAsia="仿宋_GB2312"/>
          <w:sz w:val="32"/>
          <w:szCs w:val="32"/>
        </w:rPr>
        <w:t>，</w:t>
      </w:r>
      <w:r>
        <w:rPr>
          <w:rFonts w:hint="eastAsia" w:ascii="仿宋_GB2312" w:hAnsi="仿宋" w:eastAsia="仿宋_GB2312"/>
          <w:sz w:val="32"/>
          <w:szCs w:val="32"/>
          <w:lang w:val="en-US" w:eastAsia="zh-CN"/>
        </w:rPr>
        <w:t>人员工资待遇上浮</w:t>
      </w:r>
      <w:r>
        <w:rPr>
          <w:rFonts w:hint="eastAsia" w:ascii="仿宋_GB2312" w:hAnsi="仿宋" w:eastAsia="仿宋_GB2312"/>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lang w:val="en-US" w:eastAsia="zh-CN"/>
        </w:rPr>
        <w:t>247.84</w:t>
      </w:r>
      <w:r>
        <w:rPr>
          <w:rFonts w:ascii="仿宋_GB2312" w:hAnsi="宋体" w:eastAsia="仿宋_GB2312" w:cs="仿宋_GB2312"/>
          <w:color w:val="000000"/>
          <w:kern w:val="0"/>
          <w:sz w:val="32"/>
          <w:szCs w:val="32"/>
        </w:rPr>
        <w:t xml:space="preserve">万元，占本年支出合 </w:t>
      </w:r>
    </w:p>
    <w:p>
      <w:pPr>
        <w:widowControl/>
        <w:jc w:val="left"/>
      </w:pPr>
      <w:r>
        <w:rPr>
          <w:rFonts w:ascii="仿宋_GB2312" w:hAnsi="宋体" w:eastAsia="仿宋_GB2312" w:cs="仿宋_GB2312"/>
          <w:color w:val="000000"/>
          <w:kern w:val="0"/>
          <w:sz w:val="32"/>
          <w:szCs w:val="32"/>
        </w:rPr>
        <w:t>计的</w:t>
      </w:r>
      <w:r>
        <w:rPr>
          <w:rFonts w:hint="eastAsia" w:ascii="仿宋_GB2312" w:hAnsi="宋体" w:eastAsia="仿宋_GB2312" w:cs="仿宋_GB2312"/>
          <w:color w:val="000000"/>
          <w:kern w:val="0"/>
          <w:sz w:val="32"/>
          <w:szCs w:val="32"/>
          <w:lang w:val="en-US" w:eastAsia="zh-CN"/>
        </w:rPr>
        <w:t>90.7</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相比，财政拨款支出增加</w:t>
      </w:r>
      <w:r>
        <w:rPr>
          <w:rFonts w:hint="eastAsia" w:ascii="仿宋_GB2312" w:hAnsi="宋体" w:eastAsia="仿宋_GB2312" w:cs="仿宋_GB2312"/>
          <w:color w:val="000000"/>
          <w:kern w:val="0"/>
          <w:sz w:val="32"/>
          <w:szCs w:val="32"/>
          <w:lang w:val="en-US" w:eastAsia="zh-CN"/>
        </w:rPr>
        <w:t>2.44</w:t>
      </w:r>
      <w:r>
        <w:rPr>
          <w:rFonts w:ascii="仿宋_GB2312" w:hAnsi="宋体" w:eastAsia="仿宋_GB2312" w:cs="仿宋_GB2312"/>
          <w:color w:val="000000"/>
          <w:kern w:val="0"/>
          <w:sz w:val="32"/>
          <w:szCs w:val="32"/>
        </w:rPr>
        <w:t>万元，增长</w:t>
      </w:r>
      <w:r>
        <w:rPr>
          <w:rFonts w:hint="eastAsia" w:ascii="仿宋_GB2312" w:hAnsi="宋体" w:eastAsia="仿宋_GB2312" w:cs="仿宋_GB2312"/>
          <w:color w:val="000000"/>
          <w:kern w:val="0"/>
          <w:sz w:val="32"/>
          <w:szCs w:val="32"/>
          <w:lang w:val="en-US" w:eastAsia="zh-CN"/>
        </w:rPr>
        <w:t>0.1</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仿宋" w:eastAsia="仿宋_GB2312"/>
          <w:sz w:val="32"/>
          <w:szCs w:val="32"/>
          <w:lang w:val="en-US" w:eastAsia="zh-CN"/>
        </w:rPr>
        <w:t>人员工资待遇上浮</w:t>
      </w:r>
      <w:r>
        <w:rPr>
          <w:rFonts w:hint="eastAsia" w:ascii="仿宋_GB2312" w:hAnsi="宋体" w:eastAsia="仿宋_GB2312" w:cs="仿宋_GB2312"/>
          <w:color w:val="000000"/>
          <w:kern w:val="0"/>
          <w:sz w:val="32"/>
          <w:szCs w:val="32"/>
        </w:rPr>
        <w:t>。</w:t>
      </w:r>
    </w:p>
    <w:p>
      <w:pPr>
        <w:spacing w:line="360" w:lineRule="auto"/>
        <w:ind w:firstLine="643" w:firstLineChars="200"/>
        <w:rPr>
          <w:rFonts w:ascii="仿宋_GB2312" w:hAnsi="仿宋" w:eastAsia="仿宋_GB2312"/>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lang w:val="en-US" w:eastAsia="zh-CN"/>
        </w:rPr>
        <w:t>247.84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247.84</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pPr>
      <w:r>
        <w:rPr>
          <w:rFonts w:ascii="仿宋_GB2312" w:hAnsi="宋体" w:eastAsia="仿宋_GB2312" w:cs="仿宋_GB2312"/>
          <w:b/>
          <w:color w:val="000000"/>
          <w:kern w:val="0"/>
          <w:sz w:val="32"/>
          <w:szCs w:val="32"/>
        </w:rPr>
        <w:t xml:space="preserve">1.一般公共服务支出（类）财政事务（款）行政运行（项）。 </w:t>
      </w:r>
    </w:p>
    <w:p>
      <w:pPr>
        <w:widowControl/>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205.18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205.18</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ind w:firstLine="640" w:firstLineChars="200"/>
        <w:jc w:val="left"/>
      </w:pPr>
      <w:r>
        <w:rPr>
          <w:rFonts w:ascii="仿宋_GB2312" w:hAnsi="宋体" w:eastAsia="仿宋_GB2312" w:cs="仿宋_GB2312"/>
          <w:color w:val="000000"/>
          <w:kern w:val="0"/>
          <w:sz w:val="32"/>
          <w:szCs w:val="32"/>
        </w:rPr>
        <w:t>2.</w:t>
      </w:r>
      <w:r>
        <w:rPr>
          <w:rFonts w:hint="eastAsia" w:ascii="仿宋_GB2312" w:hAnsi="宋体" w:eastAsia="仿宋_GB2312" w:cs="仿宋_GB2312"/>
          <w:b/>
          <w:color w:val="000000"/>
          <w:kern w:val="0"/>
          <w:sz w:val="32"/>
          <w:szCs w:val="32"/>
          <w:lang w:val="en-US" w:eastAsia="zh-CN"/>
        </w:rPr>
        <w:t>社会保障和就业支出</w:t>
      </w:r>
      <w:r>
        <w:rPr>
          <w:rFonts w:ascii="仿宋_GB2312" w:hAnsi="宋体" w:eastAsia="仿宋_GB2312" w:cs="仿宋_GB2312"/>
          <w:b/>
          <w:color w:val="000000"/>
          <w:kern w:val="0"/>
          <w:sz w:val="32"/>
          <w:szCs w:val="32"/>
        </w:rPr>
        <w:t xml:space="preserve">。 </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25.54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25.54</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ind w:firstLine="640" w:firstLineChars="200"/>
        <w:jc w:val="left"/>
      </w:pP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b/>
          <w:color w:val="000000"/>
          <w:kern w:val="0"/>
          <w:sz w:val="32"/>
          <w:szCs w:val="32"/>
          <w:lang w:val="en-US" w:eastAsia="zh-CN"/>
        </w:rPr>
        <w:t>卫生健康支出</w:t>
      </w:r>
      <w:r>
        <w:rPr>
          <w:rFonts w:ascii="仿宋_GB2312" w:hAnsi="宋体" w:eastAsia="仿宋_GB2312" w:cs="仿宋_GB2312"/>
          <w:b/>
          <w:color w:val="000000"/>
          <w:kern w:val="0"/>
          <w:sz w:val="32"/>
          <w:szCs w:val="32"/>
        </w:rPr>
        <w:t xml:space="preserve">。 </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8.51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8.51</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ind w:firstLine="640" w:firstLineChars="200"/>
        <w:jc w:val="left"/>
      </w:pP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b/>
          <w:color w:val="000000"/>
          <w:kern w:val="0"/>
          <w:sz w:val="32"/>
          <w:szCs w:val="32"/>
          <w:lang w:val="en-US" w:eastAsia="zh-CN"/>
        </w:rPr>
        <w:t>住房保障支出</w:t>
      </w:r>
      <w:r>
        <w:rPr>
          <w:rFonts w:ascii="仿宋_GB2312" w:hAnsi="宋体" w:eastAsia="仿宋_GB2312" w:cs="仿宋_GB2312"/>
          <w:b/>
          <w:color w:val="000000"/>
          <w:kern w:val="0"/>
          <w:sz w:val="32"/>
          <w:szCs w:val="32"/>
        </w:rPr>
        <w:t xml:space="preserve">。 </w:t>
      </w:r>
    </w:p>
    <w:p>
      <w:pPr>
        <w:widowControl/>
        <w:ind w:firstLine="640" w:firstLineChars="200"/>
        <w:jc w:val="left"/>
        <w:rPr>
          <w:rFonts w:hint="default" w:ascii="仿宋_GB2312" w:hAnsi="宋体" w:eastAsia="仿宋_GB2312" w:cs="仿宋_GB2312"/>
          <w:color w:val="000000"/>
          <w:kern w:val="0"/>
          <w:sz w:val="32"/>
          <w:szCs w:val="32"/>
          <w:lang w:val="en-US"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8.62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8.62</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lang w:val="en-US" w:eastAsia="zh-CN"/>
        </w:rPr>
        <w:t>224.84</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lang w:val="en-US" w:eastAsia="zh-CN"/>
        </w:rPr>
        <w:t>209.84</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lang w:val="en-US" w:eastAsia="zh-CN"/>
        </w:rPr>
        <w:t>15</w:t>
      </w:r>
      <w:r>
        <w:rPr>
          <w:rFonts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lang w:val="en-US" w:eastAsia="zh-CN"/>
        </w:rPr>
        <w:t>209.84</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（单位支出涉及的款级科目）</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lang w:val="en-US" w:eastAsia="zh-CN"/>
        </w:rPr>
        <w:t>209.84</w:t>
      </w:r>
      <w:r>
        <w:rPr>
          <w:rFonts w:hint="eastAsia" w:ascii="仿宋_GB2312" w:hAnsi="宋体" w:eastAsia="仿宋_GB2312" w:cs="仿宋_GB2312"/>
          <w:color w:val="000000"/>
          <w:kern w:val="0"/>
          <w:sz w:val="32"/>
          <w:szCs w:val="32"/>
        </w:rPr>
        <w:t>万元。</w:t>
      </w:r>
    </w:p>
    <w:p>
      <w:pPr>
        <w:widowControl/>
        <w:ind w:firstLine="643" w:firstLineChars="200"/>
        <w:jc w:val="left"/>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b/>
          <w:bCs/>
          <w:color w:val="000000"/>
          <w:kern w:val="0"/>
          <w:sz w:val="32"/>
          <w:szCs w:val="32"/>
          <w:lang w:val="en-US" w:eastAsia="zh-CN"/>
        </w:rPr>
        <w:t>15</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（单位支出涉及的款级科目）</w:t>
      </w:r>
      <w:r>
        <w:rPr>
          <w:rFonts w:ascii="仿宋_GB2312" w:hAnsi="宋体" w:eastAsia="仿宋_GB2312" w:cs="仿宋_GB2312"/>
          <w:color w:val="000000"/>
          <w:kern w:val="0"/>
          <w:sz w:val="32"/>
          <w:szCs w:val="32"/>
        </w:rPr>
        <w:t>办公费</w:t>
      </w:r>
      <w:r>
        <w:rPr>
          <w:rFonts w:hint="eastAsia" w:ascii="仿宋_GB2312" w:hAnsi="宋体" w:eastAsia="仿宋_GB2312" w:cs="仿宋_GB2312"/>
          <w:color w:val="000000"/>
          <w:kern w:val="0"/>
          <w:sz w:val="32"/>
          <w:szCs w:val="32"/>
          <w:lang w:val="en-US" w:eastAsia="zh-CN"/>
        </w:rPr>
        <w:t>15</w:t>
      </w:r>
      <w:r>
        <w:rPr>
          <w:rFonts w:hint="eastAsia" w:ascii="仿宋_GB2312" w:hAnsi="宋体" w:eastAsia="仿宋_GB2312" w:cs="仿宋_GB2312"/>
          <w:color w:val="000000"/>
          <w:kern w:val="0"/>
          <w:sz w:val="32"/>
          <w:szCs w:val="32"/>
        </w:rPr>
        <w:t>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rPr>
          <w:rFonts w:ascii="仿宋_GB2312" w:hAnsi="宋体" w:eastAsia="仿宋_GB2312" w:cs="仿宋_GB2312"/>
          <w:color w:val="000000"/>
          <w:kern w:val="0"/>
          <w:sz w:val="32"/>
          <w:szCs w:val="32"/>
        </w:rPr>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hint="eastAsia" w:ascii="仿宋_GB2312" w:hAnsi="宋体" w:eastAsia="仿宋_GB2312" w:cs="仿宋_GB2312"/>
          <w:color w:val="000000"/>
          <w:kern w:val="0"/>
          <w:sz w:val="32"/>
          <w:szCs w:val="32"/>
        </w:rPr>
        <w:t>示例：</w:t>
      </w: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lang w:val="en-US" w:eastAsia="zh-CN"/>
        </w:rPr>
        <w:t>2.4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2.4</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val="en-US" w:eastAsia="zh-CN"/>
        </w:rPr>
        <w:t>持平</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ind w:firstLine="640" w:firstLineChars="200"/>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无</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示例：2019年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2.4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2.4</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val="en-US" w:eastAsia="zh-CN"/>
        </w:rPr>
        <w:t>持平</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无</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widowControl/>
        <w:numPr>
          <w:ilvl w:val="0"/>
          <w:numId w:val="1"/>
        </w:numPr>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预算绩效情况说明</w:t>
      </w:r>
    </w:p>
    <w:p>
      <w:pPr>
        <w:widowControl/>
        <w:numPr>
          <w:ilvl w:val="0"/>
          <w:numId w:val="0"/>
        </w:numPr>
        <w:ind w:firstLine="640" w:firstLineChars="200"/>
        <w:jc w:val="left"/>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lang w:val="en-US" w:eastAsia="zh-CN"/>
        </w:rPr>
        <w:t>无</w:t>
      </w:r>
    </w:p>
    <w:p>
      <w:pPr>
        <w:widowControl/>
        <w:jc w:val="left"/>
        <w:rPr>
          <w:rFonts w:ascii="楷体" w:hAnsi="楷体" w:eastAsia="楷体" w:cs="楷体"/>
          <w:sz w:val="32"/>
          <w:szCs w:val="32"/>
        </w:rPr>
        <w:sectPr>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687.5pt;width:466.5pt;" o:ole="t" filled="f" o:preferrelative="t" stroked="f" coordsize="21600,21600">
            <v:path/>
            <v:fill on="f" focussize="0,0"/>
            <v:stroke on="f"/>
            <v:imagedata r:id="rId6" o:title=""/>
            <o:lock v:ext="edit" aspectratio="t"/>
            <w10:wrap type="none"/>
            <w10:anchorlock/>
          </v:shape>
          <o:OLEObject Type="Embed" ProgID="Excel.Sheet.8" ShapeID="_x0000_i1025" DrawAspect="Content" ObjectID="_1468075725" r:id="rId5">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11.05pt;width:631.5pt;" o:ole="t" filled="f" o:preferrelative="t" stroked="f" coordsize="21600,21600">
            <v:path/>
            <v:fill on="f" focussize="0,0"/>
            <v:stroke on="f"/>
            <v:imagedata r:id="rId8" o:title=""/>
            <o:lock v:ext="edit" aspectratio="t"/>
            <w10:wrap type="none"/>
            <w10:anchorlock/>
          </v:shape>
          <o:OLEObject Type="Embed" ProgID="Excel.Sheet.8" ShapeID="_x0000_i1026" DrawAspect="Content" ObjectID="_1468075726" r:id="rId7">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1pt;width:647.4pt;" o:ole="t" filled="f" o:preferrelative="t" stroked="f" coordsize="21600,21600">
            <v:path/>
            <v:fill on="f" focussize="0,0"/>
            <v:stroke on="f"/>
            <v:imagedata r:id="rId10" o:title=""/>
            <o:lock v:ext="edit" aspectratio="t"/>
            <w10:wrap type="none"/>
            <w10:anchorlock/>
          </v:shape>
          <o:OLEObject Type="Embed" ProgID="Excel.Sheet.8" ShapeID="_x0000_i1027" DrawAspect="Content" ObjectID="_1468075727" r:id="rId9">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pt;" o:ole="t" filled="f" o:preferrelative="t" stroked="f" coordsize="21600,21600">
            <v:path/>
            <v:fill on="f" focussize="0,0"/>
            <v:stroke on="f"/>
            <v:imagedata r:id="rId12" o:title=""/>
            <o:lock v:ext="edit" aspectratio="t"/>
            <w10:wrap type="none"/>
            <w10:anchorlock/>
          </v:shape>
          <o:OLEObject Type="Embed" ProgID="Excel.Sheet.8" ShapeID="_x0000_i1028" DrawAspect="Content" ObjectID="_1468075728" r:id="rId11">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23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23</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val="en-US" w:eastAsia="zh-CN"/>
        </w:rPr>
        <w:t>持平</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widowControl/>
        <w:jc w:val="left"/>
        <w:rPr>
          <w:rFonts w:hint="default" w:ascii="黑体" w:hAnsi="宋体" w:eastAsia="黑体"/>
          <w:color w:val="000000"/>
          <w:kern w:val="0"/>
          <w:sz w:val="32"/>
          <w:szCs w:val="32"/>
          <w:lang w:val="en-US" w:eastAsia="zh-CN"/>
        </w:rPr>
      </w:pPr>
      <w:r>
        <w:rPr>
          <w:rFonts w:hint="eastAsia" w:ascii="黑体" w:hAnsi="宋体" w:eastAsia="黑体"/>
          <w:color w:val="000000"/>
          <w:kern w:val="0"/>
          <w:sz w:val="32"/>
          <w:szCs w:val="32"/>
          <w:lang w:val="en-US" w:eastAsia="zh-CN"/>
        </w:rPr>
        <w:t xml:space="preserve">     无</w:t>
      </w: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7BC95"/>
    <w:multiLevelType w:val="singleLevel"/>
    <w:tmpl w:val="8D97BC95"/>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50E89"/>
    <w:rsid w:val="00053317"/>
    <w:rsid w:val="0011661B"/>
    <w:rsid w:val="00124897"/>
    <w:rsid w:val="00134523"/>
    <w:rsid w:val="00146787"/>
    <w:rsid w:val="00164001"/>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E2125"/>
    <w:rsid w:val="007F5D23"/>
    <w:rsid w:val="00813F4A"/>
    <w:rsid w:val="00B7276D"/>
    <w:rsid w:val="00B80654"/>
    <w:rsid w:val="00BE5A8F"/>
    <w:rsid w:val="00CB5EF5"/>
    <w:rsid w:val="00CB7771"/>
    <w:rsid w:val="00CC1BFD"/>
    <w:rsid w:val="00CE7F71"/>
    <w:rsid w:val="00D2119A"/>
    <w:rsid w:val="00D32994"/>
    <w:rsid w:val="00D62E84"/>
    <w:rsid w:val="00DC6A7B"/>
    <w:rsid w:val="00E569EB"/>
    <w:rsid w:val="00E8111E"/>
    <w:rsid w:val="00F9628B"/>
    <w:rsid w:val="013B79AC"/>
    <w:rsid w:val="125E2600"/>
    <w:rsid w:val="132E46A0"/>
    <w:rsid w:val="14411117"/>
    <w:rsid w:val="1586116E"/>
    <w:rsid w:val="18BB4AD7"/>
    <w:rsid w:val="1B4A3FDA"/>
    <w:rsid w:val="1B524C98"/>
    <w:rsid w:val="1C5E2F73"/>
    <w:rsid w:val="1D6E0C0D"/>
    <w:rsid w:val="221C15BB"/>
    <w:rsid w:val="29785A6B"/>
    <w:rsid w:val="2D1F3974"/>
    <w:rsid w:val="31AA6038"/>
    <w:rsid w:val="33887EE3"/>
    <w:rsid w:val="34677C61"/>
    <w:rsid w:val="3B121AD1"/>
    <w:rsid w:val="3CFD0D2E"/>
    <w:rsid w:val="41603979"/>
    <w:rsid w:val="43235265"/>
    <w:rsid w:val="4619368A"/>
    <w:rsid w:val="4D6E0FDF"/>
    <w:rsid w:val="4EE4307A"/>
    <w:rsid w:val="5153143F"/>
    <w:rsid w:val="54F12DEE"/>
    <w:rsid w:val="5DC76C06"/>
    <w:rsid w:val="75C31473"/>
    <w:rsid w:val="7C3E5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批注文字 Char"/>
    <w:basedOn w:val="10"/>
    <w:link w:val="2"/>
    <w:qFormat/>
    <w:uiPriority w:val="0"/>
    <w:rPr>
      <w:rFonts w:ascii="Calibri" w:hAnsi="Calibri" w:cs="黑体"/>
      <w:kern w:val="2"/>
      <w:sz w:val="21"/>
      <w:szCs w:val="24"/>
    </w:rPr>
  </w:style>
  <w:style w:type="character" w:customStyle="1" w:styleId="13">
    <w:name w:val="批注主题 Char"/>
    <w:basedOn w:val="12"/>
    <w:link w:val="7"/>
    <w:qFormat/>
    <w:uiPriority w:val="0"/>
    <w:rPr>
      <w:rFonts w:ascii="Calibri" w:hAnsi="Calibri" w:cs="黑体"/>
      <w:b/>
      <w:bCs/>
      <w:kern w:val="2"/>
      <w:sz w:val="21"/>
      <w:szCs w:val="24"/>
    </w:rPr>
  </w:style>
  <w:style w:type="character" w:customStyle="1" w:styleId="14">
    <w:name w:val="批注框文本 Char"/>
    <w:basedOn w:val="10"/>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眉县统计局部门人员图表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行政编制</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Sheet1!$A$2</c:f>
              <c:strCache>
                <c:ptCount val="1"/>
                <c:pt idx="0">
                  <c:v>人数</c:v>
                </c:pt>
              </c:strCache>
            </c:strRef>
          </c:cat>
          <c:val>
            <c:numRef>
              <c:f>Sheet1!$B$2</c:f>
              <c:numCache>
                <c:formatCode>General</c:formatCode>
                <c:ptCount val="1"/>
                <c:pt idx="0">
                  <c:v>18</c:v>
                </c:pt>
              </c:numCache>
            </c:numRef>
          </c:val>
        </c:ser>
        <c:ser>
          <c:idx val="1"/>
          <c:order val="1"/>
          <c:tx>
            <c:strRef>
              <c:f>Sheet1!$C$1</c:f>
              <c:strCache>
                <c:ptCount val="1"/>
                <c:pt idx="0">
                  <c:v>事业编制</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Sheet1!$A$2</c:f>
              <c:strCache>
                <c:ptCount val="1"/>
                <c:pt idx="0">
                  <c:v>人数</c:v>
                </c:pt>
              </c:strCache>
            </c:strRef>
          </c:cat>
          <c:val>
            <c:numRef>
              <c:f>Sheet1!$C$2</c:f>
              <c:numCache>
                <c:formatCode>General</c:formatCode>
                <c:ptCount val="1"/>
                <c:pt idx="0">
                  <c:v>3</c:v>
                </c:pt>
              </c:numCache>
            </c:numRef>
          </c:val>
        </c:ser>
        <c:ser>
          <c:idx val="2"/>
          <c:order val="2"/>
          <c:tx>
            <c:strRef>
              <c:f>Sheet1!$D$1</c:f>
              <c:strCache>
                <c:ptCount val="1"/>
                <c:pt idx="0">
                  <c:v>编制总人数</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Sheet1!$A$2</c:f>
              <c:strCache>
                <c:ptCount val="1"/>
                <c:pt idx="0">
                  <c:v>人数</c:v>
                </c:pt>
              </c:strCache>
            </c:strRef>
          </c:cat>
          <c:val>
            <c:numRef>
              <c:f>Sheet1!$D$2</c:f>
              <c:numCache>
                <c:formatCode>General</c:formatCode>
                <c:ptCount val="1"/>
                <c:pt idx="0">
                  <c:v>21</c:v>
                </c:pt>
              </c:numCache>
            </c:numRef>
          </c:val>
        </c:ser>
        <c:ser>
          <c:idx val="3"/>
          <c:order val="3"/>
          <c:tx>
            <c:strRef>
              <c:f>Sheet1!$E$1</c:f>
              <c:strCache>
                <c:ptCount val="1"/>
                <c:pt idx="0">
                  <c:v>实有人数</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Sheet1!$A$2</c:f>
              <c:strCache>
                <c:ptCount val="1"/>
                <c:pt idx="0">
                  <c:v>人数</c:v>
                </c:pt>
              </c:strCache>
            </c:strRef>
          </c:cat>
          <c:val>
            <c:numRef>
              <c:f>Sheet1!$E$2</c:f>
              <c:numCache>
                <c:formatCode>General</c:formatCode>
                <c:ptCount val="1"/>
                <c:pt idx="0">
                  <c:v>21</c:v>
                </c:pt>
              </c:numCache>
            </c:numRef>
          </c:val>
        </c:ser>
        <c:dLbls>
          <c:showLegendKey val="0"/>
          <c:showVal val="0"/>
          <c:showCatName val="0"/>
          <c:showSerName val="0"/>
          <c:showPercent val="0"/>
          <c:showBubbleSize val="0"/>
        </c:dLbls>
        <c:gapWidth val="100"/>
        <c:overlap val="-24"/>
        <c:axId val="995754688"/>
        <c:axId val="992529939"/>
      </c:barChart>
      <c:catAx>
        <c:axId val="995754688"/>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992529939"/>
        <c:crosses val="autoZero"/>
        <c:auto val="1"/>
        <c:lblAlgn val="ctr"/>
        <c:lblOffset val="100"/>
        <c:noMultiLvlLbl val="0"/>
      </c:catAx>
      <c:valAx>
        <c:axId val="99252993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9957546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5651</Words>
  <Characters>3074</Characters>
  <Lines>25</Lines>
  <Paragraphs>17</Paragraphs>
  <TotalTime>40</TotalTime>
  <ScaleCrop>false</ScaleCrop>
  <LinksUpToDate>false</LinksUpToDate>
  <CharactersWithSpaces>8708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单刀赴会</cp:lastModifiedBy>
  <cp:lastPrinted>2020-07-28T02:12:00Z</cp:lastPrinted>
  <dcterms:modified xsi:type="dcterms:W3CDTF">2020-10-10T09:21:42Z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