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眉县科学技术协会</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ind w:firstLine="640" w:firstLineChars="200"/>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ind w:firstLine="640" w:firstLine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64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1.负责开展学术交流，活跃学术思想，促进科学技术的繁荣和发展，推动决策科学化和民主化。</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依照《中华人民共和国科学技术普及法》，组织实施《全民科学素质行动计划纲要》，普及科学知识，推广先进技术；传播科学思想和方法，破除封建迷信和邪教理论；开展青少年科技教育活动，提高公民科学文化素质。 </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3.组织科技工作者围绕全县科技、经济和社会发展中的重大问题开展调查研究、科学论证等活动，提出意见和建议，促进科技与经济的结合，为实施科教兴县战略服务。</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4.培养举荐、评价发现、表彰激励科技人才；参与科技政策及科技计划、规划的制定；反映科技工作者的呼声和要求，维护科技工作者的合法权益，为科技团体和科技工作者服务。 </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5.组织科技工作者参与政治协商、民主监督、参政议政活动。</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6.开展继续教育和技术培训工作，开展科技咨询服务，推动科技咨询产业的发展，促进科技成果向现实生产力转化。 </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7.负责社区、企事业单位科协的业务管理与指导，推动科普进社区和企业科技创新。</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8.支持县农技协</w:t>
      </w:r>
      <w:r>
        <w:rPr>
          <w:rFonts w:hint="eastAsia" w:ascii="仿宋_GB2312" w:hAnsi="仿宋_GB2312" w:eastAsia="仿宋_GB2312" w:cs="仿宋_GB2312"/>
          <w:color w:val="000000"/>
          <w:sz w:val="32"/>
          <w:szCs w:val="32"/>
          <w:shd w:val="clear" w:color="auto" w:fill="FDFEFF"/>
        </w:rPr>
        <w:t>发展和培育农村专业合作组织。动员、引导技术能手、经济能人、龙头企业创办农技协等农村专业合作组织，指导专业合作组织引进先进技术，开展技术培训，建立示范基地，提升发展档次。负责对所属学会、科技类社会团体进行监督管理，</w:t>
      </w:r>
      <w:r>
        <w:rPr>
          <w:rFonts w:hint="eastAsia" w:ascii="仿宋_GB2312" w:hAnsi="仿宋_GB2312" w:eastAsia="仿宋_GB2312" w:cs="仿宋_GB2312"/>
          <w:color w:val="000000"/>
          <w:sz w:val="32"/>
          <w:szCs w:val="32"/>
        </w:rPr>
        <w:t>对乡镇科协进行指导。</w:t>
      </w:r>
    </w:p>
    <w:p>
      <w:pPr>
        <w:pStyle w:val="16"/>
        <w:widowControl w:val="0"/>
        <w:spacing w:line="240" w:lineRule="auto"/>
        <w:ind w:left="0" w:firstLine="627" w:firstLineChars="196"/>
        <w:rPr>
          <w:rFonts w:asciiTheme="minorEastAsia" w:hAnsiTheme="minorEastAsia" w:eastAsiaTheme="minorEastAsia"/>
          <w:color w:val="000000"/>
          <w:sz w:val="32"/>
          <w:szCs w:val="32"/>
        </w:rPr>
      </w:pPr>
      <w:r>
        <w:rPr>
          <w:rFonts w:hint="eastAsia" w:ascii="仿宋_GB2312" w:hAnsi="仿宋_GB2312" w:eastAsia="仿宋_GB2312" w:cs="仿宋_GB2312"/>
          <w:color w:val="000000"/>
          <w:sz w:val="32"/>
          <w:szCs w:val="32"/>
        </w:rPr>
        <w:t>9.办理县委、县政府交办的其他事项。</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pStyle w:val="16"/>
        <w:keepNext/>
        <w:widowControl w:val="0"/>
        <w:spacing w:line="500" w:lineRule="exact"/>
        <w:ind w:firstLine="627" w:firstLineChars="196"/>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我单位无内设机构。</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楷体" w:hAnsi="楷体" w:eastAsia="楷体" w:cs="楷体"/>
          <w:b/>
          <w:bCs/>
          <w:color w:val="000000"/>
          <w:kern w:val="0"/>
          <w:sz w:val="32"/>
          <w:szCs w:val="32"/>
        </w:rPr>
      </w:pPr>
      <w:r>
        <w:rPr>
          <w:rFonts w:hint="eastAsia" w:ascii="仿宋_GB2312" w:hAnsi="仿宋_GB2312" w:eastAsia="仿宋_GB2312" w:cs="仿宋_GB2312"/>
          <w:sz w:val="32"/>
          <w:szCs w:val="32"/>
        </w:rPr>
        <w:t>纳入2019年本部门决算编制范围的单位共1个，为本级</w:t>
      </w:r>
      <w:r>
        <w:rPr>
          <w:rFonts w:ascii="仿宋_GB2312" w:hAnsi="仿宋_GB2312" w:eastAsia="仿宋_GB2312" w:cs="仿宋_GB2312"/>
          <w:color w:val="000000"/>
          <w:kern w:val="0"/>
          <w:sz w:val="31"/>
          <w:szCs w:val="31"/>
        </w:rPr>
        <w:t>预算</w:t>
      </w:r>
      <w:r>
        <w:rPr>
          <w:rFonts w:hint="eastAsia" w:ascii="仿宋_GB2312" w:hAnsi="仿宋_GB2312" w:eastAsia="仿宋_GB2312" w:cs="仿宋_GB2312"/>
          <w:sz w:val="32"/>
          <w:szCs w:val="32"/>
        </w:rPr>
        <w:t>单位：</w:t>
      </w:r>
    </w:p>
    <w:tbl>
      <w:tblPr>
        <w:tblStyle w:val="1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眉县科学技术协会（机关）</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1"/>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截止2019年底，本部门人员编制4人，其中行政编制4人；实有人员4人，其中行政4人。单位管理的离退休人员0人。</w:t>
      </w:r>
    </w:p>
    <w:p>
      <w:pPr>
        <w:jc w:val="center"/>
        <w:rPr>
          <w:rFonts w:ascii="黑体" w:hAnsi="宋体" w:eastAsia="黑体"/>
          <w:color w:val="000000"/>
          <w:kern w:val="0"/>
          <w:sz w:val="44"/>
          <w:szCs w:val="44"/>
        </w:rPr>
      </w:pPr>
      <w:r>
        <w:rPr>
          <w:rFonts w:hint="eastAsia" w:ascii="仿宋_GB2312" w:hAnsi="仿宋_GB2312" w:eastAsia="仿宋_GB2312" w:cs="仿宋_GB2312"/>
          <w:color w:val="FF0000"/>
          <w:sz w:val="32"/>
          <w:szCs w:val="32"/>
        </w:rPr>
        <w:drawing>
          <wp:inline distT="0" distB="0" distL="114300" distR="114300">
            <wp:extent cx="3194050" cy="294386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jc w:val="center"/>
        <w:rPr>
          <w:sz w:val="44"/>
          <w:szCs w:val="44"/>
        </w:rPr>
      </w:pPr>
      <w:r>
        <w:rPr>
          <w:rFonts w:ascii="黑体" w:hAnsi="宋体" w:eastAsia="黑体"/>
          <w:color w:val="000000"/>
          <w:kern w:val="0"/>
          <w:sz w:val="44"/>
          <w:szCs w:val="44"/>
        </w:rPr>
        <w:t>第二部分 2019年度部门决算表</w:t>
      </w: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本部门无政府性基金决算收支</w:t>
            </w:r>
          </w:p>
        </w:tc>
      </w:tr>
    </w:tbl>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9"/>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3"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87.15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7、附属单位上缴收入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8、其他收入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0"/>
                <w:szCs w:val="20"/>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0"/>
                <w:szCs w:val="20"/>
              </w:rPr>
            </w:pPr>
            <w:r>
              <w:rPr>
                <w:rFonts w:hint="eastAsia" w:cs="Arial"/>
                <w:color w:val="000000"/>
                <w:sz w:val="20"/>
                <w:szCs w:val="20"/>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99.63</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99.66</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9"/>
        <w:tblW w:w="8867" w:type="dxa"/>
        <w:tblInd w:w="0" w:type="dxa"/>
        <w:tblLayout w:type="fixed"/>
        <w:tblCellMar>
          <w:top w:w="15" w:type="dxa"/>
          <w:left w:w="15" w:type="dxa"/>
          <w:bottom w:w="15" w:type="dxa"/>
          <w:right w:w="15" w:type="dxa"/>
        </w:tblCellMar>
      </w:tblPr>
      <w:tblGrid>
        <w:gridCol w:w="927"/>
        <w:gridCol w:w="2916"/>
        <w:gridCol w:w="708"/>
        <w:gridCol w:w="709"/>
        <w:gridCol w:w="567"/>
        <w:gridCol w:w="567"/>
        <w:gridCol w:w="851"/>
        <w:gridCol w:w="567"/>
        <w:gridCol w:w="567"/>
        <w:gridCol w:w="488"/>
      </w:tblGrid>
      <w:tr>
        <w:tblPrEx>
          <w:tblCellMar>
            <w:top w:w="15" w:type="dxa"/>
            <w:left w:w="15" w:type="dxa"/>
            <w:bottom w:w="15" w:type="dxa"/>
            <w:right w:w="15" w:type="dxa"/>
          </w:tblCellMar>
        </w:tblPrEx>
        <w:trPr>
          <w:trHeight w:val="439" w:hRule="atLeast"/>
        </w:trPr>
        <w:tc>
          <w:tcPr>
            <w:tcW w:w="3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916"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r>
              <w:rPr>
                <w:rFonts w:hint="eastAsia" w:ascii="宋体" w:hAnsi="宋体" w:cs="宋体"/>
                <w:b/>
                <w:color w:val="000000"/>
                <w:szCs w:val="21"/>
              </w:rPr>
              <w:t>其中：教育收费</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61" w:hRule="atLeast"/>
        </w:trPr>
        <w:tc>
          <w:tcPr>
            <w:tcW w:w="3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99.63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99.63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ind w:right="105"/>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201</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一般公共服务支出</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0.30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0.30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20132</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组织事务</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0.30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0.30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2013204</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  公务员事务</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0.30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0.30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206</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科学技术支出</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87.15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87.15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20607</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科学技术普及</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87.15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87.15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2060701</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  机构运行</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51.15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51.15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2060702</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  科普活动</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14.00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14.00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2060705</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  科技馆站</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3.00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3.00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2060799</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  其他科学技术普及支出</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19.00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19.00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208</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社会保障和就业支出</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6.97</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20805</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行政事业单位离退休</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6.97</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2080505</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  机关事业单位基本养老保险缴费支出</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6.97</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210</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卫生健康支出</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2.59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21011</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行政事业单位医疗</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2.59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2101101</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  行政单位医疗</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2.59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221</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住房保障支出</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2.63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22102</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住房改革支出</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2.63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2210201</w:t>
            </w:r>
          </w:p>
        </w:tc>
        <w:tc>
          <w:tcPr>
            <w:tcW w:w="2916" w:type="dxa"/>
            <w:tcBorders>
              <w:top w:val="single" w:color="000000" w:sz="4" w:space="0"/>
              <w:left w:val="single" w:color="000000" w:sz="4" w:space="0"/>
              <w:bottom w:val="single" w:color="000000" w:sz="4" w:space="0"/>
              <w:right w:val="single" w:color="000000" w:sz="4" w:space="0"/>
            </w:tcBorders>
            <w:vAlign w:val="center"/>
          </w:tcPr>
          <w:p>
            <w:pPr>
              <w:rPr>
                <w:rFonts w:cs="Arial"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  住房公积金</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2.63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c>
          <w:tcPr>
            <w:tcW w:w="4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color w:val="000000"/>
                <w:szCs w:val="21"/>
              </w:rPr>
            </w:pPr>
            <w:r>
              <w:rPr>
                <w:rFonts w:hint="eastAsia" w:ascii="仿宋" w:hAnsi="仿宋" w:eastAsia="仿宋" w:cs="Arial"/>
                <w:color w:val="000000"/>
                <w:szCs w:val="21"/>
              </w:rPr>
              <w:t>0.00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9"/>
        <w:tblW w:w="8896" w:type="dxa"/>
        <w:tblInd w:w="0" w:type="dxa"/>
        <w:tblLayout w:type="fixed"/>
        <w:tblCellMar>
          <w:top w:w="15" w:type="dxa"/>
          <w:left w:w="15" w:type="dxa"/>
          <w:bottom w:w="15" w:type="dxa"/>
          <w:right w:w="15" w:type="dxa"/>
        </w:tblCellMar>
      </w:tblPr>
      <w:tblGrid>
        <w:gridCol w:w="914"/>
        <w:gridCol w:w="83"/>
        <w:gridCol w:w="2704"/>
        <w:gridCol w:w="865"/>
        <w:gridCol w:w="866"/>
        <w:gridCol w:w="866"/>
        <w:gridCol w:w="866"/>
        <w:gridCol w:w="866"/>
        <w:gridCol w:w="866"/>
      </w:tblGrid>
      <w:tr>
        <w:tblPrEx>
          <w:tblCellMar>
            <w:top w:w="15" w:type="dxa"/>
            <w:left w:w="15" w:type="dxa"/>
            <w:bottom w:w="15" w:type="dxa"/>
            <w:right w:w="15" w:type="dxa"/>
          </w:tblCellMar>
        </w:tblPrEx>
        <w:trPr>
          <w:trHeight w:val="372" w:hRule="atLeast"/>
        </w:trPr>
        <w:tc>
          <w:tcPr>
            <w:tcW w:w="3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经营</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3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99.63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63.63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组织事务</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2013204</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公务员事务</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科学技术支出</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87.15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51.15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科学技术普及</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87.15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51.15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2060701</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机构运行</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51.15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51.15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2060702</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科普活动</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2060705</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科技馆站</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2060799</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其他科学技术普及支出</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2080505</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21011</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2101101</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2210201</w:t>
            </w:r>
          </w:p>
        </w:tc>
        <w:tc>
          <w:tcPr>
            <w:tcW w:w="278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9"/>
        <w:tblW w:w="8700" w:type="dxa"/>
        <w:tblInd w:w="0" w:type="dxa"/>
        <w:tblLayout w:type="fixed"/>
        <w:tblCellMar>
          <w:top w:w="15" w:type="dxa"/>
          <w:left w:w="15" w:type="dxa"/>
          <w:bottom w:w="15" w:type="dxa"/>
          <w:right w:w="15" w:type="dxa"/>
        </w:tblCellMar>
      </w:tblPr>
      <w:tblGrid>
        <w:gridCol w:w="2709"/>
        <w:gridCol w:w="850"/>
        <w:gridCol w:w="2410"/>
        <w:gridCol w:w="567"/>
        <w:gridCol w:w="1180"/>
        <w:gridCol w:w="984"/>
      </w:tblGrid>
      <w:tr>
        <w:tblPrEx>
          <w:tblCellMar>
            <w:top w:w="15" w:type="dxa"/>
            <w:left w:w="15" w:type="dxa"/>
            <w:bottom w:w="15" w:type="dxa"/>
            <w:right w:w="15" w:type="dxa"/>
          </w:tblCellMar>
        </w:tblPrEx>
        <w:trPr>
          <w:trHeight w:val="367" w:hRule="atLeast"/>
        </w:trPr>
        <w:tc>
          <w:tcPr>
            <w:tcW w:w="3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14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871"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362"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99.63</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44"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30"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87.15</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87.15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567"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r>
              <w:rPr>
                <w:rFonts w:hint="eastAsia" w:ascii="宋体" w:hAnsi="宋体" w:cs="宋体"/>
                <w:b/>
                <w:color w:val="000000"/>
                <w:szCs w:val="21"/>
              </w:rPr>
              <w:t>本年收入合计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99.63</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567"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99.63</w:t>
            </w:r>
          </w:p>
        </w:tc>
        <w:tc>
          <w:tcPr>
            <w:tcW w:w="11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99.63</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年初财政拨款结转和结余</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0.03</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567"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0.03</w:t>
            </w:r>
          </w:p>
        </w:tc>
        <w:tc>
          <w:tcPr>
            <w:tcW w:w="11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0.03</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1、一般公共预算财政拨款</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0.03</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567"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1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78"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2、政府性基金预算财政拨款</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567"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1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48"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b/>
                <w:bCs/>
                <w:color w:val="000000"/>
                <w:sz w:val="22"/>
                <w:szCs w:val="22"/>
              </w:rPr>
            </w:pPr>
            <w:r>
              <w:rPr>
                <w:rFonts w:hint="eastAsia" w:cs="Arial"/>
                <w:b/>
                <w:bCs/>
                <w:color w:val="000000"/>
                <w:sz w:val="22"/>
                <w:szCs w:val="22"/>
              </w:rPr>
              <w:t>总计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99.66</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567"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99.66</w:t>
            </w:r>
          </w:p>
        </w:tc>
        <w:tc>
          <w:tcPr>
            <w:tcW w:w="11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99.66</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9"/>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99.63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99.63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99.63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kern w:val="0"/>
                <w:szCs w:val="21"/>
              </w:rPr>
            </w:pPr>
            <w:r>
              <w:rPr>
                <w:rFonts w:hint="eastAsia" w:ascii="宋体" w:hAnsi="宋体" w:cs="宋体"/>
                <w:b/>
                <w:color w:val="000000"/>
                <w:kern w:val="0"/>
                <w:szCs w:val="21"/>
              </w:rPr>
              <w:t>0.03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0.03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0.03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99.63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kern w:val="0"/>
                <w:szCs w:val="21"/>
              </w:rPr>
            </w:pPr>
            <w:r>
              <w:rPr>
                <w:rFonts w:hint="eastAsia" w:ascii="宋体" w:hAnsi="宋体" w:cs="宋体"/>
                <w:b/>
                <w:color w:val="000000"/>
                <w:kern w:val="0"/>
                <w:szCs w:val="21"/>
              </w:rPr>
              <w:t>99.63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99.63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99.63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9"/>
        <w:tblW w:w="8777" w:type="dxa"/>
        <w:tblInd w:w="0" w:type="dxa"/>
        <w:tblLayout w:type="fixed"/>
        <w:tblCellMar>
          <w:top w:w="15" w:type="dxa"/>
          <w:left w:w="15" w:type="dxa"/>
          <w:bottom w:w="15" w:type="dxa"/>
          <w:right w:w="15" w:type="dxa"/>
        </w:tblCellMar>
      </w:tblPr>
      <w:tblGrid>
        <w:gridCol w:w="1170"/>
        <w:gridCol w:w="2673"/>
        <w:gridCol w:w="850"/>
        <w:gridCol w:w="992"/>
        <w:gridCol w:w="709"/>
        <w:gridCol w:w="709"/>
        <w:gridCol w:w="992"/>
        <w:gridCol w:w="682"/>
      </w:tblGrid>
      <w:tr>
        <w:tblPrEx>
          <w:tblCellMar>
            <w:top w:w="15" w:type="dxa"/>
            <w:left w:w="15" w:type="dxa"/>
            <w:bottom w:w="15" w:type="dxa"/>
            <w:right w:w="15" w:type="dxa"/>
          </w:tblCellMar>
        </w:tblPrEx>
        <w:trPr>
          <w:trHeight w:val="414" w:hRule="atLeast"/>
        </w:trPr>
        <w:tc>
          <w:tcPr>
            <w:tcW w:w="3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41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w:t>
            </w:r>
          </w:p>
        </w:tc>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6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人员</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公用</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经费</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99.63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57.98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99.63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63.63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57.98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20132</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组织事务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2013204</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公务员事务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206</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科学技术支出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科学技术普及</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51.15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45.80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2060701</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机构运行</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51.15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45.80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2060702</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科普活动</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51.15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51.15</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45.80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2060705</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科技馆站</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2060799</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其他科学技术普及支出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2080505</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21011</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2101101</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2210201</w:t>
            </w: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9"/>
        <w:tblW w:w="8817" w:type="dxa"/>
        <w:tblInd w:w="0" w:type="dxa"/>
        <w:tblLayout w:type="fixed"/>
        <w:tblCellMar>
          <w:top w:w="15" w:type="dxa"/>
          <w:left w:w="15" w:type="dxa"/>
          <w:bottom w:w="15" w:type="dxa"/>
          <w:right w:w="15" w:type="dxa"/>
        </w:tblCellMar>
      </w:tblPr>
      <w:tblGrid>
        <w:gridCol w:w="1157"/>
        <w:gridCol w:w="2402"/>
        <w:gridCol w:w="1303"/>
        <w:gridCol w:w="1437"/>
        <w:gridCol w:w="1363"/>
        <w:gridCol w:w="1155"/>
      </w:tblGrid>
      <w:tr>
        <w:tblPrEx>
          <w:tblCellMar>
            <w:top w:w="15" w:type="dxa"/>
            <w:left w:w="15" w:type="dxa"/>
            <w:bottom w:w="15" w:type="dxa"/>
            <w:right w:w="15" w:type="dxa"/>
          </w:tblCellMar>
        </w:tblPrEx>
        <w:trPr>
          <w:trHeight w:val="434" w:hRule="atLeast"/>
        </w:trPr>
        <w:tc>
          <w:tcPr>
            <w:tcW w:w="3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0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63.66</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57.98</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5.65</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工资福利支出</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57.98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基本工资</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津贴补贴</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17.14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30103</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奖金</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30108</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30111</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公务员医疗补助缴费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30113</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商品和服务支出</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30201</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办公费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0.41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30205</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水费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30206</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电费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30207</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邮电费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30211</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差旅费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30217</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公务接待费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30226</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劳务费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30231</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公务用车运行维护费</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30239</w:t>
            </w:r>
          </w:p>
        </w:tc>
        <w:tc>
          <w:tcPr>
            <w:tcW w:w="24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其他交通费用</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3.78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9"/>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0.68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0.50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0.50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0.30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0.65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0.50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0.50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0.20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本年度收入总计</w:t>
      </w:r>
      <w:r>
        <w:rPr>
          <w:rFonts w:hint="eastAsia" w:ascii="仿宋_GB2312" w:hAnsi="仿宋_GB2312" w:eastAsia="仿宋_GB2312" w:cs="仿宋_GB2312"/>
          <w:color w:val="000000"/>
          <w:sz w:val="32"/>
          <w:szCs w:val="32"/>
        </w:rPr>
        <w:t>99.66万元，</w:t>
      </w:r>
      <w:r>
        <w:rPr>
          <w:rFonts w:hint="eastAsia" w:ascii="仿宋_GB2312" w:hAnsi="仿宋_GB2312" w:eastAsia="仿宋_GB2312" w:cs="仿宋_GB2312"/>
          <w:color w:val="000000"/>
          <w:kern w:val="0"/>
          <w:sz w:val="32"/>
          <w:szCs w:val="32"/>
        </w:rPr>
        <w:t>支出总计99.66万元都</w:t>
      </w:r>
      <w:r>
        <w:rPr>
          <w:rFonts w:hint="eastAsia" w:ascii="仿宋_GB2312" w:hAnsi="仿宋_GB2312" w:eastAsia="仿宋_GB2312" w:cs="仿宋_GB2312"/>
          <w:sz w:val="32"/>
          <w:szCs w:val="32"/>
        </w:rPr>
        <w:t>比上年有所减少，减少主要原因为工作业务有所变化。</w:t>
      </w:r>
    </w:p>
    <w:p>
      <w:pPr>
        <w:spacing w:line="500" w:lineRule="exact"/>
        <w:ind w:firstLine="640" w:firstLineChars="200"/>
        <w:rPr>
          <w:rFonts w:ascii="黑体" w:hAnsi="黑体" w:eastAsia="黑体"/>
          <w:color w:val="000000"/>
          <w:kern w:val="0"/>
          <w:sz w:val="32"/>
          <w:szCs w:val="32"/>
        </w:rPr>
      </w:pPr>
      <w:r>
        <w:rPr>
          <w:rFonts w:hint="eastAsia" w:ascii="黑体" w:hAnsi="黑体" w:eastAsia="黑体"/>
          <w:sz w:val="32"/>
          <w:szCs w:val="32"/>
        </w:rPr>
        <w:drawing>
          <wp:anchor distT="0" distB="0" distL="114300" distR="114300" simplePos="0" relativeHeight="251658240" behindDoc="0" locked="0" layoutInCell="1" allowOverlap="1">
            <wp:simplePos x="0" y="0"/>
            <wp:positionH relativeFrom="margin">
              <wp:posOffset>1310640</wp:posOffset>
            </wp:positionH>
            <wp:positionV relativeFrom="paragraph">
              <wp:posOffset>136525</wp:posOffset>
            </wp:positionV>
            <wp:extent cx="3071495" cy="1953260"/>
            <wp:effectExtent l="0" t="0" r="14605" b="889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黑体" w:hAnsi="黑体" w:eastAsia="黑体"/>
          <w:color w:val="000000"/>
          <w:kern w:val="0"/>
          <w:sz w:val="32"/>
          <w:szCs w:val="32"/>
        </w:rPr>
        <w:t>二、收入决算情况说明</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收入总计</w:t>
      </w:r>
      <w:r>
        <w:rPr>
          <w:rFonts w:hint="eastAsia" w:ascii="仿宋_GB2312" w:hAnsi="仿宋_GB2312" w:eastAsia="仿宋_GB2312" w:cs="仿宋_GB2312"/>
          <w:color w:val="000000"/>
          <w:sz w:val="32"/>
          <w:szCs w:val="32"/>
        </w:rPr>
        <w:t>99.66万元。包括：</w:t>
      </w:r>
    </w:p>
    <w:p>
      <w:pPr>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(1)公共预算财政拨款收入99.63万元，为县级财政当年拨付的公共预算资金财政拨款。 </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(2)上年结转和结余0.03万元，为</w:t>
      </w:r>
      <w:r>
        <w:rPr>
          <w:rFonts w:hint="eastAsia" w:ascii="仿宋_GB2312" w:hAnsi="仿宋_GB2312" w:eastAsia="仿宋_GB2312" w:cs="仿宋_GB2312"/>
          <w:color w:val="000000"/>
          <w:kern w:val="0"/>
          <w:sz w:val="32"/>
          <w:szCs w:val="32"/>
        </w:rPr>
        <w:t>以前年度尚未列支，结转到本年仍按原规定用途继续使用的资金</w:t>
      </w:r>
      <w:r>
        <w:rPr>
          <w:rFonts w:hint="eastAsia" w:ascii="仿宋_GB2312" w:hAnsi="仿宋_GB2312" w:eastAsia="仿宋_GB2312" w:cs="仿宋_GB2312"/>
          <w:color w:val="000000"/>
          <w:sz w:val="32"/>
          <w:szCs w:val="32"/>
        </w:rPr>
        <w:t>。</w:t>
      </w:r>
    </w:p>
    <w:p>
      <w:pPr>
        <w:spacing w:line="500" w:lineRule="exact"/>
        <w:ind w:firstLine="640" w:firstLineChars="200"/>
        <w:rPr>
          <w:rFonts w:ascii="黑体" w:hAnsi="黑体" w:eastAsia="黑体"/>
          <w:color w:val="000000"/>
          <w:kern w:val="0"/>
          <w:sz w:val="32"/>
          <w:szCs w:val="32"/>
        </w:rPr>
      </w:pPr>
      <w:r>
        <w:rPr>
          <w:rFonts w:hint="eastAsia" w:ascii="仿宋_GB2312" w:hAnsi="仿宋_GB2312" w:eastAsia="仿宋_GB2312" w:cs="仿宋_GB2312"/>
          <w:color w:val="000000"/>
          <w:sz w:val="32"/>
          <w:szCs w:val="32"/>
        </w:rPr>
        <w:drawing>
          <wp:anchor distT="0" distB="0" distL="114300" distR="114300" simplePos="0" relativeHeight="251659264" behindDoc="0" locked="0" layoutInCell="1" allowOverlap="1">
            <wp:simplePos x="0" y="0"/>
            <wp:positionH relativeFrom="column">
              <wp:posOffset>353695</wp:posOffset>
            </wp:positionH>
            <wp:positionV relativeFrom="paragraph">
              <wp:posOffset>165100</wp:posOffset>
            </wp:positionV>
            <wp:extent cx="4441825" cy="2418080"/>
            <wp:effectExtent l="4445" t="4445" r="11430" b="1587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00" w:lineRule="exact"/>
        <w:ind w:firstLine="640" w:firstLineChars="200"/>
        <w:rPr>
          <w:rFonts w:cs="Times New Roman" w:asciiTheme="minorEastAsia" w:hAnsiTheme="minorEastAsia" w:eastAsiaTheme="minorEastAsia"/>
          <w:color w:val="000000"/>
          <w:kern w:val="0"/>
          <w:sz w:val="32"/>
          <w:szCs w:val="32"/>
        </w:rPr>
      </w:pPr>
      <w:r>
        <w:rPr>
          <w:rFonts w:hint="eastAsia" w:ascii="黑体" w:hAnsi="黑体" w:eastAsia="黑体"/>
          <w:color w:val="000000"/>
          <w:kern w:val="0"/>
          <w:sz w:val="32"/>
          <w:szCs w:val="32"/>
        </w:rPr>
        <w:t xml:space="preserve">三、支出决算情况说明  </w:t>
      </w:r>
    </w:p>
    <w:p>
      <w:pPr>
        <w:pStyle w:val="7"/>
        <w:shd w:val="clear" w:color="auto" w:fill="FFFFFF"/>
        <w:spacing w:line="500" w:lineRule="exact"/>
        <w:ind w:firstLine="600"/>
        <w:rPr>
          <w:rFonts w:cs="Times New Roman" w:asciiTheme="minorEastAsia" w:hAnsiTheme="minorEastAsia" w:eastAsiaTheme="minorEastAsia"/>
          <w:color w:val="333333"/>
          <w:kern w:val="0"/>
          <w:sz w:val="32"/>
          <w:szCs w:val="32"/>
        </w:rPr>
      </w:pPr>
      <w:r>
        <w:rPr>
          <w:rFonts w:hint="eastAsia" w:cs="Times New Roman" w:asciiTheme="minorEastAsia" w:hAnsiTheme="minorEastAsia" w:eastAsiaTheme="minorEastAsia"/>
          <w:color w:val="000000"/>
          <w:kern w:val="0"/>
          <w:sz w:val="32"/>
          <w:szCs w:val="32"/>
        </w:rPr>
        <w:t>支出总计</w:t>
      </w:r>
      <w:r>
        <w:rPr>
          <w:rFonts w:hint="eastAsia" w:asciiTheme="minorEastAsia" w:hAnsiTheme="minorEastAsia" w:eastAsiaTheme="minorEastAsia"/>
          <w:color w:val="000000"/>
          <w:sz w:val="32"/>
          <w:szCs w:val="32"/>
        </w:rPr>
        <w:t>99.66</w:t>
      </w:r>
      <w:r>
        <w:rPr>
          <w:rFonts w:hint="eastAsia" w:cs="Times New Roman" w:asciiTheme="minorEastAsia" w:hAnsiTheme="minorEastAsia" w:eastAsiaTheme="minorEastAsia"/>
          <w:color w:val="000000"/>
          <w:kern w:val="0"/>
          <w:sz w:val="32"/>
          <w:szCs w:val="32"/>
        </w:rPr>
        <w:t>万元，包括：</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(1)基本支出63.63万元，主要是为保障机构正常运转、完成日常工作任务而发生的各项支出。其中：工资福利支出57.98万元，商品和服务支出5.65万元。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(2)项目支出36万元,主要为</w:t>
      </w:r>
      <w:r>
        <w:rPr>
          <w:rFonts w:hint="eastAsia" w:ascii="仿宋_GB2312" w:hAnsi="仿宋_GB2312" w:eastAsia="仿宋_GB2312" w:cs="仿宋_GB2312"/>
          <w:sz w:val="32"/>
          <w:szCs w:val="32"/>
        </w:rPr>
        <w:t>科技之春集中示范活动、科普大篷车运行、农民培训、老科协活动经费等专项支出。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(3)年末结转和结余0.03万元，主要是</w:t>
      </w:r>
      <w:r>
        <w:rPr>
          <w:rFonts w:hint="eastAsia" w:ascii="仿宋_GB2312" w:hAnsi="仿宋_GB2312" w:eastAsia="仿宋_GB2312" w:cs="仿宋_GB2312"/>
          <w:kern w:val="0"/>
          <w:sz w:val="32"/>
          <w:szCs w:val="32"/>
        </w:rPr>
        <w:t>以前年度预算安排、因客观条件发生变化无法按原计划实施，需延迟到以后年度按原规定用途继续使用的资金</w:t>
      </w:r>
      <w:r>
        <w:rPr>
          <w:rFonts w:hint="eastAsia" w:ascii="仿宋_GB2312" w:hAnsi="仿宋_GB2312" w:eastAsia="仿宋_GB2312" w:cs="仿宋_GB2312"/>
          <w:sz w:val="32"/>
          <w:szCs w:val="32"/>
        </w:rPr>
        <w:t>。</w:t>
      </w:r>
    </w:p>
    <w:p>
      <w:pPr>
        <w:spacing w:line="500" w:lineRule="exact"/>
        <w:ind w:firstLine="640" w:firstLineChars="200"/>
        <w:rPr>
          <w:rFonts w:ascii="黑体" w:hAnsi="黑体" w:eastAsia="黑体"/>
          <w:color w:val="000000"/>
          <w:kern w:val="0"/>
          <w:sz w:val="32"/>
          <w:szCs w:val="32"/>
        </w:rPr>
      </w:pPr>
      <w:r>
        <w:rPr>
          <w:rFonts w:hint="eastAsia" w:ascii="黑体" w:hAnsi="黑体" w:eastAsia="黑体"/>
          <w:color w:val="000000"/>
          <w:sz w:val="32"/>
          <w:szCs w:val="32"/>
        </w:rPr>
        <w:drawing>
          <wp:anchor distT="0" distB="0" distL="114300" distR="114300" simplePos="0" relativeHeight="251660288" behindDoc="0" locked="0" layoutInCell="1" allowOverlap="1">
            <wp:simplePos x="0" y="0"/>
            <wp:positionH relativeFrom="column">
              <wp:posOffset>234315</wp:posOffset>
            </wp:positionH>
            <wp:positionV relativeFrom="paragraph">
              <wp:posOffset>59055</wp:posOffset>
            </wp:positionV>
            <wp:extent cx="5191760" cy="4684395"/>
            <wp:effectExtent l="4445" t="4445" r="23495" b="7366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kern w:val="0"/>
          <w:sz w:val="32"/>
          <w:szCs w:val="32"/>
        </w:rPr>
        <w:t xml:space="preserve">四、财政拨款收入支出决算总体情况说明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1092835</wp:posOffset>
            </wp:positionH>
            <wp:positionV relativeFrom="paragraph">
              <wp:posOffset>796925</wp:posOffset>
            </wp:positionV>
            <wp:extent cx="3166110" cy="2049145"/>
            <wp:effectExtent l="0" t="0" r="15240" b="825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sz w:val="32"/>
          <w:szCs w:val="32"/>
        </w:rPr>
        <w:t>财政拨款本年度收入总计</w:t>
      </w:r>
      <w:r>
        <w:rPr>
          <w:rFonts w:hint="eastAsia" w:ascii="仿宋_GB2312" w:hAnsi="仿宋_GB2312" w:eastAsia="仿宋_GB2312" w:cs="仿宋_GB2312"/>
          <w:color w:val="000000"/>
          <w:sz w:val="32"/>
          <w:szCs w:val="32"/>
        </w:rPr>
        <w:t>99.66万元，</w:t>
      </w:r>
      <w:r>
        <w:rPr>
          <w:rFonts w:hint="eastAsia" w:ascii="仿宋_GB2312" w:hAnsi="仿宋_GB2312" w:eastAsia="仿宋_GB2312" w:cs="仿宋_GB2312"/>
          <w:color w:val="000000"/>
          <w:kern w:val="0"/>
          <w:sz w:val="32"/>
          <w:szCs w:val="32"/>
        </w:rPr>
        <w:t>支出总计99.66万元都</w:t>
      </w:r>
      <w:r>
        <w:rPr>
          <w:rFonts w:hint="eastAsia" w:ascii="仿宋_GB2312" w:hAnsi="仿宋_GB2312" w:eastAsia="仿宋_GB2312" w:cs="仿宋_GB2312"/>
          <w:sz w:val="32"/>
          <w:szCs w:val="32"/>
        </w:rPr>
        <w:t>比上年有所减少，减少主要原因为工作业务有所变化。</w:t>
      </w:r>
    </w:p>
    <w:p>
      <w:pPr>
        <w:spacing w:line="500" w:lineRule="exact"/>
        <w:ind w:firstLine="720" w:firstLineChars="225"/>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pStyle w:val="7"/>
        <w:shd w:val="clear" w:color="auto" w:fill="FFFFFF"/>
        <w:spacing w:line="500" w:lineRule="exact"/>
        <w:ind w:firstLine="600"/>
        <w:rPr>
          <w:rFonts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color w:val="000000"/>
          <w:kern w:val="0"/>
          <w:sz w:val="32"/>
          <w:szCs w:val="32"/>
        </w:rPr>
        <w:t>支出总计99.66万元，包括：</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114300" distR="114300" simplePos="0" relativeHeight="251668480" behindDoc="0" locked="0" layoutInCell="1" allowOverlap="1">
            <wp:simplePos x="0" y="0"/>
            <wp:positionH relativeFrom="column">
              <wp:posOffset>383540</wp:posOffset>
            </wp:positionH>
            <wp:positionV relativeFrom="page">
              <wp:posOffset>4731385</wp:posOffset>
            </wp:positionV>
            <wp:extent cx="5137150" cy="3999865"/>
            <wp:effectExtent l="4445" t="4445" r="20955" b="7239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color w:val="000000"/>
          <w:sz w:val="32"/>
          <w:szCs w:val="32"/>
        </w:rPr>
        <w:t>(1)基本支出63.63万元，主要是为保障机构正常运转、完成日常工作任务而发生的各项支出。其中：工资福利支出57.98万元，商品和服务支出5.65万元。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(2)项目支出36万元,主要为</w:t>
      </w:r>
      <w:r>
        <w:rPr>
          <w:rFonts w:hint="eastAsia" w:ascii="仿宋_GB2312" w:hAnsi="仿宋_GB2312" w:eastAsia="仿宋_GB2312" w:cs="仿宋_GB2312"/>
          <w:sz w:val="32"/>
          <w:szCs w:val="32"/>
        </w:rPr>
        <w:t>科技之春集中示范活动、科普大篷车运行、农民培训、老科协活动经费等专项支出。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(3)年末结转和结余0.03万元，主要是</w:t>
      </w:r>
      <w:r>
        <w:rPr>
          <w:rFonts w:hint="eastAsia" w:ascii="仿宋_GB2312" w:hAnsi="仿宋_GB2312" w:eastAsia="仿宋_GB2312" w:cs="仿宋_GB2312"/>
          <w:kern w:val="0"/>
          <w:sz w:val="32"/>
          <w:szCs w:val="32"/>
        </w:rPr>
        <w:t>以前年度预算安排、因客观条件发生变化无法按原计划实施，需延迟到以后年度按原规定用途继续使用的资金</w:t>
      </w:r>
      <w:r>
        <w:rPr>
          <w:rFonts w:hint="eastAsia" w:ascii="仿宋_GB2312" w:hAnsi="仿宋_GB2312" w:eastAsia="仿宋_GB2312" w:cs="仿宋_GB2312"/>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jc w:val="left"/>
      </w:pPr>
      <w:r>
        <w:rPr>
          <w:rFonts w:hint="eastAsia" w:ascii="仿宋_GB2312" w:hAnsi="仿宋" w:eastAsia="仿宋_GB2312"/>
          <w:sz w:val="32"/>
          <w:szCs w:val="32"/>
        </w:rPr>
        <w:t xml:space="preserve">    </w:t>
      </w: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99.63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99.63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1.一般公共服务支出（类）</w:t>
      </w:r>
      <w:r>
        <w:rPr>
          <w:rFonts w:hint="eastAsia" w:ascii="仿宋_GB2312" w:hAnsi="宋体" w:eastAsia="仿宋_GB2312" w:cs="仿宋_GB2312"/>
          <w:b/>
          <w:color w:val="000000"/>
          <w:kern w:val="0"/>
          <w:sz w:val="32"/>
          <w:szCs w:val="32"/>
        </w:rPr>
        <w:t>组织事务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公务员事务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0" w:firstLineChars="200"/>
        <w:jc w:val="left"/>
      </w:pPr>
      <w:r>
        <w:rPr>
          <w:rFonts w:ascii="仿宋_GB2312" w:hAnsi="宋体" w:eastAsia="仿宋_GB2312" w:cs="仿宋_GB2312"/>
          <w:color w:val="000000"/>
          <w:kern w:val="0"/>
          <w:sz w:val="32"/>
          <w:szCs w:val="32"/>
        </w:rPr>
        <w:t>2.</w:t>
      </w:r>
      <w:r>
        <w:rPr>
          <w:rFonts w:hint="eastAsia" w:ascii="仿宋_GB2312" w:hAnsi="宋体" w:eastAsia="仿宋_GB2312" w:cs="仿宋_GB2312"/>
          <w:b/>
          <w:color w:val="000000"/>
          <w:kern w:val="0"/>
          <w:sz w:val="32"/>
          <w:szCs w:val="32"/>
        </w:rPr>
        <w:t>科学技术</w:t>
      </w:r>
      <w:r>
        <w:rPr>
          <w:rFonts w:ascii="仿宋_GB2312" w:hAnsi="宋体" w:eastAsia="仿宋_GB2312" w:cs="仿宋_GB2312"/>
          <w:b/>
          <w:color w:val="000000"/>
          <w:kern w:val="0"/>
          <w:sz w:val="32"/>
          <w:szCs w:val="32"/>
        </w:rPr>
        <w:t>支出（类）</w:t>
      </w:r>
      <w:r>
        <w:rPr>
          <w:rFonts w:hint="eastAsia" w:ascii="仿宋_GB2312" w:hAnsi="宋体" w:eastAsia="仿宋_GB2312" w:cs="仿宋_GB2312"/>
          <w:b/>
          <w:color w:val="000000"/>
          <w:kern w:val="0"/>
          <w:sz w:val="32"/>
          <w:szCs w:val="32"/>
        </w:rPr>
        <w:t>科学技术普及</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机构运行</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51.15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51.15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0" w:firstLineChars="200"/>
        <w:jc w:val="left"/>
      </w:pP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科学技术</w:t>
      </w:r>
      <w:r>
        <w:rPr>
          <w:rFonts w:ascii="仿宋_GB2312" w:hAnsi="宋体" w:eastAsia="仿宋_GB2312" w:cs="仿宋_GB2312"/>
          <w:b/>
          <w:color w:val="000000"/>
          <w:kern w:val="0"/>
          <w:sz w:val="32"/>
          <w:szCs w:val="32"/>
        </w:rPr>
        <w:t>支出（类）</w:t>
      </w:r>
      <w:r>
        <w:rPr>
          <w:rFonts w:hint="eastAsia" w:ascii="仿宋_GB2312" w:hAnsi="宋体" w:eastAsia="仿宋_GB2312" w:cs="仿宋_GB2312"/>
          <w:b/>
          <w:color w:val="000000"/>
          <w:kern w:val="0"/>
          <w:sz w:val="32"/>
          <w:szCs w:val="32"/>
        </w:rPr>
        <w:t>科学技术普及</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科普活动</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0" w:firstLineChars="200"/>
        <w:jc w:val="left"/>
      </w:pP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科学技术</w:t>
      </w:r>
      <w:r>
        <w:rPr>
          <w:rFonts w:ascii="仿宋_GB2312" w:hAnsi="宋体" w:eastAsia="仿宋_GB2312" w:cs="仿宋_GB2312"/>
          <w:b/>
          <w:color w:val="000000"/>
          <w:kern w:val="0"/>
          <w:sz w:val="32"/>
          <w:szCs w:val="32"/>
        </w:rPr>
        <w:t>支出（类）</w:t>
      </w:r>
      <w:r>
        <w:rPr>
          <w:rFonts w:hint="eastAsia" w:ascii="仿宋_GB2312" w:hAnsi="宋体" w:eastAsia="仿宋_GB2312" w:cs="仿宋_GB2312"/>
          <w:b/>
          <w:color w:val="000000"/>
          <w:kern w:val="0"/>
          <w:sz w:val="32"/>
          <w:szCs w:val="32"/>
        </w:rPr>
        <w:t>科学技术普及</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科技馆站</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numPr>
          <w:ilvl w:val="0"/>
          <w:numId w:val="1"/>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科学技术</w:t>
      </w:r>
      <w:r>
        <w:rPr>
          <w:rFonts w:ascii="仿宋_GB2312" w:hAnsi="宋体" w:eastAsia="仿宋_GB2312" w:cs="仿宋_GB2312"/>
          <w:b/>
          <w:color w:val="000000"/>
          <w:kern w:val="0"/>
          <w:sz w:val="32"/>
          <w:szCs w:val="32"/>
        </w:rPr>
        <w:t>支出（类）</w:t>
      </w:r>
      <w:r>
        <w:rPr>
          <w:rFonts w:hint="eastAsia" w:ascii="仿宋_GB2312" w:hAnsi="宋体" w:eastAsia="仿宋_GB2312" w:cs="仿宋_GB2312"/>
          <w:b/>
          <w:color w:val="000000"/>
          <w:kern w:val="0"/>
          <w:sz w:val="32"/>
          <w:szCs w:val="32"/>
        </w:rPr>
        <w:t>科学技术普及</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其他科学技术普及支出</w:t>
      </w:r>
      <w:r>
        <w:rPr>
          <w:rFonts w:ascii="仿宋_GB2312" w:hAnsi="宋体" w:eastAsia="仿宋_GB2312" w:cs="仿宋_GB2312"/>
          <w:b/>
          <w:color w:val="000000"/>
          <w:kern w:val="0"/>
          <w:sz w:val="32"/>
          <w:szCs w:val="32"/>
        </w:rPr>
        <w:t>（项）。</w:t>
      </w:r>
    </w:p>
    <w:p>
      <w:pPr>
        <w:widowControl/>
        <w:ind w:firstLine="640" w:firstLineChars="200"/>
        <w:jc w:val="left"/>
      </w:pP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支出（类）</w:t>
      </w:r>
      <w:r>
        <w:rPr>
          <w:rFonts w:hint="eastAsia" w:ascii="仿宋_GB2312" w:hAnsi="宋体" w:eastAsia="仿宋_GB2312" w:cs="仿宋_GB2312"/>
          <w:b/>
          <w:color w:val="000000"/>
          <w:kern w:val="0"/>
          <w:sz w:val="32"/>
          <w:szCs w:val="32"/>
        </w:rPr>
        <w:t>行政事业单位离退休</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机关事业单位基本养老保险缴费支出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6.97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6.97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0" w:firstLineChars="200"/>
        <w:jc w:val="left"/>
      </w:pPr>
      <w:r>
        <w:rPr>
          <w:rFonts w:hint="eastAsia" w:ascii="仿宋_GB2312" w:hAnsi="宋体" w:eastAsia="仿宋_GB2312" w:cs="仿宋_GB2312"/>
          <w:color w:val="000000"/>
          <w:kern w:val="0"/>
          <w:sz w:val="32"/>
          <w:szCs w:val="32"/>
        </w:rPr>
        <w:t>7</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行政事业单位医疗</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行政单位医疗</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2.59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2.59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0" w:firstLineChars="200"/>
        <w:jc w:val="left"/>
      </w:pPr>
      <w:r>
        <w:rPr>
          <w:rFonts w:hint="eastAsia" w:ascii="仿宋_GB2312" w:hAnsi="宋体" w:eastAsia="仿宋_GB2312" w:cs="仿宋_GB2312"/>
          <w:color w:val="000000"/>
          <w:kern w:val="0"/>
          <w:sz w:val="32"/>
          <w:szCs w:val="32"/>
        </w:rPr>
        <w:t>8</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住房保障</w:t>
      </w:r>
      <w:r>
        <w:rPr>
          <w:rFonts w:ascii="仿宋_GB2312" w:hAnsi="宋体" w:eastAsia="仿宋_GB2312" w:cs="仿宋_GB2312"/>
          <w:b/>
          <w:color w:val="000000"/>
          <w:kern w:val="0"/>
          <w:sz w:val="32"/>
          <w:szCs w:val="32"/>
        </w:rPr>
        <w:t>支出（类）</w:t>
      </w:r>
      <w:r>
        <w:rPr>
          <w:rFonts w:hint="eastAsia" w:ascii="仿宋_GB2312" w:hAnsi="宋体" w:eastAsia="仿宋_GB2312" w:cs="仿宋_GB2312"/>
          <w:b/>
          <w:color w:val="000000"/>
          <w:kern w:val="0"/>
          <w:sz w:val="32"/>
          <w:szCs w:val="32"/>
        </w:rPr>
        <w:t>住房改革支出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住房公积金</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2.63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2.63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w:t>
      </w:r>
      <w:bookmarkStart w:id="4" w:name="_GoBack"/>
      <w:bookmarkEnd w:id="4"/>
      <w:r>
        <w:rPr>
          <w:rFonts w:hint="eastAsia" w:ascii="黑体" w:hAnsi="黑体" w:eastAsia="黑体"/>
          <w:color w:val="000000"/>
          <w:kern w:val="0"/>
          <w:sz w:val="32"/>
          <w:szCs w:val="32"/>
        </w:rPr>
        <w:t xml:space="preserve">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一般公共预算财政拨款基本支出支出总计63.63万元，</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其中：工资福利支出57.98万元，商品和服务支出5.65万元。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57.98</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26.45万元；津贴补贴17.14万元；奖金2.21万元；机关事业单位养老保险缴费6.97万元；公务员医疗补助缴费2.59万元；住房公积金2.63万元。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5.65</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rPr>
        <w:t>0.41万元；水费0.08万元；电费0.07万元；邮电费0.08万元；差旅费0.36万元；公务接待费0.15万元；劳务费0.22万元公务用车运行维护费0.50万元；其他交通费用3.78万元。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0.68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0.65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95</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减少0.03万元，</w:t>
      </w:r>
      <w:r>
        <w:rPr>
          <w:rFonts w:ascii="仿宋_GB2312" w:hAnsi="宋体" w:eastAsia="仿宋_GB2312" w:cs="仿宋_GB2312"/>
          <w:color w:val="000000"/>
          <w:kern w:val="0"/>
          <w:sz w:val="32"/>
          <w:szCs w:val="32"/>
        </w:rPr>
        <w:t>主要原因是</w:t>
      </w:r>
      <w:r>
        <w:rPr>
          <w:rFonts w:hint="eastAsia" w:cs="Times New Roman" w:asciiTheme="minorEastAsia" w:hAnsiTheme="minorEastAsia" w:eastAsiaTheme="minorEastAsia"/>
          <w:color w:val="000000"/>
          <w:kern w:val="0"/>
          <w:sz w:val="32"/>
          <w:szCs w:val="32"/>
        </w:rPr>
        <w:t>执行八项规定，压缩开支</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77</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0.15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23</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4批次，40人次，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0.18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0.15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83%，决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减少（增加）0.03万元，</w:t>
      </w:r>
      <w:r>
        <w:rPr>
          <w:rFonts w:ascii="仿宋_GB2312" w:hAnsi="宋体" w:eastAsia="仿宋_GB2312" w:cs="仿宋_GB2312"/>
          <w:color w:val="000000"/>
          <w:kern w:val="0"/>
          <w:sz w:val="32"/>
          <w:szCs w:val="32"/>
        </w:rPr>
        <w:t>主要原因是</w:t>
      </w:r>
      <w:r>
        <w:rPr>
          <w:rFonts w:hint="eastAsia" w:cs="Times New Roman" w:asciiTheme="minorEastAsia" w:hAnsiTheme="minorEastAsia" w:eastAsiaTheme="minorEastAsia"/>
          <w:color w:val="000000"/>
          <w:kern w:val="0"/>
          <w:sz w:val="32"/>
          <w:szCs w:val="32"/>
        </w:rPr>
        <w:t>执行八项规定，压缩开支</w:t>
      </w:r>
      <w:r>
        <w:rPr>
          <w:rFonts w:hint="eastAsia" w:ascii="仿宋_GB2312" w:hAnsi="宋体" w:eastAsia="仿宋_GB2312" w:cs="仿宋_GB2312"/>
          <w:color w:val="000000"/>
          <w:kern w:val="0"/>
          <w:sz w:val="32"/>
          <w:szCs w:val="32"/>
        </w:rPr>
        <w:t>。</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本部门无国有资本经营财政拨款收入。</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36</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37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如不涉本部门无政府性基金预算项目。</w:t>
      </w:r>
    </w:p>
    <w:p>
      <w:pPr>
        <w:widowControl/>
        <w:numPr>
          <w:ilvl w:val="0"/>
          <w:numId w:val="2"/>
        </w:numPr>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部门决算中项目绩效自评结果。</w:t>
      </w:r>
    </w:p>
    <w:p>
      <w:pPr>
        <w:keepNext/>
        <w:widowControl/>
        <w:ind w:firstLine="643" w:firstLineChars="200"/>
        <w:rPr>
          <w:rFonts w:ascii="仿宋_GB2312" w:hAnsi="仿宋_GB2312" w:eastAsia="仿宋_GB2312" w:cs="仿宋_GB2312"/>
          <w:color w:val="000000"/>
          <w:kern w:val="0"/>
          <w:sz w:val="32"/>
          <w:szCs w:val="32"/>
        </w:rPr>
      </w:pPr>
      <w:r>
        <w:rPr>
          <w:rFonts w:hint="eastAsia" w:ascii="楷体_GB2312" w:hAnsi="宋体" w:eastAsia="楷体_GB2312" w:cs="楷体_GB2312"/>
          <w:b/>
          <w:color w:val="000000"/>
          <w:kern w:val="0"/>
          <w:sz w:val="32"/>
          <w:szCs w:val="32"/>
        </w:rPr>
        <w:t xml:space="preserve"> </w:t>
      </w:r>
      <w:r>
        <w:rPr>
          <w:rFonts w:hint="eastAsia" w:ascii="仿宋_GB2312" w:hAnsi="仿宋_GB2312" w:eastAsia="仿宋_GB2312" w:cs="仿宋_GB2312"/>
          <w:color w:val="000000"/>
          <w:kern w:val="0"/>
          <w:sz w:val="32"/>
          <w:szCs w:val="32"/>
        </w:rPr>
        <w:t>1.科普活动项目绩效自评综述：根据年初设定的绩效目标，项目自评得分100分。项目全年预算数19万元，执行数19万元，完成预算的100%。主要产出和效果：通过项目实施</w:t>
      </w:r>
      <w:r>
        <w:rPr>
          <w:rFonts w:hint="eastAsia" w:ascii="仿宋_GB2312" w:hAnsi="仿宋_GB2312" w:eastAsia="仿宋_GB2312" w:cs="仿宋_GB2312"/>
          <w:color w:val="000000"/>
          <w:sz w:val="32"/>
          <w:szCs w:val="32"/>
        </w:rPr>
        <w:t>组织开展“科技之春”宣传月活动和“全国科普日”等全县性科普宣传活动，以未成年人、农民、城镇劳动者、领导干部和公务员等人群为重点，宣传教育7.71万人次，培训2.05万人次，义诊咨询答疑服务8937人次。</w:t>
      </w:r>
      <w:r>
        <w:rPr>
          <w:rFonts w:hint="eastAsia" w:ascii="仿宋_GB2312" w:hAnsi="仿宋_GB2312" w:eastAsia="仿宋_GB2312" w:cs="仿宋_GB2312"/>
          <w:color w:val="000000"/>
          <w:kern w:val="0"/>
          <w:sz w:val="32"/>
          <w:szCs w:val="32"/>
        </w:rPr>
        <w:t>提高了基层农技协服务水平。</w:t>
      </w:r>
    </w:p>
    <w:p>
      <w:pPr>
        <w:keepNext/>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科普宣传活动项目绩效自评综述：根据年初设定的绩效目标，项目自评得分100分。项目全年预算数17万元，执行数17万元，完成预算的100%。主要产出和效果：通过项目实施为群众举办猕猴桃实用技术培训；邀请柿子协会技术骨干该村担任技术顾问，为甜柿子种植贫困户常年提供技术咨询指导服务，为区域农业发展和贫困群众脱贫提供了科技助力，提升了全民科学素质。</w:t>
      </w:r>
    </w:p>
    <w:p>
      <w:pPr>
        <w:widowControl/>
        <w:jc w:val="left"/>
        <w:rPr>
          <w:rFonts w:ascii="楷体_GB2312" w:hAnsi="宋体" w:eastAsia="楷体_GB2312" w:cs="楷体_GB2312"/>
          <w:b/>
          <w:color w:val="000000"/>
          <w:kern w:val="0"/>
          <w:sz w:val="32"/>
          <w:szCs w:val="32"/>
        </w:rPr>
      </w:pPr>
    </w:p>
    <w:p>
      <w:pPr>
        <w:widowControl/>
        <w:jc w:val="left"/>
        <w:rPr>
          <w:rFonts w:ascii="楷体" w:hAnsi="楷体" w:eastAsia="楷体" w:cs="楷体"/>
          <w:sz w:val="32"/>
          <w:szCs w:val="32"/>
        </w:rPr>
        <w:sectPr>
          <w:pgSz w:w="11906" w:h="16838"/>
          <w:pgMar w:top="1474" w:right="1588" w:bottom="1474" w:left="1474" w:header="851" w:footer="992" w:gutter="0"/>
          <w:cols w:space="0" w:num="1"/>
          <w:docGrid w:type="lines" w:linePitch="315" w:charSpace="0"/>
        </w:sectPr>
      </w:pPr>
      <w:bookmarkStart w:id="0" w:name="_MON_1662904203"/>
      <w:bookmarkEnd w:id="0"/>
      <w:bookmarkStart w:id="1" w:name="_MON_1662903531"/>
      <w:bookmarkEnd w:id="1"/>
      <w:bookmarkStart w:id="2" w:name="_MON_1662903371"/>
      <w:bookmarkEnd w:id="2"/>
      <w:bookmarkStart w:id="3" w:name="_MON_1662893808"/>
      <w:bookmarkEnd w:id="3"/>
      <w:r>
        <w:rPr>
          <w:rFonts w:hint="eastAsia" w:ascii="楷体" w:hAnsi="楷体" w:eastAsia="楷体" w:cs="楷体"/>
          <w:sz w:val="32"/>
          <w:szCs w:val="32"/>
        </w:rPr>
        <w:object>
          <v:shape id="_x0000_i1025" o:spt="75" type="#_x0000_t75" style="height:645.75pt;width:441.75pt;" o:ole="t" filled="f" o:preferrelative="t" stroked="f" coordsize="21600,21600">
            <v:path/>
            <v:fill on="f" focussize="0,0"/>
            <v:stroke on="f" joinstyle="miter"/>
            <v:imagedata r:id="rId11" o:title=""/>
            <o:lock v:ext="edit" aspectratio="t"/>
            <w10:wrap type="none"/>
            <w10:anchorlock/>
          </v:shape>
          <o:OLEObject Type="Embed" ProgID="Excel.Sheet.8" ShapeID="_x0000_i1025" DrawAspect="Content" ObjectID="_1468075725" r:id="rId10">
            <o:LockedField>false</o:LockedField>
          </o:OLEObject>
        </w:object>
      </w:r>
    </w:p>
    <w:p>
      <w:pPr>
        <w:widowControl/>
        <w:jc w:val="left"/>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6" o:spt="75" type="#_x0000_t75" style="height:1281pt;width:549.75pt;" o:ole="t" filled="f" o:preferrelative="t" stroked="f" coordsize="21600,21600">
            <v:path/>
            <v:fill on="f" focussize="0,0"/>
            <v:stroke on="f" joinstyle="miter"/>
            <v:imagedata r:id="rId13" o:title=""/>
            <o:lock v:ext="edit" aspectratio="t"/>
            <w10:wrap type="none"/>
            <w10:anchorlock/>
          </v:shape>
          <o:OLEObject Type="Embed" ProgID="Excel.Sheet.8" ShapeID="_x0000_i1026" DrawAspect="Content" ObjectID="_1468075726" r:id="rId12">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75pt;width:648.75pt;" o:ole="t" filled="f" o:preferrelative="t" stroked="f" coordsize="21600,21600">
            <v:path/>
            <v:fill on="f" focussize="0,0"/>
            <v:stroke on="f" joinstyle="miter"/>
            <v:imagedata r:id="rId15" o:title=""/>
            <o:lock v:ext="edit" aspectratio="t"/>
            <w10:wrap type="none"/>
            <w10:anchorlock/>
          </v:shape>
          <o:OLEObject Type="Embed" ProgID="Excel.Sheet.8" ShapeID="_x0000_i1027" DrawAspect="Content" ObjectID="_1468075727" r:id="rId14">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31.5pt;" o:ole="t" filled="f" o:preferrelative="t" stroked="f" coordsize="21600,21600">
            <v:path/>
            <v:fill on="f" focussize="0,0"/>
            <v:stroke on="f" joinstyle="miter"/>
            <v:imagedata r:id="rId17" o:title=""/>
            <o:lock v:ext="edit" aspectratio="t"/>
            <w10:wrap type="none"/>
            <w10:anchorlock/>
          </v:shape>
          <o:OLEObject Type="Embed" ProgID="Excel.Sheet.8" ShapeID="_x0000_i1028" DrawAspect="Content" ObjectID="_1468075728" r:id="rId16">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51.15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51.15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2019年本部门政府采购支出总额共4.6万元，其中政府采购货物类支出4.6万元、政府采购工程类支出***万元。</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截至2019年末，本部门机关及所属单位共有车辆1辆；单价50万元以上的通用设备0台（套）；单价100万元以上的专用设备0台（套）。201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5FBA6"/>
    <w:multiLevelType w:val="singleLevel"/>
    <w:tmpl w:val="96A5FBA6"/>
    <w:lvl w:ilvl="0" w:tentative="0">
      <w:start w:val="5"/>
      <w:numFmt w:val="decimal"/>
      <w:lvlText w:val="%1."/>
      <w:lvlJc w:val="left"/>
      <w:pPr>
        <w:tabs>
          <w:tab w:val="left" w:pos="312"/>
        </w:tabs>
      </w:pPr>
    </w:lvl>
  </w:abstractNum>
  <w:abstractNum w:abstractNumId="1">
    <w:nsid w:val="FF90E5B7"/>
    <w:multiLevelType w:val="singleLevel"/>
    <w:tmpl w:val="FF90E5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24A7E"/>
    <w:rsid w:val="002424C8"/>
    <w:rsid w:val="00245715"/>
    <w:rsid w:val="0027716B"/>
    <w:rsid w:val="002932BE"/>
    <w:rsid w:val="00297608"/>
    <w:rsid w:val="002A7893"/>
    <w:rsid w:val="002A7DC6"/>
    <w:rsid w:val="003017B4"/>
    <w:rsid w:val="00301A3B"/>
    <w:rsid w:val="003364E9"/>
    <w:rsid w:val="00344BCB"/>
    <w:rsid w:val="00344C05"/>
    <w:rsid w:val="00353E71"/>
    <w:rsid w:val="00397665"/>
    <w:rsid w:val="003C336F"/>
    <w:rsid w:val="003D54EF"/>
    <w:rsid w:val="0041189A"/>
    <w:rsid w:val="00452E2E"/>
    <w:rsid w:val="004A1F8F"/>
    <w:rsid w:val="004B6D6E"/>
    <w:rsid w:val="004F7265"/>
    <w:rsid w:val="005213FF"/>
    <w:rsid w:val="00585846"/>
    <w:rsid w:val="005D3BA1"/>
    <w:rsid w:val="00602A0C"/>
    <w:rsid w:val="00642D57"/>
    <w:rsid w:val="006614AE"/>
    <w:rsid w:val="006B43C6"/>
    <w:rsid w:val="006E56EB"/>
    <w:rsid w:val="006F01C7"/>
    <w:rsid w:val="007E2125"/>
    <w:rsid w:val="007E63B7"/>
    <w:rsid w:val="007F5D23"/>
    <w:rsid w:val="00813F4A"/>
    <w:rsid w:val="008329A3"/>
    <w:rsid w:val="00837DEF"/>
    <w:rsid w:val="009009A9"/>
    <w:rsid w:val="00912FFB"/>
    <w:rsid w:val="009343E7"/>
    <w:rsid w:val="009E186E"/>
    <w:rsid w:val="00A1646E"/>
    <w:rsid w:val="00A62D7C"/>
    <w:rsid w:val="00A6565C"/>
    <w:rsid w:val="00A96D49"/>
    <w:rsid w:val="00AA558A"/>
    <w:rsid w:val="00AF55A4"/>
    <w:rsid w:val="00B7276D"/>
    <w:rsid w:val="00B80654"/>
    <w:rsid w:val="00BE5A8F"/>
    <w:rsid w:val="00C07C7A"/>
    <w:rsid w:val="00CB5EF5"/>
    <w:rsid w:val="00CB7771"/>
    <w:rsid w:val="00CC1BFD"/>
    <w:rsid w:val="00CE1BAC"/>
    <w:rsid w:val="00CE7F71"/>
    <w:rsid w:val="00D1486A"/>
    <w:rsid w:val="00D2119A"/>
    <w:rsid w:val="00D32994"/>
    <w:rsid w:val="00D62E84"/>
    <w:rsid w:val="00DC6A7B"/>
    <w:rsid w:val="00E569EB"/>
    <w:rsid w:val="00E8111E"/>
    <w:rsid w:val="00E81A85"/>
    <w:rsid w:val="00EA2A1A"/>
    <w:rsid w:val="00EB7D0C"/>
    <w:rsid w:val="00F9628B"/>
    <w:rsid w:val="00FC30E1"/>
    <w:rsid w:val="013B79AC"/>
    <w:rsid w:val="01787266"/>
    <w:rsid w:val="06D7403F"/>
    <w:rsid w:val="125E2600"/>
    <w:rsid w:val="132E46A0"/>
    <w:rsid w:val="14411117"/>
    <w:rsid w:val="1586116E"/>
    <w:rsid w:val="18BB4AD7"/>
    <w:rsid w:val="1B1A3484"/>
    <w:rsid w:val="1B4A3FDA"/>
    <w:rsid w:val="1B524C98"/>
    <w:rsid w:val="1B9A3DA3"/>
    <w:rsid w:val="1C5E2F73"/>
    <w:rsid w:val="1D6E0C0D"/>
    <w:rsid w:val="1EBD0167"/>
    <w:rsid w:val="221C15BB"/>
    <w:rsid w:val="24A648C8"/>
    <w:rsid w:val="29785A6B"/>
    <w:rsid w:val="2D1F3974"/>
    <w:rsid w:val="31AA6038"/>
    <w:rsid w:val="33887EE3"/>
    <w:rsid w:val="34677C61"/>
    <w:rsid w:val="385D31D8"/>
    <w:rsid w:val="3A5A757E"/>
    <w:rsid w:val="3B121AD1"/>
    <w:rsid w:val="3CFD0D2E"/>
    <w:rsid w:val="3D4B20C7"/>
    <w:rsid w:val="41603979"/>
    <w:rsid w:val="42DC3082"/>
    <w:rsid w:val="4619368A"/>
    <w:rsid w:val="46BC2B19"/>
    <w:rsid w:val="471C6625"/>
    <w:rsid w:val="4D6E0FDF"/>
    <w:rsid w:val="4EE4307A"/>
    <w:rsid w:val="4F48610F"/>
    <w:rsid w:val="5153143F"/>
    <w:rsid w:val="54024AB6"/>
    <w:rsid w:val="5482169F"/>
    <w:rsid w:val="54F12DEE"/>
    <w:rsid w:val="5DBA558B"/>
    <w:rsid w:val="6200514F"/>
    <w:rsid w:val="75C31473"/>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rPr>
      <w:sz w:val="24"/>
    </w:rPr>
  </w:style>
  <w:style w:type="paragraph" w:styleId="8">
    <w:name w:val="annotation subject"/>
    <w:basedOn w:val="3"/>
    <w:next w:val="3"/>
    <w:link w:val="1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批注文字 Char"/>
    <w:basedOn w:val="11"/>
    <w:link w:val="3"/>
    <w:qFormat/>
    <w:uiPriority w:val="0"/>
    <w:rPr>
      <w:rFonts w:ascii="Calibri" w:hAnsi="Calibri" w:cs="黑体"/>
      <w:kern w:val="2"/>
      <w:sz w:val="21"/>
      <w:szCs w:val="24"/>
    </w:rPr>
  </w:style>
  <w:style w:type="character" w:customStyle="1" w:styleId="14">
    <w:name w:val="批注主题 Char"/>
    <w:basedOn w:val="13"/>
    <w:link w:val="8"/>
    <w:qFormat/>
    <w:uiPriority w:val="0"/>
    <w:rPr>
      <w:rFonts w:ascii="Calibri" w:hAnsi="Calibri" w:cs="黑体"/>
      <w:b/>
      <w:bCs/>
      <w:kern w:val="2"/>
      <w:sz w:val="21"/>
      <w:szCs w:val="24"/>
    </w:rPr>
  </w:style>
  <w:style w:type="character" w:customStyle="1" w:styleId="15">
    <w:name w:val="批注框文本 Char"/>
    <w:basedOn w:val="11"/>
    <w:link w:val="4"/>
    <w:qFormat/>
    <w:uiPriority w:val="0"/>
    <w:rPr>
      <w:rFonts w:ascii="Calibri" w:hAnsi="Calibri" w:cs="黑体"/>
      <w:kern w:val="2"/>
      <w:sz w:val="18"/>
      <w:szCs w:val="18"/>
    </w:rPr>
  </w:style>
  <w:style w:type="paragraph" w:customStyle="1" w:styleId="16">
    <w:name w:val="p0"/>
    <w:basedOn w:val="1"/>
    <w:next w:val="2"/>
    <w:qFormat/>
    <w:uiPriority w:val="0"/>
    <w:pPr>
      <w:widowControl/>
      <w:spacing w:line="365" w:lineRule="atLeast"/>
      <w:ind w:left="1"/>
      <w:textAlignment w:val="bottom"/>
    </w:pPr>
    <w:rPr>
      <w:rFonts w:ascii="Times New Roman" w:hAnsi="Times New Roman"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人员构成</a:t>
            </a:r>
          </a:p>
        </c:rich>
      </c:tx>
      <c:layout/>
      <c:overlay val="0"/>
      <c:spPr>
        <a:noFill/>
        <a:ln>
          <a:noFill/>
        </a:ln>
        <a:effectLst/>
      </c:spPr>
    </c:title>
    <c:autoTitleDeleted val="0"/>
    <c:plotArea>
      <c:layout/>
      <c:pieChart>
        <c:varyColors val="1"/>
        <c:ser>
          <c:idx val="0"/>
          <c:order val="0"/>
          <c:tx>
            <c:strRef>
              <c:f>Sheet1!$B$1</c:f>
              <c:strCache>
                <c:ptCount val="1"/>
                <c:pt idx="0">
                  <c:v>人员构成</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在职行政人员</c:v>
                </c:pt>
                <c:pt idx="1">
                  <c:v>离退休人员</c:v>
                </c:pt>
              </c:strCache>
            </c:strRef>
          </c:cat>
          <c:val>
            <c:numRef>
              <c:f>Sheet1!$B$2:$B$5</c:f>
              <c:numCache>
                <c:formatCode>General</c:formatCode>
                <c:ptCount val="4"/>
                <c:pt idx="0">
                  <c:v>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257625"/>
          <c:y val="0.9245"/>
          <c:w val="0.550625000000001"/>
          <c:h val="0.055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bg1"/>
      </a:solidFill>
      <a:prstDash val="sysDot"/>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收入支出总体对比图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c:f>
              <c:strCache>
                <c:ptCount val="1"/>
                <c:pt idx="0">
                  <c:v>单位：万元</c:v>
                </c:pt>
              </c:strCache>
            </c:strRef>
          </c:cat>
          <c:val>
            <c:numRef>
              <c:f>Sheet1!$B$2</c:f>
              <c:numCache>
                <c:formatCode>General</c:formatCode>
                <c:ptCount val="1"/>
                <c:pt idx="0">
                  <c:v>99.66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c:f>
              <c:strCache>
                <c:ptCount val="1"/>
                <c:pt idx="0">
                  <c:v>单位：万元</c:v>
                </c:pt>
              </c:strCache>
            </c:strRef>
          </c:cat>
          <c:val>
            <c:numRef>
              <c:f>Sheet1!$C$2</c:f>
              <c:numCache>
                <c:formatCode>General</c:formatCode>
                <c:ptCount val="1"/>
                <c:pt idx="0">
                  <c:v>99.66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单位：万元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50213120"/>
        <c:axId val="250215424"/>
      </c:barChart>
      <c:catAx>
        <c:axId val="2502131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215424"/>
        <c:crosses val="autoZero"/>
        <c:auto val="1"/>
        <c:lblAlgn val="ctr"/>
        <c:lblOffset val="100"/>
        <c:noMultiLvlLbl val="0"/>
      </c:catAx>
      <c:valAx>
        <c:axId val="2502154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213120"/>
        <c:crosses val="autoZero"/>
        <c:crossBetween val="between"/>
      </c:valAx>
      <c:spPr>
        <a:noFill/>
        <a:ln>
          <a:noFill/>
        </a:ln>
        <a:effectLst/>
      </c:spPr>
    </c:plotArea>
    <c:legend>
      <c:legendPos val="b"/>
      <c:legendEntry>
        <c:idx val="2"/>
        <c:txPr>
          <a:bodyPr rot="0" spcFirstLastPara="0" vertOverflow="ellipsis" vert="horz" wrap="square" anchor="ctr" anchorCtr="1"/>
          <a:lstStyle/>
          <a:p>
            <a:pPr>
              <a:defRPr lang="zh-CN" sz="900" b="0" i="0" u="none" strike="noStrike" kern="1200" baseline="0">
                <a:solidFill>
                  <a:srgbClr val="0000FF"/>
                </a:solidFill>
                <a:latin typeface="+mn-lt"/>
                <a:ea typeface="+mn-ea"/>
                <a:cs typeface="+mn-cs"/>
              </a:defRPr>
            </a:pPr>
          </a:p>
        </c:txPr>
      </c:legendEntry>
      <c:layout>
        <c:manualLayout>
          <c:xMode val="edge"/>
          <c:yMode val="edge"/>
          <c:x val="0.3771875"/>
          <c:y val="0.92339038304808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收入分类图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公共预算财政拨款收入</c:v>
                </c:pt>
                <c:pt idx="1">
                  <c:v>上年结转和结余</c:v>
                </c:pt>
              </c:strCache>
            </c:strRef>
          </c:cat>
          <c:val>
            <c:numRef>
              <c:f>Sheet1!$B$2:$B$3</c:f>
              <c:numCache>
                <c:formatCode>General</c:formatCode>
                <c:ptCount val="2"/>
                <c:pt idx="0">
                  <c:v>99.63</c:v>
                </c:pt>
                <c:pt idx="1">
                  <c:v>0.03</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altLang="en-US"/>
              <a:t>支出分类图</a:t>
            </a:r>
            <a:endParaRPr altLang="en-US"/>
          </a:p>
        </c:rich>
      </c:tx>
      <c:layout>
        <c:manualLayout>
          <c:xMode val="edge"/>
          <c:yMode val="edge"/>
          <c:x val="0.409540798711014"/>
          <c:y val="0.0770246638191016"/>
        </c:manualLayout>
      </c:layout>
      <c:overlay val="0"/>
      <c:spPr>
        <a:noFill/>
        <a:ln>
          <a:noFill/>
        </a:ln>
        <a:effectLst/>
      </c:spPr>
    </c:title>
    <c:autoTitleDeleted val="0"/>
    <c:plotArea>
      <c:layout>
        <c:manualLayout>
          <c:layoutTarget val="inner"/>
          <c:xMode val="edge"/>
          <c:yMode val="edge"/>
          <c:x val="0.110249899772818"/>
          <c:y val="0.221677074041035"/>
          <c:w val="0.803821996525459"/>
          <c:h val="0.682872435325602"/>
        </c:manualLayout>
      </c:layout>
      <c:ofPieChart>
        <c:ofPieType val="pie"/>
        <c:varyColors val="1"/>
        <c:ser>
          <c:idx val="0"/>
          <c:order val="0"/>
          <c:tx>
            <c:strRef>
              <c:f>Sheet1!$B$1</c:f>
              <c:strCache>
                <c:ptCount val="1"/>
                <c:pt idx="0">
                  <c:v>系列 1</c:v>
                </c:pt>
              </c:strCache>
            </c:strRef>
          </c:tx>
          <c:spPr>
            <a:ln w="0">
              <a:solidFill>
                <a:schemeClr val="bg1"/>
              </a:solidFill>
            </a:ln>
          </c:spPr>
          <c:explosion val="0"/>
          <c:dPt>
            <c:idx val="0"/>
            <c:bubble3D val="0"/>
            <c:spPr>
              <a:solidFill>
                <a:srgbClr val="A195C7"/>
              </a:solidFill>
              <a:ln w="0">
                <a:solidFill>
                  <a:schemeClr val="bg1"/>
                </a:solidFill>
              </a:ln>
              <a:effectLst/>
            </c:spPr>
          </c:dPt>
          <c:dPt>
            <c:idx val="1"/>
            <c:bubble3D val="0"/>
            <c:spPr>
              <a:solidFill>
                <a:srgbClr val="B79AC8"/>
              </a:solidFill>
              <a:ln w="0">
                <a:solidFill>
                  <a:schemeClr val="bg1"/>
                </a:solidFill>
              </a:ln>
              <a:effectLst/>
            </c:spPr>
          </c:dPt>
          <c:dPt>
            <c:idx val="2"/>
            <c:bubble3D val="0"/>
            <c:spPr>
              <a:solidFill>
                <a:srgbClr val="DE93B2"/>
              </a:solidFill>
              <a:ln w="0">
                <a:solidFill>
                  <a:schemeClr val="bg1"/>
                </a:solidFill>
              </a:ln>
              <a:effectLst/>
            </c:spPr>
          </c:dPt>
          <c:dPt>
            <c:idx val="3"/>
            <c:bubble3D val="0"/>
            <c:spPr>
              <a:solidFill>
                <a:srgbClr val="F59FBC"/>
              </a:solidFill>
              <a:ln w="0">
                <a:solidFill>
                  <a:schemeClr val="bg1"/>
                </a:solidFill>
              </a:ln>
              <a:effectLst/>
            </c:spPr>
          </c:dPt>
          <c:dPt>
            <c:idx val="4"/>
            <c:bubble3D val="0"/>
            <c:spPr>
              <a:solidFill>
                <a:srgbClr val="F39579"/>
              </a:solidFill>
              <a:ln w="0">
                <a:solidFill>
                  <a:schemeClr val="bg1"/>
                </a:solidFill>
              </a:ln>
              <a:effectLst/>
            </c:spPr>
          </c:dPt>
          <c:dLbls>
            <c:dLbl>
              <c:idx val="0"/>
              <c:layout>
                <c:manualLayout>
                  <c:x val="0.110484520658304"/>
                  <c:y val="0.00449505543901708"/>
                </c:manualLayout>
              </c:layout>
              <c:tx>
                <c:rich>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项目支出, 36万元</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132121072620555"/>
                      <c:h val="0.0768654480071921"/>
                    </c:manualLayout>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年末结转和结余, 0.03万元</a:t>
                    </a:r>
                  </a:p>
                </c:rich>
              </c:tx>
              <c:dLblPos val="outEnd"/>
              <c:showLegendKey val="0"/>
              <c:showVal val="1"/>
              <c:showCatName val="1"/>
              <c:showSerName val="0"/>
              <c:showPercent val="0"/>
              <c:showBubbleSize val="0"/>
              <c:extLst>
                <c:ext xmlns:c15="http://schemas.microsoft.com/office/drawing/2012/chart" uri="{CE6537A1-D6FC-4f65-9D91-7224C49458BB}"/>
              </c:extLst>
            </c:dLbl>
            <c:dLbl>
              <c:idx val="2"/>
              <c:layout>
                <c:manualLayout>
                  <c:x val="-0.0362527333410059"/>
                  <c:y val="0.13934671860953"/>
                </c:manualLayout>
              </c:layout>
              <c:tx>
                <c:rich>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工资福利支出, 57.98万元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
                  <c:y val="0.00224752771950854"/>
                </c:manualLayout>
              </c:layout>
              <c:tx>
                <c:rich>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商品和服务支出, 5.65万元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62274139716883"/>
                  <c:y val="0.00899011087803417"/>
                </c:manualLayout>
              </c:layout>
              <c:tx>
                <c:rich>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基本支出 63.63万元</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123489469444125"/>
                      <c:h val="0.0759664369193887"/>
                    </c:manualLayout>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项目支出</c:v>
                </c:pt>
                <c:pt idx="1">
                  <c:v>年末结转和结余</c:v>
                </c:pt>
                <c:pt idx="2">
                  <c:v>工资福利支出</c:v>
                </c:pt>
                <c:pt idx="3">
                  <c:v>商品和服务支出</c:v>
                </c:pt>
              </c:strCache>
            </c:strRef>
          </c:cat>
          <c:val>
            <c:numRef>
              <c:f>Sheet1!$B$2:$B$5</c:f>
              <c:numCache>
                <c:formatCode>General</c:formatCode>
                <c:ptCount val="4"/>
                <c:pt idx="0">
                  <c:v>36</c:v>
                </c:pt>
                <c:pt idx="1">
                  <c:v>0.03</c:v>
                </c:pt>
                <c:pt idx="2">
                  <c:v>57.98</c:v>
                </c:pt>
                <c:pt idx="3">
                  <c:v>5.65</c:v>
                </c:pt>
              </c:numCache>
            </c:numRef>
          </c:val>
        </c:ser>
        <c:ser>
          <c:idx val="1"/>
          <c:order val="1"/>
          <c:tx>
            <c:strRef>
              <c:f>Sheet1!#REF!</c:f>
              <c:strCache>
                <c:ptCount val="1"/>
                <c:pt idx="0">
                  <c:v/>
                </c:pt>
              </c:strCache>
            </c:strRef>
          </c:tx>
          <c:spPr>
            <a:ln w="0">
              <a:solidFill>
                <a:schemeClr val="bg1"/>
              </a:solidFill>
            </a:ln>
          </c:spPr>
          <c:explosion val="0"/>
          <c:dPt>
            <c:idx val="0"/>
            <c:bubble3D val="0"/>
            <c:spPr>
              <a:solidFill>
                <a:srgbClr val="A195C7"/>
              </a:solidFill>
              <a:ln w="0">
                <a:solidFill>
                  <a:schemeClr val="bg1"/>
                </a:solidFill>
              </a:ln>
              <a:effectLst/>
            </c:spPr>
          </c:dPt>
          <c:dPt>
            <c:idx val="1"/>
            <c:bubble3D val="0"/>
            <c:spPr>
              <a:solidFill>
                <a:srgbClr val="B79AC8"/>
              </a:solidFill>
              <a:ln w="0">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项目支出</c:v>
                </c:pt>
                <c:pt idx="1">
                  <c:v>年末结转和结余</c:v>
                </c:pt>
                <c:pt idx="2">
                  <c:v>工资福利支出</c:v>
                </c:pt>
                <c:pt idx="3">
                  <c:v>商品和服务支出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ln w="0">
              <a:solidFill>
                <a:schemeClr val="bg1"/>
              </a:solidFill>
            </a:ln>
          </c:spPr>
          <c:explosion val="0"/>
          <c:dPt>
            <c:idx val="0"/>
            <c:bubble3D val="0"/>
            <c:spPr>
              <a:solidFill>
                <a:srgbClr val="A195C7"/>
              </a:solidFill>
              <a:ln w="0">
                <a:solidFill>
                  <a:schemeClr val="bg1"/>
                </a:solidFill>
              </a:ln>
              <a:effectLst/>
            </c:spPr>
          </c:dPt>
          <c:dPt>
            <c:idx val="1"/>
            <c:bubble3D val="0"/>
            <c:spPr>
              <a:solidFill>
                <a:srgbClr val="B79AC8"/>
              </a:solidFill>
              <a:ln w="0">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项目支出</c:v>
                </c:pt>
                <c:pt idx="1">
                  <c:v>年末结转和结余</c:v>
                </c:pt>
                <c:pt idx="2">
                  <c:v>工资福利支出</c:v>
                </c:pt>
                <c:pt idx="3">
                  <c:v>商品和服务支出</c:v>
                </c:pt>
              </c:strCache>
            </c:strRef>
          </c:cat>
          <c:val>
            <c:numRef>
              <c:f>Sheet1!#REF!</c:f>
              <c:numCache>
                <c:formatCode>General</c:formatCode>
                <c:ptCount val="1"/>
                <c:pt idx="0">
                  <c:v>1</c:v>
                </c:pt>
              </c:numCache>
            </c:numRef>
          </c:val>
        </c:ser>
        <c:dLbls>
          <c:showLegendKey val="0"/>
          <c:showVal val="1"/>
          <c:showCatName val="1"/>
          <c:showSerName val="0"/>
          <c:showPercent val="0"/>
          <c:showBubbleSize val="0"/>
          <c:showLeaderLines val="1"/>
        </c:dLbls>
        <c:gapWidth val="100"/>
        <c:secondPieSize val="75"/>
        <c:serLines>
          <c:spPr>
            <a:ln w="9525" cap="flat" cmpd="sng" algn="ctr">
              <a:solidFill>
                <a:schemeClr val="tx1">
                  <a:lumMod val="35000"/>
                  <a:lumOff val="65000"/>
                </a:schemeClr>
              </a:solidFill>
              <a:prstDash val="solid"/>
              <a:round/>
            </a:ln>
            <a:effectLst/>
          </c:spPr>
        </c:serLines>
      </c:ofPieChart>
      <c:spPr>
        <a:noFill/>
        <a:ln>
          <a:noFill/>
        </a:ln>
        <a:effectLst/>
      </c:spPr>
    </c:plotArea>
    <c:plotVisOnly val="1"/>
    <c:dispBlanksAs val="zero"/>
    <c:showDLblsOverMax val="0"/>
  </c:chart>
  <c:spPr>
    <a:solidFill>
      <a:srgbClr val="4B494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财政拨款收入支出总体对比图</a:t>
            </a:r>
          </a:p>
        </c:rich>
      </c:tx>
      <c:layout>
        <c:manualLayout>
          <c:xMode val="edge"/>
          <c:yMode val="edge"/>
          <c:x val="0.128760529482551"/>
          <c:y val="0.046482801363495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c:f>
              <c:strCache>
                <c:ptCount val="1"/>
                <c:pt idx="0">
                  <c:v>单位：万元</c:v>
                </c:pt>
              </c:strCache>
            </c:strRef>
          </c:cat>
          <c:val>
            <c:numRef>
              <c:f>Sheet1!$B$2</c:f>
              <c:numCache>
                <c:formatCode>General</c:formatCode>
                <c:ptCount val="1"/>
                <c:pt idx="0">
                  <c:v>99.66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c:f>
              <c:strCache>
                <c:ptCount val="1"/>
                <c:pt idx="0">
                  <c:v>单位：万元</c:v>
                </c:pt>
              </c:strCache>
            </c:strRef>
          </c:cat>
          <c:val>
            <c:numRef>
              <c:f>Sheet1!$C$2</c:f>
              <c:numCache>
                <c:formatCode>General</c:formatCode>
                <c:ptCount val="1"/>
                <c:pt idx="0">
                  <c:v>99.66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单位：万元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3481344"/>
        <c:axId val="83482880"/>
      </c:barChart>
      <c:catAx>
        <c:axId val="834813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482880"/>
        <c:crosses val="autoZero"/>
        <c:auto val="1"/>
        <c:lblAlgn val="ctr"/>
        <c:lblOffset val="100"/>
        <c:noMultiLvlLbl val="0"/>
      </c:catAx>
      <c:valAx>
        <c:axId val="83482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481344"/>
        <c:crosses val="autoZero"/>
        <c:crossBetween val="between"/>
      </c:valAx>
      <c:spPr>
        <a:noFill/>
        <a:ln>
          <a:noFill/>
        </a:ln>
        <a:effectLst/>
      </c:spPr>
    </c:plotArea>
    <c:legend>
      <c:legendPos val="b"/>
      <c:legendEntry>
        <c:idx val="2"/>
        <c:txPr>
          <a:bodyPr rot="0" spcFirstLastPara="0" vertOverflow="ellipsis" vert="horz" wrap="square" anchor="ctr" anchorCtr="1"/>
          <a:lstStyle/>
          <a:p>
            <a:pPr>
              <a:defRPr lang="zh-CN" sz="900" b="0" i="0" u="none" strike="noStrike" kern="1200" baseline="0">
                <a:solidFill>
                  <a:srgbClr val="0000FF"/>
                </a:solidFill>
                <a:latin typeface="+mn-lt"/>
                <a:ea typeface="+mn-ea"/>
                <a:cs typeface="+mn-cs"/>
              </a:defRPr>
            </a:pPr>
          </a:p>
        </c:txPr>
      </c:legendEntry>
      <c:layout>
        <c:manualLayout>
          <c:xMode val="edge"/>
          <c:yMode val="edge"/>
          <c:x val="0.3771875"/>
          <c:y val="0.92339038304808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altLang="en-US"/>
              <a:t>财政</a:t>
            </a:r>
            <a:r>
              <a:rPr altLang="en-US">
                <a:solidFill>
                  <a:schemeClr val="bg1"/>
                </a:solidFill>
                <a:uFillTx/>
              </a:rPr>
              <a:t>拨款</a:t>
            </a:r>
            <a:r>
              <a:rPr altLang="en-US"/>
              <a:t>支出分类图</a:t>
            </a:r>
            <a:endParaRPr altLang="en-US"/>
          </a:p>
        </c:rich>
      </c:tx>
      <c:layout>
        <c:manualLayout>
          <c:xMode val="edge"/>
          <c:yMode val="edge"/>
          <c:x val="0.335375162122634"/>
          <c:y val="0.0790648781339733"/>
        </c:manualLayout>
      </c:layout>
      <c:overlay val="0"/>
      <c:spPr>
        <a:noFill/>
        <a:ln>
          <a:noFill/>
        </a:ln>
        <a:effectLst/>
      </c:spPr>
    </c:title>
    <c:autoTitleDeleted val="0"/>
    <c:plotArea>
      <c:layout>
        <c:manualLayout>
          <c:layoutTarget val="inner"/>
          <c:xMode val="edge"/>
          <c:yMode val="edge"/>
          <c:x val="0.110249899772818"/>
          <c:y val="0.221677074041035"/>
          <c:w val="0.803821996525459"/>
          <c:h val="0.682872435325602"/>
        </c:manualLayout>
      </c:layout>
      <c:ofPieChart>
        <c:ofPieType val="pie"/>
        <c:varyColors val="1"/>
        <c:ser>
          <c:idx val="0"/>
          <c:order val="0"/>
          <c:tx>
            <c:strRef>
              <c:f>Sheet1!$B$1</c:f>
              <c:strCache>
                <c:ptCount val="1"/>
                <c:pt idx="0">
                  <c:v>系列 1</c:v>
                </c:pt>
              </c:strCache>
            </c:strRef>
          </c:tx>
          <c:spPr>
            <a:ln w="0">
              <a:solidFill>
                <a:schemeClr val="bg1"/>
              </a:solidFill>
            </a:ln>
          </c:spPr>
          <c:explosion val="0"/>
          <c:dPt>
            <c:idx val="0"/>
            <c:bubble3D val="0"/>
            <c:spPr>
              <a:solidFill>
                <a:srgbClr val="A195C7"/>
              </a:solidFill>
              <a:ln w="0">
                <a:solidFill>
                  <a:schemeClr val="bg1"/>
                </a:solidFill>
              </a:ln>
              <a:effectLst/>
            </c:spPr>
          </c:dPt>
          <c:dPt>
            <c:idx val="1"/>
            <c:bubble3D val="0"/>
            <c:spPr>
              <a:solidFill>
                <a:srgbClr val="B79AC8"/>
              </a:solidFill>
              <a:ln w="0">
                <a:solidFill>
                  <a:schemeClr val="bg1"/>
                </a:solidFill>
              </a:ln>
              <a:effectLst/>
            </c:spPr>
          </c:dPt>
          <c:dPt>
            <c:idx val="2"/>
            <c:bubble3D val="0"/>
            <c:spPr>
              <a:solidFill>
                <a:srgbClr val="DE93B2"/>
              </a:solidFill>
              <a:ln w="0">
                <a:solidFill>
                  <a:schemeClr val="bg1"/>
                </a:solidFill>
              </a:ln>
              <a:effectLst/>
            </c:spPr>
          </c:dPt>
          <c:dPt>
            <c:idx val="3"/>
            <c:bubble3D val="0"/>
            <c:spPr>
              <a:solidFill>
                <a:srgbClr val="F59FBC"/>
              </a:solidFill>
              <a:ln w="0">
                <a:solidFill>
                  <a:schemeClr val="bg1"/>
                </a:solidFill>
              </a:ln>
              <a:effectLst/>
            </c:spPr>
          </c:dPt>
          <c:dPt>
            <c:idx val="4"/>
            <c:bubble3D val="0"/>
            <c:spPr>
              <a:solidFill>
                <a:srgbClr val="F39579"/>
              </a:solidFill>
              <a:ln w="0">
                <a:solidFill>
                  <a:schemeClr val="bg1"/>
                </a:solidFill>
              </a:ln>
              <a:effectLst/>
            </c:spPr>
          </c:dPt>
          <c:dLbls>
            <c:dLbl>
              <c:idx val="0"/>
              <c:layout>
                <c:manualLayout>
                  <c:x val="0.0748005784323057"/>
                  <c:y val="0.0111855103899537"/>
                </c:manualLayout>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bg1"/>
                        </a:solidFill>
                        <a:uFill>
                          <a:solidFill>
                            <a:schemeClr val="bg1"/>
                          </a:solidFill>
                        </a:u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000" u="none" strike="noStrike" cap="none" normalizeH="0">
                        <a:solidFill>
                          <a:schemeClr val="bg1"/>
                        </a:solidFill>
                        <a:uFill>
                          <a:solidFill>
                            <a:schemeClr val="bg1"/>
                          </a:solidFill>
                        </a:uFill>
                        <a:latin typeface="微软雅黑" panose="020B0503020204020204" pitchFamily="34" charset="-122"/>
                      </a:rPr>
                      <a:t>项目支出,36万元</a:t>
                    </a:r>
                    <a:endParaRPr sz="1000" u="none" strike="noStrike" cap="none" normalizeH="0">
                      <a:solidFill>
                        <a:schemeClr val="bg1"/>
                      </a:solidFill>
                      <a:uFill>
                        <a:solidFill>
                          <a:schemeClr val="bg1"/>
                        </a:solidFill>
                      </a:uFill>
                      <a:latin typeface="微软雅黑" panose="020B0503020204020204" pitchFamily="34"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manualLayout>
                      <c:w val="0.184197111299915"/>
                      <c:h val="0.108162355040143"/>
                    </c:manualLayout>
                  </c15:layout>
                </c:ext>
              </c:extLst>
            </c:dLbl>
            <c:dLbl>
              <c:idx val="1"/>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bg1"/>
                        </a:solidFill>
                        <a:uFill>
                          <a:solidFill>
                            <a:schemeClr val="bg1"/>
                          </a:solidFill>
                        </a:u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000" u="none" strike="noStrike" cap="none" normalizeH="0">
                        <a:solidFill>
                          <a:schemeClr val="bg1"/>
                        </a:solidFill>
                        <a:uFill>
                          <a:solidFill>
                            <a:schemeClr val="bg1"/>
                          </a:solidFill>
                        </a:uFill>
                        <a:latin typeface="微软雅黑" panose="020B0503020204020204" pitchFamily="34" charset="-122"/>
                      </a:rPr>
                      <a:t>年末结转和结余, 0.03万元</a:t>
                    </a:r>
                    <a:endParaRPr sz="1000" u="none" strike="noStrike" cap="none" normalizeH="0">
                      <a:solidFill>
                        <a:schemeClr val="bg1"/>
                      </a:solidFill>
                      <a:uFill>
                        <a:solidFill>
                          <a:schemeClr val="bg1"/>
                        </a:solidFill>
                      </a:uFill>
                      <a:latin typeface="微软雅黑" panose="020B0503020204020204" pitchFamily="34" charset="-122"/>
                    </a:endParaRPr>
                  </a:p>
                </c:rich>
              </c:tx>
              <c:dLblPos val="outEnd"/>
              <c:showLegendKey val="0"/>
              <c:showVal val="1"/>
              <c:showCatName val="1"/>
              <c:showSerName val="0"/>
              <c:showPercent val="0"/>
              <c:showBubbleSize val="0"/>
              <c:extLst>
                <c:ext xmlns:c15="http://schemas.microsoft.com/office/drawing/2012/chart" uri="{CE6537A1-D6FC-4f65-9D91-7224C49458BB}"/>
              </c:extLst>
            </c:dLbl>
            <c:dLbl>
              <c:idx val="2"/>
              <c:layout>
                <c:manualLayout>
                  <c:x val="-0.0362527333410059"/>
                  <c:y val="0.13934671860953"/>
                </c:manualLayout>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bg1"/>
                        </a:solidFill>
                        <a:uFill>
                          <a:solidFill>
                            <a:schemeClr val="bg1"/>
                          </a:solidFill>
                        </a:u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000" u="none" strike="noStrike" cap="none" normalizeH="0">
                        <a:solidFill>
                          <a:schemeClr val="bg1"/>
                        </a:solidFill>
                        <a:uFill>
                          <a:solidFill>
                            <a:schemeClr val="bg1"/>
                          </a:solidFill>
                        </a:uFill>
                        <a:latin typeface="微软雅黑" panose="020B0503020204020204" pitchFamily="34" charset="-122"/>
                      </a:rPr>
                      <a:t>工资福利支出, 57.98万元</a:t>
                    </a:r>
                    <a:endParaRPr sz="1000" u="none" strike="noStrike" cap="none" normalizeH="0">
                      <a:solidFill>
                        <a:schemeClr val="bg1"/>
                      </a:solidFill>
                      <a:uFill>
                        <a:solidFill>
                          <a:schemeClr val="bg1"/>
                        </a:solidFill>
                      </a:uFill>
                      <a:latin typeface="微软雅黑" panose="020B0503020204020204" pitchFamily="34"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
                  <c:y val="0.00224752771950854"/>
                </c:manualLayout>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bg1"/>
                        </a:solidFill>
                        <a:uFill>
                          <a:solidFill>
                            <a:schemeClr val="bg1"/>
                          </a:solidFill>
                        </a:u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000" u="none" strike="noStrike" cap="none" normalizeH="0">
                        <a:solidFill>
                          <a:schemeClr val="bg1"/>
                        </a:solidFill>
                        <a:uFill>
                          <a:solidFill>
                            <a:schemeClr val="bg1"/>
                          </a:solidFill>
                        </a:uFill>
                        <a:latin typeface="微软雅黑" panose="020B0503020204020204" pitchFamily="34" charset="-122"/>
                      </a:rPr>
                      <a:t>商品和服务支出, 5.65万元</a:t>
                    </a:r>
                    <a:endParaRPr sz="1000" u="none" strike="noStrike" cap="none" normalizeH="0">
                      <a:solidFill>
                        <a:schemeClr val="bg1"/>
                      </a:solidFill>
                      <a:uFill>
                        <a:solidFill>
                          <a:schemeClr val="bg1"/>
                        </a:solidFill>
                      </a:uFill>
                      <a:latin typeface="微软雅黑" panose="020B0503020204020204" pitchFamily="34"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90311522894453"/>
                  <c:y val="0.0022996559270975"/>
                </c:manualLayout>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bg1"/>
                        </a:solidFill>
                        <a:uFill>
                          <a:solidFill>
                            <a:schemeClr val="bg1"/>
                          </a:solidFill>
                        </a:u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000" u="none" strike="noStrike" cap="none" normalizeH="0">
                        <a:solidFill>
                          <a:schemeClr val="bg1"/>
                        </a:solidFill>
                        <a:uFill>
                          <a:solidFill>
                            <a:schemeClr val="bg1"/>
                          </a:solidFill>
                        </a:uFill>
                        <a:latin typeface="微软雅黑" panose="020B0503020204020204" pitchFamily="34" charset="-122"/>
                      </a:rPr>
                      <a:t>基本支出 63.63万元</a:t>
                    </a:r>
                    <a:endParaRPr sz="1000" u="none" strike="noStrike" cap="none" normalizeH="0">
                      <a:solidFill>
                        <a:schemeClr val="bg1"/>
                      </a:solidFill>
                      <a:uFill>
                        <a:solidFill>
                          <a:schemeClr val="bg1"/>
                        </a:solidFill>
                      </a:uFill>
                      <a:latin typeface="微软雅黑" panose="020B0503020204020204" pitchFamily="34" charset="-122"/>
                    </a:endParaRPr>
                  </a:p>
                </c:rich>
              </c:tx>
              <c:dLblPos val="bestFit"/>
              <c:showLegendKey val="0"/>
              <c:showVal val="1"/>
              <c:showCatName val="1"/>
              <c:showSerName val="0"/>
              <c:showPercent val="0"/>
              <c:showBubbleSize val="0"/>
              <c:extLst>
                <c:ext xmlns:c15="http://schemas.microsoft.com/office/drawing/2012/chart" uri="{CE6537A1-D6FC-4f65-9D91-7224C49458BB}">
                  <c15:layout>
                    <c:manualLayout>
                      <c:w val="0.212744265080714"/>
                      <c:h val="0.13693131132917"/>
                    </c:manualLayout>
                  </c15:layout>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cap="none" spc="0" normalizeH="0" baseline="0">
                    <a:solidFill>
                      <a:schemeClr val="bg1"/>
                    </a:solidFill>
                    <a:uFill>
                      <a:solidFill>
                        <a:schemeClr val="bg1"/>
                      </a:solidFill>
                    </a:u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项目支出</c:v>
                </c:pt>
                <c:pt idx="1">
                  <c:v>年末结转和结余</c:v>
                </c:pt>
                <c:pt idx="2">
                  <c:v>工资福利支出</c:v>
                </c:pt>
                <c:pt idx="3">
                  <c:v>商品和服务支出</c:v>
                </c:pt>
              </c:strCache>
            </c:strRef>
          </c:cat>
          <c:val>
            <c:numRef>
              <c:f>Sheet1!$B$2:$B$5</c:f>
              <c:numCache>
                <c:formatCode>General</c:formatCode>
                <c:ptCount val="4"/>
                <c:pt idx="0">
                  <c:v>36</c:v>
                </c:pt>
                <c:pt idx="1">
                  <c:v>0.03</c:v>
                </c:pt>
                <c:pt idx="2">
                  <c:v>57.98</c:v>
                </c:pt>
                <c:pt idx="3">
                  <c:v>5.65</c:v>
                </c:pt>
              </c:numCache>
            </c:numRef>
          </c:val>
        </c:ser>
        <c:ser>
          <c:idx val="1"/>
          <c:order val="1"/>
          <c:tx>
            <c:strRef>
              <c:f>Sheet1!#REF!</c:f>
              <c:strCache>
                <c:ptCount val="1"/>
                <c:pt idx="0">
                  <c:v/>
                </c:pt>
              </c:strCache>
            </c:strRef>
          </c:tx>
          <c:spPr>
            <a:ln w="0">
              <a:solidFill>
                <a:schemeClr val="bg1"/>
              </a:solidFill>
            </a:ln>
          </c:spPr>
          <c:explosion val="0"/>
          <c:dPt>
            <c:idx val="0"/>
            <c:bubble3D val="0"/>
            <c:spPr>
              <a:solidFill>
                <a:srgbClr val="A195C7"/>
              </a:solidFill>
              <a:ln w="0">
                <a:solidFill>
                  <a:schemeClr val="bg1"/>
                </a:solidFill>
              </a:ln>
              <a:effectLst/>
            </c:spPr>
          </c:dPt>
          <c:dPt>
            <c:idx val="1"/>
            <c:bubble3D val="0"/>
            <c:spPr>
              <a:solidFill>
                <a:srgbClr val="B79AC8"/>
              </a:solidFill>
              <a:ln w="0">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项目支出</c:v>
                </c:pt>
                <c:pt idx="1">
                  <c:v>年末结转和结余</c:v>
                </c:pt>
                <c:pt idx="2">
                  <c:v>工资福利支出</c:v>
                </c:pt>
                <c:pt idx="3">
                  <c:v>商品和服务支出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ln w="0">
              <a:solidFill>
                <a:schemeClr val="bg1"/>
              </a:solidFill>
            </a:ln>
          </c:spPr>
          <c:explosion val="0"/>
          <c:dPt>
            <c:idx val="0"/>
            <c:bubble3D val="0"/>
            <c:spPr>
              <a:solidFill>
                <a:srgbClr val="A195C7"/>
              </a:solidFill>
              <a:ln w="0">
                <a:solidFill>
                  <a:schemeClr val="bg1"/>
                </a:solidFill>
              </a:ln>
              <a:effectLst/>
            </c:spPr>
          </c:dPt>
          <c:dPt>
            <c:idx val="1"/>
            <c:bubble3D val="0"/>
            <c:spPr>
              <a:solidFill>
                <a:srgbClr val="B79AC8"/>
              </a:solidFill>
              <a:ln w="0">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项目支出</c:v>
                </c:pt>
                <c:pt idx="1">
                  <c:v>年末结转和结余</c:v>
                </c:pt>
                <c:pt idx="2">
                  <c:v>工资福利支出</c:v>
                </c:pt>
                <c:pt idx="3">
                  <c:v>商品和服务支出</c:v>
                </c:pt>
              </c:strCache>
            </c:strRef>
          </c:cat>
          <c:val>
            <c:numRef>
              <c:f>Sheet1!#REF!</c:f>
              <c:numCache>
                <c:formatCode>General</c:formatCode>
                <c:ptCount val="1"/>
                <c:pt idx="0">
                  <c:v>1</c:v>
                </c:pt>
              </c:numCache>
            </c:numRef>
          </c:val>
        </c:ser>
        <c:dLbls>
          <c:showLegendKey val="0"/>
          <c:showVal val="1"/>
          <c:showCatName val="1"/>
          <c:showSerName val="0"/>
          <c:showPercent val="0"/>
          <c:showBubbleSize val="0"/>
          <c:showLeaderLines val="1"/>
        </c:dLbls>
        <c:gapWidth val="100"/>
        <c:secondPieSize val="75"/>
        <c:serLines>
          <c:spPr>
            <a:ln w="9525" cap="flat" cmpd="sng" algn="ctr">
              <a:solidFill>
                <a:schemeClr val="tx1">
                  <a:lumMod val="35000"/>
                  <a:lumOff val="65000"/>
                </a:schemeClr>
              </a:solidFill>
              <a:prstDash val="solid"/>
              <a:round/>
            </a:ln>
            <a:effectLst/>
          </c:spPr>
        </c:serLines>
      </c:ofPieChart>
      <c:spPr>
        <a:noFill/>
        <a:ln>
          <a:noFill/>
        </a:ln>
        <a:effectLst/>
      </c:spPr>
    </c:plotArea>
    <c:plotVisOnly val="1"/>
    <c:dispBlanksAs val="zero"/>
    <c:showDLblsOverMax val="0"/>
  </c:chart>
  <c:spPr>
    <a:solidFill>
      <a:srgbClr val="4B494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F130B-960D-46C1-AC5A-651999B2A2E0}">
  <ds:schemaRefs/>
</ds:datastoreItem>
</file>

<file path=docProps/app.xml><?xml version="1.0" encoding="utf-8"?>
<Properties xmlns="http://schemas.openxmlformats.org/officeDocument/2006/extended-properties" xmlns:vt="http://schemas.openxmlformats.org/officeDocument/2006/docPropsVTypes">
  <Template>Normal</Template>
  <Pages>30</Pages>
  <Words>1891</Words>
  <Characters>10779</Characters>
  <Lines>89</Lines>
  <Paragraphs>25</Paragraphs>
  <TotalTime>106</TotalTime>
  <ScaleCrop>false</ScaleCrop>
  <LinksUpToDate>false</LinksUpToDate>
  <CharactersWithSpaces>12645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虎虎</cp:lastModifiedBy>
  <cp:lastPrinted>2020-07-28T02:12:00Z</cp:lastPrinted>
  <dcterms:modified xsi:type="dcterms:W3CDTF">2020-10-10T12:28:45Z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