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C6" w:rsidRDefault="002A7DC6" w:rsidP="00344C05">
      <w:pPr>
        <w:spacing w:line="440" w:lineRule="exact"/>
        <w:rPr>
          <w:rFonts w:ascii="宋体" w:hAnsi="宋体" w:cs="宋体"/>
          <w:b/>
          <w:bCs/>
          <w:sz w:val="44"/>
          <w:szCs w:val="44"/>
        </w:rPr>
      </w:pPr>
    </w:p>
    <w:p w:rsidR="002A7DC6" w:rsidRDefault="00D62E84" w:rsidP="0031505B">
      <w:pPr>
        <w:spacing w:line="560" w:lineRule="exact"/>
        <w:jc w:val="center"/>
        <w:rPr>
          <w:rFonts w:asciiTheme="majorEastAsia" w:eastAsiaTheme="majorEastAsia" w:hAnsiTheme="majorEastAsia" w:cstheme="majorEastAsia"/>
          <w:b/>
          <w:bCs/>
          <w:sz w:val="48"/>
          <w:szCs w:val="48"/>
        </w:rPr>
      </w:pPr>
      <w:bookmarkStart w:id="0" w:name="_GoBack"/>
      <w:r>
        <w:rPr>
          <w:rFonts w:asciiTheme="majorEastAsia" w:eastAsiaTheme="majorEastAsia" w:hAnsiTheme="majorEastAsia" w:cstheme="majorEastAsia" w:hint="eastAsia"/>
          <w:b/>
          <w:bCs/>
          <w:sz w:val="48"/>
          <w:szCs w:val="48"/>
        </w:rPr>
        <w:t>眉县</w:t>
      </w:r>
      <w:r w:rsidR="001E4062">
        <w:rPr>
          <w:rFonts w:asciiTheme="majorEastAsia" w:eastAsiaTheme="majorEastAsia" w:hAnsiTheme="majorEastAsia" w:cstheme="majorEastAsia" w:hint="eastAsia"/>
          <w:b/>
          <w:bCs/>
          <w:sz w:val="48"/>
          <w:szCs w:val="48"/>
        </w:rPr>
        <w:t>财政</w:t>
      </w:r>
      <w:r w:rsidR="00CE7F71">
        <w:rPr>
          <w:rFonts w:asciiTheme="majorEastAsia" w:eastAsiaTheme="majorEastAsia" w:hAnsiTheme="majorEastAsia" w:cstheme="majorEastAsia" w:hint="eastAsia"/>
          <w:b/>
          <w:bCs/>
          <w:sz w:val="48"/>
          <w:szCs w:val="48"/>
        </w:rPr>
        <w:t>局</w:t>
      </w:r>
      <w:r w:rsidR="00DC6A7B">
        <w:rPr>
          <w:rFonts w:asciiTheme="majorEastAsia" w:eastAsiaTheme="majorEastAsia" w:hAnsiTheme="majorEastAsia" w:cstheme="majorEastAsia" w:hint="eastAsia"/>
          <w:b/>
          <w:bCs/>
          <w:sz w:val="48"/>
          <w:szCs w:val="48"/>
        </w:rPr>
        <w:t>2019年部门决算</w:t>
      </w:r>
      <w:r w:rsidR="001E4062">
        <w:rPr>
          <w:rFonts w:asciiTheme="majorEastAsia" w:eastAsiaTheme="majorEastAsia" w:hAnsiTheme="majorEastAsia" w:cstheme="majorEastAsia" w:hint="eastAsia"/>
          <w:b/>
          <w:bCs/>
          <w:sz w:val="48"/>
          <w:szCs w:val="48"/>
        </w:rPr>
        <w:t>公开</w:t>
      </w:r>
    </w:p>
    <w:bookmarkEnd w:id="0"/>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DC6A7B">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sidR="001E4062">
        <w:rPr>
          <w:rFonts w:asciiTheme="majorEastAsia" w:eastAsiaTheme="majorEastAsia" w:hAnsiTheme="majorEastAsia" w:cstheme="majorEastAsia" w:hint="eastAsia"/>
          <w:b/>
          <w:bCs/>
          <w:sz w:val="32"/>
          <w:szCs w:val="32"/>
        </w:rPr>
        <w:t>已审查</w:t>
      </w:r>
    </w:p>
    <w:p w:rsidR="002A7DC6" w:rsidRDefault="002A7DC6">
      <w:pPr>
        <w:spacing w:line="400" w:lineRule="exact"/>
        <w:jc w:val="center"/>
        <w:rPr>
          <w:rFonts w:ascii="宋体" w:hAnsi="宋体" w:cs="宋体"/>
          <w:b/>
          <w:bCs/>
          <w:sz w:val="32"/>
          <w:szCs w:val="32"/>
        </w:rPr>
      </w:pPr>
    </w:p>
    <w:p w:rsidR="002A7DC6" w:rsidRDefault="00DC6A7B">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1E4062">
        <w:rPr>
          <w:rFonts w:ascii="宋体" w:hAnsi="宋体" w:cs="宋体" w:hint="eastAsia"/>
          <w:b/>
          <w:bCs/>
          <w:sz w:val="32"/>
          <w:szCs w:val="32"/>
        </w:rPr>
        <w:t>已审签</w:t>
      </w:r>
    </w:p>
    <w:p w:rsidR="002A7DC6" w:rsidRDefault="002A7DC6">
      <w:pPr>
        <w:spacing w:line="400" w:lineRule="exact"/>
        <w:rPr>
          <w:rFonts w:ascii="宋体" w:hAnsi="宋体" w:cs="宋体"/>
          <w:b/>
          <w:bCs/>
          <w:sz w:val="32"/>
          <w:szCs w:val="32"/>
        </w:rPr>
      </w:pPr>
    </w:p>
    <w:p w:rsidR="002A7DC6" w:rsidRDefault="002A7DC6">
      <w:pPr>
        <w:spacing w:line="400" w:lineRule="exact"/>
        <w:rPr>
          <w:rFonts w:ascii="宋体" w:hAnsi="宋体" w:cs="宋体"/>
          <w:b/>
          <w:bCs/>
          <w:sz w:val="32"/>
          <w:szCs w:val="32"/>
        </w:rPr>
      </w:pPr>
    </w:p>
    <w:p w:rsidR="002A7DC6" w:rsidRDefault="00DC6A7B">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2A7DC6" w:rsidRDefault="00DC6A7B">
      <w:pPr>
        <w:widowControl/>
        <w:jc w:val="center"/>
      </w:pPr>
      <w:r>
        <w:rPr>
          <w:rFonts w:ascii="黑体" w:eastAsia="黑体" w:hAnsi="宋体" w:hint="eastAsia"/>
          <w:color w:val="000000"/>
          <w:kern w:val="0"/>
          <w:sz w:val="32"/>
          <w:szCs w:val="32"/>
        </w:rPr>
        <w:t>第一部分 部门概况</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A7DC6" w:rsidRDefault="00DC6A7B">
      <w:pPr>
        <w:widowControl/>
        <w:jc w:val="center"/>
      </w:pPr>
      <w:r>
        <w:rPr>
          <w:rFonts w:ascii="黑体" w:eastAsia="黑体" w:hAnsi="宋体" w:hint="eastAsia"/>
          <w:color w:val="000000"/>
          <w:kern w:val="0"/>
          <w:sz w:val="32"/>
          <w:szCs w:val="32"/>
        </w:rPr>
        <w:t>第二部分  2019年部门决算表</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2A7DC6" w:rsidRDefault="00DC6A7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A7DC6" w:rsidRDefault="00DC6A7B">
      <w:pPr>
        <w:widowControl/>
        <w:jc w:val="center"/>
      </w:pPr>
      <w:r>
        <w:rPr>
          <w:rFonts w:ascii="黑体" w:eastAsia="黑体" w:hAnsi="宋体" w:hint="eastAsia"/>
          <w:color w:val="000000"/>
          <w:kern w:val="0"/>
          <w:sz w:val="32"/>
          <w:szCs w:val="32"/>
        </w:rPr>
        <w:t>第三部分 2019年部门决算情况说明</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2A7DC6" w:rsidRDefault="00DC6A7B">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五、一般公共预算财政拨款支出决算情况说明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2A7DC6" w:rsidRDefault="00DC6A7B">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2A7DC6" w:rsidRDefault="00DC6A7B">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主要职责</w:t>
      </w:r>
    </w:p>
    <w:p w:rsidR="006A333F" w:rsidRPr="00E35752" w:rsidRDefault="006A333F" w:rsidP="006A333F">
      <w:pPr>
        <w:spacing w:line="600" w:lineRule="exact"/>
        <w:ind w:firstLineChars="200" w:firstLine="640"/>
        <w:rPr>
          <w:rFonts w:ascii="仿宋_GB2312" w:eastAsia="仿宋_GB2312"/>
          <w:sz w:val="32"/>
          <w:szCs w:val="32"/>
        </w:rPr>
      </w:pPr>
      <w:r w:rsidRPr="00E35752">
        <w:rPr>
          <w:rFonts w:ascii="仿宋_GB2312" w:eastAsia="仿宋_GB2312" w:hint="eastAsia"/>
          <w:sz w:val="32"/>
          <w:szCs w:val="32"/>
        </w:rPr>
        <w:t>（一）贯彻执行财政、税收方面的法律法规和方针政策;拟订全县财税发展规划和改革方案并组织实施，参与制订全县宏观经济政策并提出有关政策调整、资金筹措意见；拟订全县财税政策、财政体制和转移支付制度并组织实施；</w:t>
      </w:r>
      <w:r>
        <w:rPr>
          <w:rFonts w:ascii="仿宋_GB2312" w:eastAsia="仿宋_GB2312" w:hint="eastAsia"/>
          <w:sz w:val="32"/>
          <w:szCs w:val="32"/>
        </w:rPr>
        <w:t>贯彻落实</w:t>
      </w:r>
      <w:r w:rsidRPr="00E35752">
        <w:rPr>
          <w:rFonts w:ascii="仿宋_GB2312" w:eastAsia="仿宋_GB2312" w:hint="eastAsia"/>
          <w:sz w:val="32"/>
          <w:szCs w:val="32"/>
        </w:rPr>
        <w:t>完善鼓励公益事业发展的财税政策。</w:t>
      </w:r>
    </w:p>
    <w:p w:rsidR="006A333F" w:rsidRPr="00E35752" w:rsidRDefault="006A333F" w:rsidP="006A333F">
      <w:pPr>
        <w:spacing w:line="600" w:lineRule="exact"/>
        <w:ind w:firstLineChars="200" w:firstLine="640"/>
        <w:rPr>
          <w:rFonts w:ascii="仿宋_GB2312" w:eastAsia="仿宋_GB2312"/>
          <w:sz w:val="32"/>
          <w:szCs w:val="32"/>
        </w:rPr>
      </w:pPr>
      <w:r w:rsidRPr="00E35752">
        <w:rPr>
          <w:rFonts w:ascii="仿宋_GB2312" w:eastAsia="仿宋_GB2312" w:hint="eastAsia"/>
          <w:sz w:val="32"/>
          <w:szCs w:val="32"/>
        </w:rPr>
        <w:t>（二）拟订全县财政、财务、地方税收、会计、国有资产管理等方面的规范性文件并监督执行。</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（三）编制全县和县级政府预决算草案并向县人民代表大会报告；负责县级政府收支预算执行工作，负责县级部门预决算编制、审核批复及支出经费标准制定工作；负责全县政府预决算信息公开。</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（四）贯彻执行国家税收法律、行政法规和税收调整政策，研究制订本县管理权限内有关税收政策及税收政策调整方案并组织实施。</w:t>
      </w:r>
    </w:p>
    <w:p w:rsidR="006A333F" w:rsidRDefault="006A333F" w:rsidP="006A333F">
      <w:pPr>
        <w:widowControl/>
        <w:snapToGrid w:val="0"/>
        <w:spacing w:line="64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（五）负责政府非税收入管理，按规定管理行政事业性收费、政府性基金；管理财政票据，</w:t>
      </w:r>
      <w:r>
        <w:rPr>
          <w:rFonts w:ascii="仿宋_GB2312" w:eastAsia="仿宋_GB2312" w:hAnsi="宋体" w:cs="宋体" w:hint="eastAsia"/>
          <w:kern w:val="0"/>
          <w:sz w:val="32"/>
          <w:szCs w:val="32"/>
        </w:rPr>
        <w:t>研究拟订全县彩票管理有关办法，监管彩票市场，按规定管理彩票资金。</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lastRenderedPageBreak/>
        <w:t>（六）组织制订全县国库管理制度、国库集中支付制度，指导和监督县级国库业务，按规定开展国库现金管理工作；制定</w:t>
      </w:r>
      <w:r w:rsidRPr="00E35752">
        <w:rPr>
          <w:rFonts w:ascii="仿宋_GB2312" w:eastAsia="仿宋_GB2312" w:hAnsi="宋体" w:cs="宋体"/>
          <w:kern w:val="0"/>
          <w:sz w:val="32"/>
          <w:szCs w:val="32"/>
        </w:rPr>
        <w:t>政府财务报告编制办法并组织实施</w:t>
      </w:r>
      <w:r w:rsidRPr="00E35752">
        <w:rPr>
          <w:rFonts w:ascii="仿宋_GB2312" w:eastAsia="仿宋_GB2312" w:hAnsi="宋体" w:cs="宋体" w:hint="eastAsia"/>
          <w:kern w:val="0"/>
          <w:sz w:val="32"/>
          <w:szCs w:val="32"/>
        </w:rPr>
        <w:t>；负责制定政府购买服务政策和相关制度；负责制定政府采购制度并监督管理。</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（七</w:t>
      </w:r>
      <w:r w:rsidRPr="00E35752">
        <w:rPr>
          <w:rFonts w:ascii="仿宋_GB2312" w:eastAsia="仿宋_GB2312" w:hAnsi="宋体" w:cs="宋体"/>
          <w:kern w:val="0"/>
          <w:sz w:val="32"/>
          <w:szCs w:val="32"/>
        </w:rPr>
        <w:t>）</w:t>
      </w:r>
      <w:r w:rsidRPr="00E35752">
        <w:rPr>
          <w:rFonts w:ascii="仿宋_GB2312" w:eastAsia="仿宋_GB2312" w:hAnsi="宋体" w:cs="宋体" w:hint="eastAsia"/>
          <w:kern w:val="0"/>
          <w:sz w:val="32"/>
          <w:szCs w:val="32"/>
        </w:rPr>
        <w:t>贯彻落实</w:t>
      </w:r>
      <w:r w:rsidRPr="00E35752">
        <w:rPr>
          <w:rFonts w:ascii="仿宋_GB2312" w:eastAsia="仿宋_GB2312" w:hAnsi="宋体" w:cs="宋体"/>
          <w:kern w:val="0"/>
          <w:sz w:val="32"/>
          <w:szCs w:val="32"/>
        </w:rPr>
        <w:t>政府债务管理制度和政策，</w:t>
      </w:r>
      <w:r w:rsidRPr="00E35752">
        <w:rPr>
          <w:rFonts w:ascii="仿宋_GB2312" w:eastAsia="仿宋_GB2312" w:hint="eastAsia"/>
          <w:sz w:val="32"/>
          <w:szCs w:val="32"/>
        </w:rPr>
        <w:t>负责制定全县政府债务管理制度和</w:t>
      </w:r>
      <w:r w:rsidRPr="00E35752">
        <w:rPr>
          <w:rFonts w:ascii="仿宋_GB2312" w:eastAsia="仿宋_GB2312"/>
          <w:sz w:val="32"/>
          <w:szCs w:val="32"/>
        </w:rPr>
        <w:t>办法</w:t>
      </w:r>
      <w:r w:rsidRPr="00E35752">
        <w:rPr>
          <w:rFonts w:ascii="仿宋_GB2312" w:eastAsia="仿宋_GB2312" w:hint="eastAsia"/>
          <w:sz w:val="32"/>
          <w:szCs w:val="32"/>
        </w:rPr>
        <w:t>，承担县本级政府债务日常管理工作；负责制定全县政府投资引导基金管理制度和办法，承担引导基金日常管理工作。</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int="eastAsia"/>
          <w:sz w:val="32"/>
          <w:szCs w:val="32"/>
        </w:rPr>
        <w:t>（八）负责制定全县行政事业单位国有资产管理规章制度，</w:t>
      </w:r>
      <w:r w:rsidRPr="00E35752">
        <w:rPr>
          <w:rFonts w:ascii="仿宋_GB2312" w:eastAsia="仿宋_GB2312" w:hAnsi="宋体" w:cs="宋体" w:hint="eastAsia"/>
          <w:kern w:val="0"/>
          <w:sz w:val="32"/>
          <w:szCs w:val="32"/>
        </w:rPr>
        <w:t>按规定管理县本级行政事业单位国有资产，制定</w:t>
      </w:r>
      <w:r>
        <w:rPr>
          <w:rFonts w:ascii="仿宋_GB2312" w:eastAsia="仿宋_GB2312" w:hAnsi="宋体" w:cs="宋体" w:hint="eastAsia"/>
          <w:kern w:val="0"/>
          <w:sz w:val="32"/>
          <w:szCs w:val="32"/>
        </w:rPr>
        <w:t>需要</w:t>
      </w:r>
      <w:r w:rsidRPr="00E35752">
        <w:rPr>
          <w:rFonts w:ascii="仿宋_GB2312" w:eastAsia="仿宋_GB2312" w:hAnsi="宋体" w:cs="宋体" w:hint="eastAsia"/>
          <w:kern w:val="0"/>
          <w:sz w:val="32"/>
          <w:szCs w:val="32"/>
        </w:rPr>
        <w:t>全县统一规定的开支标准和支出制度措施。</w:t>
      </w:r>
      <w:r w:rsidRPr="00E35752">
        <w:rPr>
          <w:rFonts w:ascii="仿宋_GB2312" w:eastAsia="仿宋_GB2312" w:hAnsi="宋体" w:cs="宋体"/>
          <w:kern w:val="0"/>
          <w:sz w:val="32"/>
          <w:szCs w:val="32"/>
        </w:rPr>
        <w:t xml:space="preserve"> </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（九</w:t>
      </w:r>
      <w:r w:rsidRPr="00E35752">
        <w:rPr>
          <w:rFonts w:ascii="仿宋_GB2312" w:eastAsia="仿宋_GB2312" w:hAnsi="宋体" w:cs="宋体"/>
          <w:kern w:val="0"/>
          <w:sz w:val="32"/>
          <w:szCs w:val="32"/>
        </w:rPr>
        <w:t>）研究拟订支持</w:t>
      </w:r>
      <w:r w:rsidRPr="00E35752">
        <w:rPr>
          <w:rFonts w:ascii="仿宋_GB2312" w:eastAsia="仿宋_GB2312" w:hAnsi="宋体" w:cs="宋体" w:hint="eastAsia"/>
          <w:kern w:val="0"/>
          <w:sz w:val="32"/>
          <w:szCs w:val="32"/>
        </w:rPr>
        <w:t>本县</w:t>
      </w:r>
      <w:r w:rsidRPr="00E35752">
        <w:rPr>
          <w:rFonts w:ascii="仿宋_GB2312" w:eastAsia="仿宋_GB2312" w:hAnsi="宋体" w:cs="宋体"/>
          <w:kern w:val="0"/>
          <w:sz w:val="32"/>
          <w:szCs w:val="32"/>
        </w:rPr>
        <w:t>金融改革和发展的财政政策，按规定管理财政政策性金融业务</w:t>
      </w:r>
      <w:r w:rsidRPr="00E35752">
        <w:rPr>
          <w:rFonts w:ascii="仿宋_GB2312" w:eastAsia="仿宋_GB2312" w:hAnsi="宋体" w:cs="宋体" w:hint="eastAsia"/>
          <w:kern w:val="0"/>
          <w:sz w:val="32"/>
          <w:szCs w:val="32"/>
        </w:rPr>
        <w:t>；</w:t>
      </w:r>
      <w:r w:rsidRPr="00E35752">
        <w:rPr>
          <w:rFonts w:ascii="仿宋_GB2312" w:eastAsia="仿宋_GB2312" w:hAnsi="宋体" w:cs="宋体"/>
          <w:kern w:val="0"/>
          <w:sz w:val="32"/>
          <w:szCs w:val="32"/>
        </w:rPr>
        <w:t>制定全</w:t>
      </w:r>
      <w:r w:rsidRPr="00E35752">
        <w:rPr>
          <w:rFonts w:ascii="仿宋_GB2312" w:eastAsia="仿宋_GB2312" w:hAnsi="宋体" w:cs="宋体" w:hint="eastAsia"/>
          <w:kern w:val="0"/>
          <w:sz w:val="32"/>
          <w:szCs w:val="32"/>
        </w:rPr>
        <w:t>县</w:t>
      </w:r>
      <w:r w:rsidRPr="00E35752">
        <w:rPr>
          <w:rFonts w:ascii="仿宋_GB2312" w:eastAsia="仿宋_GB2312" w:hAnsi="宋体" w:cs="宋体"/>
          <w:kern w:val="0"/>
          <w:sz w:val="32"/>
          <w:szCs w:val="32"/>
        </w:rPr>
        <w:t>统一的国有金融资本管理制度</w:t>
      </w:r>
      <w:r w:rsidRPr="00E35752">
        <w:rPr>
          <w:rFonts w:ascii="仿宋_GB2312" w:eastAsia="仿宋_GB2312" w:hAnsi="宋体" w:cs="宋体" w:hint="eastAsia"/>
          <w:kern w:val="0"/>
          <w:sz w:val="32"/>
          <w:szCs w:val="32"/>
        </w:rPr>
        <w:t>和</w:t>
      </w:r>
      <w:r w:rsidRPr="00E35752">
        <w:rPr>
          <w:rFonts w:ascii="仿宋_GB2312" w:eastAsia="仿宋_GB2312" w:hAnsi="宋体" w:cs="宋体"/>
          <w:kern w:val="0"/>
          <w:sz w:val="32"/>
          <w:szCs w:val="32"/>
        </w:rPr>
        <w:t>办法</w:t>
      </w:r>
      <w:r w:rsidRPr="00E35752">
        <w:rPr>
          <w:rFonts w:ascii="仿宋_GB2312" w:eastAsia="仿宋_GB2312" w:hAnsi="宋体" w:cs="宋体" w:hint="eastAsia"/>
          <w:kern w:val="0"/>
          <w:sz w:val="32"/>
          <w:szCs w:val="32"/>
        </w:rPr>
        <w:t>；负责政府与社会资本合作工作的办法制定和组织实施；按规定管理外国政府和国际金融组织贷（赠）款。</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（十）负责审核和汇总编制全县国有资本经营预决算草案，负责县本级企业国有资本收入和支出管理；负责制定并</w:t>
      </w:r>
      <w:r w:rsidRPr="00E35752">
        <w:rPr>
          <w:rFonts w:ascii="仿宋_GB2312" w:eastAsia="仿宋_GB2312" w:hAnsi="宋体" w:cs="宋体"/>
          <w:kern w:val="0"/>
          <w:sz w:val="32"/>
          <w:szCs w:val="32"/>
        </w:rPr>
        <w:t>组织实施</w:t>
      </w:r>
      <w:r w:rsidRPr="00E35752">
        <w:rPr>
          <w:rFonts w:ascii="仿宋_GB2312" w:eastAsia="仿宋_GB2312" w:hAnsi="宋体" w:cs="宋体" w:hint="eastAsia"/>
          <w:kern w:val="0"/>
          <w:sz w:val="32"/>
          <w:szCs w:val="32"/>
        </w:rPr>
        <w:t>企业财务管理相关制度；按规定管理资产评估工作。</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（十一）会同有关部门拟订全县社会保障资(基)金的财务管理制度，编制全县社会保障预决算草案；承担社会</w:t>
      </w:r>
      <w:r w:rsidRPr="00E35752">
        <w:rPr>
          <w:rFonts w:ascii="仿宋_GB2312" w:eastAsia="仿宋_GB2312" w:hAnsi="宋体" w:cs="宋体"/>
          <w:kern w:val="0"/>
          <w:sz w:val="32"/>
          <w:szCs w:val="32"/>
        </w:rPr>
        <w:t>保险基金监管工作</w:t>
      </w:r>
      <w:r w:rsidRPr="00E35752">
        <w:rPr>
          <w:rFonts w:ascii="仿宋_GB2312" w:eastAsia="仿宋_GB2312" w:hAnsi="宋体" w:cs="宋体" w:hint="eastAsia"/>
          <w:kern w:val="0"/>
          <w:sz w:val="32"/>
          <w:szCs w:val="32"/>
        </w:rPr>
        <w:t>；配合做好社会保险费征收管理工作。</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lastRenderedPageBreak/>
        <w:t>（十二）</w:t>
      </w:r>
      <w:r w:rsidRPr="00E35752">
        <w:rPr>
          <w:rFonts w:ascii="仿宋_GB2312" w:eastAsia="仿宋_GB2312" w:hAnsi="宋体" w:cs="宋体"/>
          <w:kern w:val="0"/>
          <w:sz w:val="32"/>
          <w:szCs w:val="32"/>
        </w:rPr>
        <w:t>负责办理和监督</w:t>
      </w:r>
      <w:r w:rsidRPr="00E35752">
        <w:rPr>
          <w:rFonts w:ascii="仿宋_GB2312" w:eastAsia="仿宋_GB2312" w:hAnsi="宋体" w:cs="宋体" w:hint="eastAsia"/>
          <w:kern w:val="0"/>
          <w:sz w:val="32"/>
          <w:szCs w:val="32"/>
        </w:rPr>
        <w:t>县</w:t>
      </w:r>
      <w:r w:rsidRPr="00E35752">
        <w:rPr>
          <w:rFonts w:ascii="仿宋_GB2312" w:eastAsia="仿宋_GB2312" w:hAnsi="宋体" w:cs="宋体"/>
          <w:kern w:val="0"/>
          <w:sz w:val="32"/>
          <w:szCs w:val="32"/>
        </w:rPr>
        <w:t>级财政经济发展支出和政府性投资项目的财政拨款</w:t>
      </w:r>
      <w:r w:rsidRPr="00E35752">
        <w:rPr>
          <w:rFonts w:ascii="仿宋_GB2312" w:eastAsia="仿宋_GB2312" w:hAnsi="宋体" w:cs="宋体" w:hint="eastAsia"/>
          <w:kern w:val="0"/>
          <w:sz w:val="32"/>
          <w:szCs w:val="32"/>
        </w:rPr>
        <w:t>；参与制订全县投资政策，制定基本建设财务制度。</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（十三）负责管理全县会计工作，监督和规范会计行为；宣传贯彻国家统一的会计制度；组织实施内部控制规范、会计信息化；负责指导、监督和管理本县注册会计师和会计师事务所业务。</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（十四）</w:t>
      </w:r>
      <w:r w:rsidRPr="00E35752">
        <w:rPr>
          <w:rFonts w:ascii="仿宋_GB2312" w:eastAsia="仿宋_GB2312" w:hAnsi="宋体" w:cs="宋体"/>
          <w:kern w:val="0"/>
          <w:sz w:val="32"/>
          <w:szCs w:val="32"/>
        </w:rPr>
        <w:t>承担财税法规和政策执行情况、预算管理有关监督工作</w:t>
      </w:r>
      <w:r w:rsidRPr="00E35752">
        <w:rPr>
          <w:rFonts w:ascii="仿宋_GB2312" w:eastAsia="仿宋_GB2312" w:hAnsi="宋体" w:cs="宋体" w:hint="eastAsia"/>
          <w:kern w:val="0"/>
          <w:sz w:val="32"/>
          <w:szCs w:val="32"/>
        </w:rPr>
        <w:t>；</w:t>
      </w:r>
      <w:r w:rsidRPr="00E35752">
        <w:rPr>
          <w:rFonts w:ascii="仿宋_GB2312" w:eastAsia="仿宋_GB2312" w:hAnsi="宋体" w:cs="宋体"/>
          <w:kern w:val="0"/>
          <w:sz w:val="32"/>
          <w:szCs w:val="32"/>
        </w:rPr>
        <w:t>承担监督检查会计信息质量、注册会计师和资产评估行业执业质量有关工作。</w:t>
      </w:r>
    </w:p>
    <w:p w:rsidR="006A333F" w:rsidRPr="00E35752" w:rsidRDefault="006A333F" w:rsidP="006A333F">
      <w:pPr>
        <w:snapToGrid w:val="0"/>
        <w:spacing w:line="600" w:lineRule="exact"/>
        <w:ind w:firstLineChars="200" w:firstLine="640"/>
        <w:rPr>
          <w:rFonts w:ascii="仿宋_GB2312" w:eastAsia="仿宋_GB2312" w:hAnsi="宋体" w:cs="宋体"/>
          <w:kern w:val="0"/>
          <w:sz w:val="32"/>
          <w:szCs w:val="32"/>
        </w:rPr>
      </w:pPr>
      <w:r w:rsidRPr="00E35752">
        <w:rPr>
          <w:rFonts w:ascii="仿宋_GB2312" w:eastAsia="仿宋_GB2312" w:hAnsi="宋体" w:cs="宋体" w:hint="eastAsia"/>
          <w:kern w:val="0"/>
          <w:sz w:val="32"/>
          <w:szCs w:val="32"/>
        </w:rPr>
        <w:t>（十五）负责财政信息和财政宣传工作，负责财政信息化及金财工程建设工作。</w:t>
      </w:r>
    </w:p>
    <w:p w:rsidR="006A333F" w:rsidRPr="00E35752" w:rsidRDefault="006A333F" w:rsidP="006A333F">
      <w:pPr>
        <w:spacing w:line="600" w:lineRule="exact"/>
        <w:ind w:firstLineChars="200" w:firstLine="640"/>
        <w:rPr>
          <w:rFonts w:ascii="仿宋_GB2312" w:eastAsia="仿宋_GB2312"/>
          <w:sz w:val="32"/>
          <w:szCs w:val="32"/>
        </w:rPr>
      </w:pPr>
      <w:r w:rsidRPr="00E35752">
        <w:rPr>
          <w:rFonts w:ascii="仿宋_GB2312" w:eastAsia="仿宋_GB2312" w:hAnsi="宋体" w:cs="宋体" w:hint="eastAsia"/>
          <w:kern w:val="0"/>
          <w:sz w:val="32"/>
          <w:szCs w:val="32"/>
        </w:rPr>
        <w:t>（十六）</w:t>
      </w:r>
      <w:r w:rsidRPr="00E35752">
        <w:rPr>
          <w:rFonts w:ascii="仿宋_GB2312" w:eastAsia="仿宋_GB2312" w:hint="eastAsia"/>
          <w:sz w:val="32"/>
          <w:szCs w:val="32"/>
        </w:rPr>
        <w:t>负责全县行政事业单位在职人员、离休人员、补助类人员工资审核与发放工作。</w:t>
      </w:r>
    </w:p>
    <w:p w:rsidR="006A333F" w:rsidRPr="00E35752" w:rsidRDefault="006A333F" w:rsidP="006A333F">
      <w:pPr>
        <w:spacing w:line="600" w:lineRule="exact"/>
        <w:ind w:firstLineChars="200" w:firstLine="640"/>
        <w:rPr>
          <w:rFonts w:ascii="仿宋_GB2312" w:eastAsia="仿宋_GB2312"/>
          <w:sz w:val="32"/>
          <w:szCs w:val="32"/>
        </w:rPr>
      </w:pPr>
      <w:r w:rsidRPr="00E35752">
        <w:rPr>
          <w:rFonts w:ascii="仿宋_GB2312" w:eastAsia="仿宋_GB2312" w:hAnsi="宋体" w:cs="宋体" w:hint="eastAsia"/>
          <w:kern w:val="0"/>
          <w:sz w:val="32"/>
          <w:szCs w:val="32"/>
        </w:rPr>
        <w:t>（十七）</w:t>
      </w:r>
      <w:r w:rsidRPr="00E35752">
        <w:rPr>
          <w:rFonts w:ascii="仿宋_GB2312" w:eastAsia="仿宋_GB2312" w:hint="eastAsia"/>
          <w:sz w:val="32"/>
          <w:szCs w:val="32"/>
        </w:rPr>
        <w:t>指导监督各镇（街）</w:t>
      </w:r>
      <w:r>
        <w:rPr>
          <w:rFonts w:ascii="仿宋_GB2312" w:eastAsia="仿宋_GB2312" w:hint="eastAsia"/>
          <w:sz w:val="32"/>
          <w:szCs w:val="32"/>
        </w:rPr>
        <w:t>和</w:t>
      </w:r>
      <w:r w:rsidRPr="00E35752">
        <w:rPr>
          <w:rFonts w:ascii="仿宋_GB2312" w:eastAsia="仿宋_GB2312" w:hint="eastAsia"/>
          <w:sz w:val="32"/>
          <w:szCs w:val="32"/>
        </w:rPr>
        <w:t>太白山旅游区管理委员会财政管理工作。</w:t>
      </w:r>
    </w:p>
    <w:p w:rsidR="002A7DC6" w:rsidRPr="008601D7" w:rsidRDefault="006A333F" w:rsidP="008601D7">
      <w:pPr>
        <w:widowControl/>
        <w:ind w:firstLineChars="200" w:firstLine="640"/>
        <w:jc w:val="left"/>
        <w:rPr>
          <w:rFonts w:ascii="楷体" w:eastAsia="楷体" w:hAnsi="楷体" w:cs="楷体"/>
          <w:b/>
          <w:bCs/>
          <w:color w:val="000000"/>
          <w:kern w:val="0"/>
          <w:sz w:val="32"/>
          <w:szCs w:val="32"/>
        </w:rPr>
      </w:pPr>
      <w:r w:rsidRPr="00E35752">
        <w:rPr>
          <w:rFonts w:ascii="仿宋_GB2312" w:eastAsia="仿宋_GB2312" w:hint="eastAsia"/>
          <w:sz w:val="32"/>
          <w:szCs w:val="32"/>
        </w:rPr>
        <w:t>（十八）</w:t>
      </w:r>
      <w:r w:rsidRPr="00E35752">
        <w:rPr>
          <w:rFonts w:ascii="仿宋_GB2312" w:eastAsia="仿宋_GB2312" w:hAnsi="宋体" w:cs="宋体" w:hint="eastAsia"/>
          <w:kern w:val="0"/>
          <w:sz w:val="32"/>
          <w:szCs w:val="32"/>
        </w:rPr>
        <w:t>承办县委、县政府交办的其他任务</w:t>
      </w:r>
      <w:r w:rsidR="008601D7">
        <w:rPr>
          <w:rFonts w:ascii="仿宋_GB2312" w:eastAsia="仿宋_GB2312" w:hAnsi="宋体" w:cs="宋体" w:hint="eastAsia"/>
          <w:kern w:val="0"/>
          <w:sz w:val="32"/>
          <w:szCs w:val="32"/>
        </w:rPr>
        <w:t>。</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内设机构</w:t>
      </w:r>
    </w:p>
    <w:p w:rsidR="006A333F" w:rsidRDefault="00081E8F">
      <w:pPr>
        <w:widowControl/>
        <w:ind w:firstLineChars="200" w:firstLine="640"/>
        <w:jc w:val="left"/>
        <w:rPr>
          <w:rFonts w:ascii="仿宋_GB2312" w:eastAsia="仿宋_GB2312"/>
          <w:sz w:val="32"/>
          <w:szCs w:val="32"/>
        </w:rPr>
      </w:pPr>
      <w:r>
        <w:rPr>
          <w:rFonts w:ascii="仿宋_GB2312" w:eastAsia="仿宋_GB2312" w:hint="eastAsia"/>
          <w:sz w:val="32"/>
          <w:szCs w:val="32"/>
        </w:rPr>
        <w:t>眉县财政局设政秘股、预算股、国库股、经建股、社保股、综合股、会计股、监督股</w:t>
      </w:r>
      <w:r w:rsidR="006A333F" w:rsidRPr="00E35752">
        <w:rPr>
          <w:rFonts w:ascii="仿宋_GB2312" w:eastAsia="仿宋_GB2312" w:hint="eastAsia"/>
          <w:sz w:val="32"/>
          <w:szCs w:val="32"/>
        </w:rPr>
        <w:t>8个内设</w:t>
      </w:r>
      <w:r w:rsidR="008601D7">
        <w:rPr>
          <w:rFonts w:ascii="仿宋_GB2312" w:eastAsia="仿宋_GB2312" w:hint="eastAsia"/>
          <w:sz w:val="32"/>
          <w:szCs w:val="32"/>
        </w:rPr>
        <w:t>股室和7个二级事业单位。</w:t>
      </w:r>
    </w:p>
    <w:p w:rsidR="002A7DC6" w:rsidRDefault="00DC6A7B">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纳入2019年本部门决算编制范围的单位共</w:t>
      </w:r>
      <w:r w:rsidR="008601D7">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个，包括</w:t>
      </w:r>
      <w:r w:rsidR="008601D7">
        <w:rPr>
          <w:rFonts w:ascii="仿宋_GB2312" w:eastAsia="仿宋_GB2312" w:hAnsi="仿宋_GB2312" w:cs="仿宋_GB2312" w:hint="eastAsia"/>
          <w:sz w:val="32"/>
          <w:szCs w:val="32"/>
        </w:rPr>
        <w:t>局机</w:t>
      </w:r>
      <w:r w:rsidR="008601D7">
        <w:rPr>
          <w:rFonts w:ascii="仿宋_GB2312" w:eastAsia="仿宋_GB2312" w:hAnsi="仿宋_GB2312" w:cs="仿宋_GB2312" w:hint="eastAsia"/>
          <w:sz w:val="32"/>
          <w:szCs w:val="32"/>
        </w:rPr>
        <w:lastRenderedPageBreak/>
        <w:t>关</w:t>
      </w:r>
      <w:r>
        <w:rPr>
          <w:rFonts w:ascii="仿宋_GB2312" w:eastAsia="仿宋_GB2312" w:hAnsi="仿宋_GB2312" w:cs="仿宋_GB2312" w:hint="eastAsia"/>
          <w:sz w:val="32"/>
          <w:szCs w:val="32"/>
        </w:rPr>
        <w:t>本级及所属</w:t>
      </w:r>
      <w:r w:rsidR="008601D7">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w:t>
      </w:r>
      <w:r>
        <w:rPr>
          <w:rFonts w:ascii="仿宋_GB2312" w:eastAsia="仿宋_GB2312" w:hAnsi="仿宋_GB2312" w:cs="仿宋_GB2312"/>
          <w:color w:val="000000"/>
          <w:kern w:val="0"/>
          <w:sz w:val="31"/>
          <w:szCs w:val="31"/>
        </w:rPr>
        <w:t>二级预算</w:t>
      </w:r>
      <w:r>
        <w:rPr>
          <w:rFonts w:ascii="仿宋_GB2312" w:eastAsia="仿宋_GB2312" w:hAnsi="仿宋_GB2312" w:cs="仿宋_GB2312" w:hint="eastAsia"/>
          <w:sz w:val="32"/>
          <w:szCs w:val="32"/>
        </w:rPr>
        <w:t>单位：</w:t>
      </w:r>
    </w:p>
    <w:tbl>
      <w:tblPr>
        <w:tblStyle w:val="a9"/>
        <w:tblW w:w="8522" w:type="dxa"/>
        <w:tblLayout w:type="fixed"/>
        <w:tblLook w:val="04A0" w:firstRow="1" w:lastRow="0" w:firstColumn="1" w:lastColumn="0" w:noHBand="0" w:noVBand="1"/>
      </w:tblPr>
      <w:tblGrid>
        <w:gridCol w:w="1599"/>
        <w:gridCol w:w="6923"/>
      </w:tblGrid>
      <w:tr w:rsidR="00B0176A" w:rsidTr="00B0176A">
        <w:tc>
          <w:tcPr>
            <w:tcW w:w="1599" w:type="dxa"/>
          </w:tcPr>
          <w:p w:rsidR="00B0176A" w:rsidRDefault="00B0176A" w:rsidP="00F837D0">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6923" w:type="dxa"/>
          </w:tcPr>
          <w:p w:rsidR="00B0176A" w:rsidRDefault="00B0176A" w:rsidP="00F837D0">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r>
      <w:tr w:rsidR="00B0176A" w:rsidTr="00B0176A">
        <w:tc>
          <w:tcPr>
            <w:tcW w:w="1599" w:type="dxa"/>
          </w:tcPr>
          <w:p w:rsidR="00B0176A" w:rsidRDefault="00B0176A" w:rsidP="00F837D0">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6923" w:type="dxa"/>
          </w:tcPr>
          <w:p w:rsidR="00B0176A" w:rsidRDefault="003018C6" w:rsidP="00F837D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眉县</w:t>
            </w:r>
            <w:r w:rsidR="00B0176A">
              <w:rPr>
                <w:rFonts w:ascii="仿宋_GB2312" w:eastAsia="仿宋_GB2312" w:hAnsi="仿宋_GB2312" w:cs="仿宋_GB2312" w:hint="eastAsia"/>
                <w:sz w:val="32"/>
                <w:szCs w:val="32"/>
              </w:rPr>
              <w:t>财政局机关</w:t>
            </w:r>
          </w:p>
        </w:tc>
      </w:tr>
    </w:tbl>
    <w:p w:rsidR="002A7DC6" w:rsidRDefault="00DC6A7B">
      <w:pPr>
        <w:ind w:firstLine="640"/>
        <w:rPr>
          <w:rFonts w:ascii="黑体" w:eastAsia="黑体" w:hAnsi="黑体"/>
          <w:b/>
          <w:bCs/>
          <w:sz w:val="32"/>
          <w:szCs w:val="32"/>
        </w:rPr>
      </w:pPr>
      <w:r>
        <w:rPr>
          <w:rFonts w:ascii="黑体" w:eastAsia="黑体" w:hAnsi="黑体" w:hint="eastAsia"/>
          <w:b/>
          <w:bCs/>
          <w:sz w:val="32"/>
          <w:szCs w:val="32"/>
        </w:rPr>
        <w:t>三、部门人员情况</w:t>
      </w:r>
    </w:p>
    <w:p w:rsidR="002A7DC6" w:rsidRPr="003D54EF" w:rsidRDefault="00D749C9">
      <w:pPr>
        <w:ind w:firstLine="640"/>
        <w:rPr>
          <w:rFonts w:ascii="仿宋_GB2312" w:eastAsia="仿宋_GB2312" w:hAnsi="仿宋_GB2312" w:cs="仿宋_GB2312"/>
          <w:color w:val="FF0000"/>
          <w:sz w:val="32"/>
          <w:szCs w:val="32"/>
        </w:rPr>
      </w:pPr>
      <w:r>
        <w:rPr>
          <w:rFonts w:ascii="仿宋_GB2312" w:eastAsia="仿宋_GB2312" w:hAnsi="仿宋_GB2312" w:cs="仿宋_GB2312"/>
          <w:noProof/>
          <w:color w:val="FF0000"/>
          <w:sz w:val="32"/>
          <w:szCs w:val="32"/>
        </w:rPr>
        <w:drawing>
          <wp:inline distT="0" distB="0" distL="0" distR="0">
            <wp:extent cx="4676775" cy="2305050"/>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7DC6" w:rsidRDefault="00BC0105" w:rsidP="00BC0105">
      <w:pPr>
        <w:widowControl/>
        <w:jc w:val="left"/>
        <w:rPr>
          <w:rFonts w:ascii="黑体" w:eastAsia="黑体" w:hAnsi="宋体"/>
          <w:color w:val="000000"/>
          <w:kern w:val="0"/>
          <w:sz w:val="44"/>
          <w:szCs w:val="44"/>
        </w:rPr>
      </w:pPr>
      <w:r>
        <w:rPr>
          <w:rFonts w:ascii="仿宋_GB2312" w:eastAsia="仿宋_GB2312" w:hAnsi="仿宋_GB2312" w:cs="仿宋_GB2312" w:hint="eastAsia"/>
          <w:sz w:val="32"/>
          <w:szCs w:val="32"/>
        </w:rPr>
        <w:t xml:space="preserve">   截止2019年底，</w:t>
      </w:r>
      <w:r>
        <w:rPr>
          <w:rFonts w:ascii="仿宋" w:eastAsia="仿宋" w:hAnsi="仿宋" w:cs="仿宋" w:hint="eastAsia"/>
          <w:sz w:val="32"/>
          <w:szCs w:val="32"/>
          <w:shd w:val="clear" w:color="auto" w:fill="FFFFFF"/>
        </w:rPr>
        <w:t>眉县财政局</w:t>
      </w:r>
      <w:r w:rsidRPr="00891885">
        <w:rPr>
          <w:rFonts w:ascii="仿宋" w:eastAsia="仿宋" w:hAnsi="仿宋" w:cs="仿宋" w:hint="eastAsia"/>
          <w:sz w:val="32"/>
          <w:szCs w:val="32"/>
          <w:shd w:val="clear" w:color="auto" w:fill="FFFFFF"/>
        </w:rPr>
        <w:t xml:space="preserve">编制 </w:t>
      </w:r>
      <w:r w:rsidR="006E452F">
        <w:rPr>
          <w:rFonts w:ascii="仿宋" w:eastAsia="仿宋" w:hAnsi="仿宋" w:cs="仿宋" w:hint="eastAsia"/>
          <w:sz w:val="32"/>
          <w:szCs w:val="32"/>
          <w:shd w:val="clear" w:color="auto" w:fill="FFFFFF"/>
        </w:rPr>
        <w:t>92</w:t>
      </w:r>
      <w:r w:rsidRPr="00891885">
        <w:rPr>
          <w:rFonts w:ascii="仿宋" w:eastAsia="仿宋" w:hAnsi="仿宋" w:cs="仿宋" w:hint="eastAsia"/>
          <w:sz w:val="32"/>
          <w:szCs w:val="32"/>
          <w:shd w:val="clear" w:color="auto" w:fill="FFFFFF"/>
        </w:rPr>
        <w:t>名，</w:t>
      </w:r>
      <w:r w:rsidRPr="00891885">
        <w:rPr>
          <w:rFonts w:ascii="仿宋" w:eastAsia="仿宋" w:hAnsi="仿宋" w:cs="仿宋"/>
          <w:sz w:val="32"/>
          <w:szCs w:val="32"/>
          <w:shd w:val="clear" w:color="auto" w:fill="FFFFFF"/>
        </w:rPr>
        <w:t>实有</w:t>
      </w:r>
      <w:r w:rsidR="006E452F">
        <w:rPr>
          <w:rFonts w:ascii="仿宋" w:eastAsia="仿宋" w:hAnsi="仿宋" w:cs="仿宋" w:hint="eastAsia"/>
          <w:sz w:val="32"/>
          <w:szCs w:val="32"/>
          <w:shd w:val="clear" w:color="auto" w:fill="FFFFFF"/>
        </w:rPr>
        <w:t>92</w:t>
      </w:r>
      <w:r w:rsidRPr="00891885">
        <w:rPr>
          <w:rFonts w:ascii="仿宋" w:eastAsia="仿宋" w:hAnsi="仿宋" w:cs="仿宋"/>
          <w:sz w:val="32"/>
          <w:szCs w:val="32"/>
          <w:shd w:val="clear" w:color="auto" w:fill="FFFFFF"/>
        </w:rPr>
        <w:t>人</w:t>
      </w:r>
      <w:r w:rsidRPr="00891885">
        <w:rPr>
          <w:rFonts w:ascii="仿宋" w:eastAsia="仿宋" w:hAnsi="仿宋" w:cs="仿宋" w:hint="eastAsia"/>
          <w:sz w:val="32"/>
          <w:szCs w:val="32"/>
          <w:shd w:val="clear" w:color="auto" w:fill="FFFFFF"/>
        </w:rPr>
        <w:t xml:space="preserve"> ，</w:t>
      </w:r>
      <w:r w:rsidRPr="00891885">
        <w:rPr>
          <w:rFonts w:ascii="仿宋" w:eastAsia="仿宋" w:hAnsi="仿宋" w:cs="仿宋"/>
          <w:sz w:val="32"/>
          <w:szCs w:val="32"/>
          <w:shd w:val="clear" w:color="auto" w:fill="FFFFFF"/>
        </w:rPr>
        <w:t>在职</w:t>
      </w:r>
      <w:r w:rsidR="006E452F">
        <w:rPr>
          <w:rFonts w:ascii="仿宋" w:eastAsia="仿宋" w:hAnsi="仿宋" w:cs="仿宋" w:hint="eastAsia"/>
          <w:sz w:val="32"/>
          <w:szCs w:val="32"/>
          <w:shd w:val="clear" w:color="auto" w:fill="FFFFFF"/>
        </w:rPr>
        <w:t>92</w:t>
      </w:r>
      <w:r w:rsidRPr="00891885">
        <w:rPr>
          <w:rFonts w:ascii="仿宋" w:eastAsia="仿宋" w:hAnsi="仿宋" w:cs="仿宋"/>
          <w:sz w:val="32"/>
          <w:szCs w:val="32"/>
          <w:shd w:val="clear" w:color="auto" w:fill="FFFFFF"/>
        </w:rPr>
        <w:t>人。行政</w:t>
      </w:r>
      <w:r>
        <w:rPr>
          <w:rFonts w:ascii="仿宋" w:eastAsia="仿宋" w:hAnsi="仿宋" w:cs="仿宋"/>
          <w:sz w:val="32"/>
          <w:szCs w:val="32"/>
          <w:shd w:val="clear" w:color="auto" w:fill="FFFFFF"/>
        </w:rPr>
        <w:t>编制</w:t>
      </w:r>
      <w:r>
        <w:rPr>
          <w:rFonts w:ascii="仿宋" w:eastAsia="仿宋" w:hAnsi="仿宋" w:cs="仿宋" w:hint="eastAsia"/>
          <w:sz w:val="32"/>
          <w:szCs w:val="32"/>
          <w:shd w:val="clear" w:color="auto" w:fill="FFFFFF"/>
        </w:rPr>
        <w:t>1</w:t>
      </w:r>
      <w:r w:rsidR="006E452F">
        <w:rPr>
          <w:rFonts w:ascii="仿宋" w:eastAsia="仿宋" w:hAnsi="仿宋" w:cs="仿宋" w:hint="eastAsia"/>
          <w:sz w:val="32"/>
          <w:szCs w:val="32"/>
          <w:shd w:val="clear" w:color="auto" w:fill="FFFFFF"/>
        </w:rPr>
        <w:t>9</w:t>
      </w:r>
      <w:r w:rsidRPr="00891885">
        <w:rPr>
          <w:rFonts w:ascii="仿宋" w:eastAsia="仿宋" w:hAnsi="仿宋" w:cs="仿宋"/>
          <w:sz w:val="32"/>
          <w:szCs w:val="32"/>
          <w:shd w:val="clear" w:color="auto" w:fill="FFFFFF"/>
        </w:rPr>
        <w:t>人，</w:t>
      </w:r>
      <w:r>
        <w:rPr>
          <w:rFonts w:ascii="仿宋" w:eastAsia="仿宋" w:hAnsi="仿宋" w:cs="仿宋"/>
          <w:sz w:val="32"/>
          <w:szCs w:val="32"/>
          <w:shd w:val="clear" w:color="auto" w:fill="FFFFFF"/>
        </w:rPr>
        <w:t>实有</w:t>
      </w:r>
      <w:r>
        <w:rPr>
          <w:rFonts w:ascii="仿宋" w:eastAsia="仿宋" w:hAnsi="仿宋" w:cs="仿宋" w:hint="eastAsia"/>
          <w:sz w:val="32"/>
          <w:szCs w:val="32"/>
          <w:shd w:val="clear" w:color="auto" w:fill="FFFFFF"/>
        </w:rPr>
        <w:t>19人；</w:t>
      </w:r>
      <w:r w:rsidRPr="00891885">
        <w:rPr>
          <w:rFonts w:ascii="仿宋" w:eastAsia="仿宋" w:hAnsi="仿宋" w:cs="仿宋"/>
          <w:sz w:val="32"/>
          <w:szCs w:val="32"/>
          <w:shd w:val="clear" w:color="auto" w:fill="FFFFFF"/>
        </w:rPr>
        <w:t>事业</w:t>
      </w:r>
      <w:r>
        <w:rPr>
          <w:rFonts w:ascii="仿宋" w:eastAsia="仿宋" w:hAnsi="仿宋" w:cs="仿宋"/>
          <w:sz w:val="32"/>
          <w:szCs w:val="32"/>
          <w:shd w:val="clear" w:color="auto" w:fill="FFFFFF"/>
        </w:rPr>
        <w:t>编制</w:t>
      </w:r>
      <w:r>
        <w:rPr>
          <w:rFonts w:ascii="仿宋" w:eastAsia="仿宋" w:hAnsi="仿宋" w:cs="仿宋" w:hint="eastAsia"/>
          <w:sz w:val="32"/>
          <w:szCs w:val="32"/>
          <w:shd w:val="clear" w:color="auto" w:fill="FFFFFF"/>
        </w:rPr>
        <w:t>7</w:t>
      </w:r>
      <w:r w:rsidR="006E452F">
        <w:rPr>
          <w:rFonts w:ascii="仿宋" w:eastAsia="仿宋" w:hAnsi="仿宋" w:cs="仿宋" w:hint="eastAsia"/>
          <w:sz w:val="32"/>
          <w:szCs w:val="32"/>
          <w:shd w:val="clear" w:color="auto" w:fill="FFFFFF"/>
        </w:rPr>
        <w:t>3</w:t>
      </w:r>
      <w:r w:rsidRPr="00891885">
        <w:rPr>
          <w:rFonts w:ascii="仿宋" w:eastAsia="仿宋" w:hAnsi="仿宋" w:cs="仿宋"/>
          <w:sz w:val="32"/>
          <w:szCs w:val="32"/>
          <w:shd w:val="clear" w:color="auto" w:fill="FFFFFF"/>
        </w:rPr>
        <w:t>人，</w:t>
      </w:r>
      <w:r>
        <w:rPr>
          <w:rFonts w:ascii="仿宋" w:eastAsia="仿宋" w:hAnsi="仿宋" w:cs="仿宋"/>
          <w:sz w:val="32"/>
          <w:szCs w:val="32"/>
          <w:shd w:val="clear" w:color="auto" w:fill="FFFFFF"/>
        </w:rPr>
        <w:t>实有</w:t>
      </w:r>
      <w:r w:rsidR="006E452F">
        <w:rPr>
          <w:rFonts w:ascii="仿宋" w:eastAsia="仿宋" w:hAnsi="仿宋" w:cs="仿宋" w:hint="eastAsia"/>
          <w:sz w:val="32"/>
          <w:szCs w:val="32"/>
          <w:shd w:val="clear" w:color="auto" w:fill="FFFFFF"/>
        </w:rPr>
        <w:t>73</w:t>
      </w:r>
      <w:r>
        <w:rPr>
          <w:rFonts w:ascii="仿宋" w:eastAsia="仿宋" w:hAnsi="仿宋" w:cs="仿宋" w:hint="eastAsia"/>
          <w:sz w:val="32"/>
          <w:szCs w:val="32"/>
          <w:shd w:val="clear" w:color="auto" w:fill="FFFFFF"/>
        </w:rPr>
        <w:t>人；</w:t>
      </w:r>
      <w:r w:rsidRPr="00891885">
        <w:rPr>
          <w:rFonts w:ascii="仿宋" w:eastAsia="仿宋" w:hAnsi="仿宋" w:cs="仿宋"/>
          <w:sz w:val="32"/>
          <w:szCs w:val="32"/>
          <w:shd w:val="clear" w:color="auto" w:fill="FFFFFF"/>
        </w:rPr>
        <w:t>退休</w:t>
      </w:r>
      <w:r>
        <w:rPr>
          <w:rFonts w:ascii="仿宋" w:eastAsia="仿宋" w:hAnsi="仿宋" w:cs="仿宋" w:hint="eastAsia"/>
          <w:sz w:val="32"/>
          <w:szCs w:val="32"/>
          <w:shd w:val="clear" w:color="auto" w:fill="FFFFFF"/>
        </w:rPr>
        <w:t>3</w:t>
      </w:r>
      <w:r w:rsidRPr="00891885">
        <w:rPr>
          <w:rFonts w:ascii="仿宋" w:eastAsia="仿宋" w:hAnsi="仿宋" w:cs="仿宋"/>
          <w:sz w:val="32"/>
          <w:szCs w:val="32"/>
          <w:shd w:val="clear" w:color="auto" w:fill="FFFFFF"/>
        </w:rPr>
        <w:t>2人。</w:t>
      </w:r>
    </w:p>
    <w:p w:rsidR="002A7DC6" w:rsidRDefault="00DC6A7B">
      <w:pPr>
        <w:widowControl/>
        <w:jc w:val="center"/>
        <w:rPr>
          <w:sz w:val="44"/>
          <w:szCs w:val="44"/>
        </w:rPr>
      </w:pPr>
      <w:r>
        <w:rPr>
          <w:rFonts w:ascii="黑体" w:eastAsia="黑体" w:hAnsi="宋体"/>
          <w:color w:val="000000"/>
          <w:kern w:val="0"/>
          <w:sz w:val="44"/>
          <w:szCs w:val="44"/>
        </w:rPr>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firstRow="1" w:lastRow="0" w:firstColumn="1" w:lastColumn="0" w:noHBand="0" w:noVBand="1"/>
      </w:tblPr>
      <w:tblGrid>
        <w:gridCol w:w="735"/>
        <w:gridCol w:w="4110"/>
        <w:gridCol w:w="1047"/>
        <w:gridCol w:w="3108"/>
      </w:tblGrid>
      <w:tr w:rsidR="002A7DC6">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2A7DC6" w:rsidRDefault="00DC6A7B">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3D3B96">
            <w:pPr>
              <w:jc w:val="center"/>
              <w:rPr>
                <w:rFonts w:ascii="宋体" w:hAnsi="宋体" w:cs="宋体"/>
                <w:color w:val="000000"/>
                <w:sz w:val="24"/>
              </w:rPr>
            </w:pPr>
            <w:r>
              <w:rPr>
                <w:rFonts w:ascii="宋体" w:hAnsi="宋体" w:cs="宋体"/>
                <w:color w:val="000000"/>
                <w:sz w:val="24"/>
              </w:rPr>
              <w:t>本单位无基金预算收支</w:t>
            </w:r>
          </w:p>
        </w:tc>
      </w:tr>
    </w:tbl>
    <w:p w:rsidR="002A7DC6" w:rsidRDefault="002A7DC6">
      <w:pPr>
        <w:widowControl/>
        <w:rPr>
          <w:rFonts w:ascii="黑体" w:eastAsia="黑体" w:hAnsi="宋体"/>
          <w:color w:val="000000"/>
          <w:kern w:val="0"/>
          <w:sz w:val="44"/>
          <w:szCs w:val="44"/>
        </w:rPr>
      </w:pPr>
    </w:p>
    <w:p w:rsidR="002A7DC6" w:rsidRDefault="002A7DC6">
      <w:pPr>
        <w:widowControl/>
        <w:rPr>
          <w:rFonts w:ascii="黑体" w:eastAsia="黑体" w:hAnsi="宋体"/>
          <w:color w:val="000000"/>
          <w:kern w:val="0"/>
          <w:sz w:val="44"/>
          <w:szCs w:val="44"/>
        </w:rPr>
      </w:pPr>
    </w:p>
    <w:p w:rsidR="002A7DC6" w:rsidRDefault="00DC6A7B">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2A7DC6" w:rsidRDefault="00DC6A7B">
      <w:pPr>
        <w:rPr>
          <w:rFonts w:ascii="宋体" w:hAnsi="宋体" w:cs="宋体"/>
          <w:b/>
          <w:bCs/>
          <w:szCs w:val="21"/>
        </w:rPr>
      </w:pPr>
      <w:r>
        <w:rPr>
          <w:rFonts w:ascii="宋体" w:hAnsi="宋体" w:cs="宋体" w:hint="eastAsia"/>
          <w:b/>
          <w:bCs/>
          <w:szCs w:val="21"/>
        </w:rPr>
        <w:t>公开01表</w:t>
      </w:r>
    </w:p>
    <w:tbl>
      <w:tblPr>
        <w:tblW w:w="9160" w:type="dxa"/>
        <w:tblInd w:w="93" w:type="dxa"/>
        <w:tblLook w:val="04A0" w:firstRow="1" w:lastRow="0" w:firstColumn="1" w:lastColumn="0" w:noHBand="0" w:noVBand="1"/>
      </w:tblPr>
      <w:tblGrid>
        <w:gridCol w:w="3260"/>
        <w:gridCol w:w="1400"/>
        <w:gridCol w:w="2980"/>
        <w:gridCol w:w="1520"/>
      </w:tblGrid>
      <w:tr w:rsidR="0034435E" w:rsidTr="0034435E">
        <w:trPr>
          <w:trHeight w:val="255"/>
        </w:trPr>
        <w:tc>
          <w:tcPr>
            <w:tcW w:w="3260" w:type="dxa"/>
            <w:tcBorders>
              <w:top w:val="nil"/>
              <w:left w:val="nil"/>
              <w:bottom w:val="nil"/>
              <w:right w:val="nil"/>
            </w:tcBorders>
            <w:shd w:val="clear" w:color="auto" w:fill="auto"/>
            <w:noWrap/>
            <w:vAlign w:val="bottom"/>
            <w:hideMark/>
          </w:tcPr>
          <w:p w:rsidR="0034435E" w:rsidRDefault="0034435E">
            <w:pPr>
              <w:rPr>
                <w:rFonts w:ascii="宋体" w:hAnsi="宋体" w:cs="Arial"/>
                <w:color w:val="000000"/>
                <w:sz w:val="20"/>
                <w:szCs w:val="20"/>
              </w:rPr>
            </w:pPr>
            <w:r>
              <w:rPr>
                <w:rFonts w:cs="Arial" w:hint="eastAsia"/>
                <w:color w:val="000000"/>
                <w:sz w:val="20"/>
                <w:szCs w:val="20"/>
              </w:rPr>
              <w:t>编制部门：</w:t>
            </w:r>
          </w:p>
        </w:tc>
        <w:tc>
          <w:tcPr>
            <w:tcW w:w="1400" w:type="dxa"/>
            <w:tcBorders>
              <w:top w:val="nil"/>
              <w:left w:val="nil"/>
              <w:bottom w:val="nil"/>
              <w:right w:val="nil"/>
            </w:tcBorders>
            <w:shd w:val="clear" w:color="auto" w:fill="auto"/>
            <w:noWrap/>
            <w:vAlign w:val="bottom"/>
            <w:hideMark/>
          </w:tcPr>
          <w:p w:rsidR="0034435E" w:rsidRDefault="0034435E">
            <w:pPr>
              <w:jc w:val="center"/>
              <w:rPr>
                <w:rFonts w:ascii="宋体" w:hAnsi="宋体" w:cs="Arial"/>
                <w:color w:val="000000"/>
                <w:sz w:val="20"/>
                <w:szCs w:val="20"/>
              </w:rPr>
            </w:pPr>
          </w:p>
        </w:tc>
        <w:tc>
          <w:tcPr>
            <w:tcW w:w="2980" w:type="dxa"/>
            <w:tcBorders>
              <w:top w:val="nil"/>
              <w:left w:val="nil"/>
              <w:bottom w:val="nil"/>
              <w:right w:val="nil"/>
            </w:tcBorders>
            <w:shd w:val="clear" w:color="auto" w:fill="auto"/>
            <w:noWrap/>
            <w:vAlign w:val="bottom"/>
            <w:hideMark/>
          </w:tcPr>
          <w:p w:rsidR="0034435E" w:rsidRDefault="0034435E">
            <w:pPr>
              <w:rPr>
                <w:rFonts w:ascii="Arial" w:hAnsi="Arial" w:cs="Arial"/>
                <w:color w:val="000000"/>
                <w:sz w:val="20"/>
                <w:szCs w:val="20"/>
              </w:rPr>
            </w:pPr>
          </w:p>
        </w:tc>
        <w:tc>
          <w:tcPr>
            <w:tcW w:w="1520" w:type="dxa"/>
            <w:tcBorders>
              <w:top w:val="nil"/>
              <w:left w:val="nil"/>
              <w:bottom w:val="nil"/>
              <w:right w:val="nil"/>
            </w:tcBorders>
            <w:shd w:val="clear" w:color="auto" w:fill="auto"/>
            <w:noWrap/>
            <w:vAlign w:val="bottom"/>
            <w:hideMark/>
          </w:tcPr>
          <w:p w:rsidR="0034435E" w:rsidRDefault="0034435E">
            <w:pPr>
              <w:jc w:val="right"/>
              <w:rPr>
                <w:rFonts w:ascii="宋体" w:hAnsi="宋体" w:cs="Arial"/>
                <w:color w:val="000000"/>
                <w:sz w:val="20"/>
                <w:szCs w:val="20"/>
              </w:rPr>
            </w:pPr>
            <w:r>
              <w:rPr>
                <w:rFonts w:cs="Arial" w:hint="eastAsia"/>
                <w:color w:val="000000"/>
                <w:sz w:val="20"/>
                <w:szCs w:val="20"/>
              </w:rPr>
              <w:t>金额单位：万元</w:t>
            </w:r>
          </w:p>
        </w:tc>
      </w:tr>
      <w:tr w:rsidR="0034435E" w:rsidTr="0034435E">
        <w:trPr>
          <w:trHeight w:val="308"/>
        </w:trPr>
        <w:tc>
          <w:tcPr>
            <w:tcW w:w="466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34435E" w:rsidRDefault="0034435E">
            <w:pPr>
              <w:jc w:val="center"/>
              <w:rPr>
                <w:rFonts w:ascii="宋体" w:hAnsi="宋体" w:cs="Arial"/>
                <w:color w:val="000000"/>
                <w:sz w:val="22"/>
                <w:szCs w:val="22"/>
              </w:rPr>
            </w:pPr>
            <w:r>
              <w:rPr>
                <w:rFonts w:cs="Arial" w:hint="eastAsia"/>
                <w:color w:val="000000"/>
                <w:sz w:val="22"/>
                <w:szCs w:val="22"/>
              </w:rPr>
              <w:t>收入</w:t>
            </w:r>
          </w:p>
        </w:tc>
        <w:tc>
          <w:tcPr>
            <w:tcW w:w="4500" w:type="dxa"/>
            <w:gridSpan w:val="2"/>
            <w:tcBorders>
              <w:top w:val="single" w:sz="4" w:space="0" w:color="000000"/>
              <w:left w:val="nil"/>
              <w:bottom w:val="single" w:sz="4" w:space="0" w:color="000000"/>
              <w:right w:val="single" w:sz="8" w:space="0" w:color="000000"/>
            </w:tcBorders>
            <w:shd w:val="clear" w:color="FFFFFF" w:fill="FFFFFF"/>
            <w:noWrap/>
            <w:vAlign w:val="center"/>
            <w:hideMark/>
          </w:tcPr>
          <w:p w:rsidR="0034435E" w:rsidRDefault="0034435E">
            <w:pPr>
              <w:jc w:val="center"/>
              <w:rPr>
                <w:rFonts w:ascii="宋体" w:hAnsi="宋体" w:cs="Arial"/>
                <w:color w:val="000000"/>
                <w:sz w:val="22"/>
                <w:szCs w:val="22"/>
              </w:rPr>
            </w:pPr>
            <w:r>
              <w:rPr>
                <w:rFonts w:cs="Arial" w:hint="eastAsia"/>
                <w:color w:val="000000"/>
                <w:sz w:val="22"/>
                <w:szCs w:val="22"/>
              </w:rPr>
              <w:t>支出</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jc w:val="center"/>
              <w:rPr>
                <w:rFonts w:ascii="宋体" w:hAnsi="宋体" w:cs="Arial"/>
                <w:color w:val="000000"/>
                <w:sz w:val="22"/>
                <w:szCs w:val="22"/>
              </w:rPr>
            </w:pPr>
            <w:r>
              <w:rPr>
                <w:rFonts w:cs="Arial" w:hint="eastAsia"/>
                <w:color w:val="000000"/>
                <w:sz w:val="22"/>
                <w:szCs w:val="22"/>
              </w:rPr>
              <w:t>项目</w:t>
            </w:r>
          </w:p>
        </w:tc>
        <w:tc>
          <w:tcPr>
            <w:tcW w:w="1400" w:type="dxa"/>
            <w:tcBorders>
              <w:top w:val="nil"/>
              <w:left w:val="nil"/>
              <w:bottom w:val="single" w:sz="4" w:space="0" w:color="000000"/>
              <w:right w:val="single" w:sz="4" w:space="0" w:color="000000"/>
            </w:tcBorders>
            <w:shd w:val="clear" w:color="FFFFFF" w:fill="FFFFFF"/>
            <w:noWrap/>
            <w:vAlign w:val="center"/>
            <w:hideMark/>
          </w:tcPr>
          <w:p w:rsidR="0034435E" w:rsidRDefault="0034435E">
            <w:pPr>
              <w:jc w:val="center"/>
              <w:rPr>
                <w:rFonts w:ascii="宋体" w:hAnsi="宋体" w:cs="Arial"/>
                <w:color w:val="000000"/>
                <w:sz w:val="22"/>
                <w:szCs w:val="22"/>
              </w:rPr>
            </w:pPr>
            <w:r>
              <w:rPr>
                <w:rFonts w:cs="Arial" w:hint="eastAsia"/>
                <w:color w:val="000000"/>
                <w:sz w:val="22"/>
                <w:szCs w:val="22"/>
              </w:rPr>
              <w:t>决算数</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jc w:val="center"/>
              <w:rPr>
                <w:rFonts w:ascii="宋体" w:hAnsi="宋体" w:cs="Arial"/>
                <w:color w:val="000000"/>
                <w:sz w:val="22"/>
                <w:szCs w:val="22"/>
              </w:rPr>
            </w:pPr>
            <w:r>
              <w:rPr>
                <w:rFonts w:cs="Arial" w:hint="eastAsia"/>
                <w:color w:val="000000"/>
                <w:sz w:val="22"/>
                <w:szCs w:val="22"/>
              </w:rPr>
              <w:t>项目</w:t>
            </w:r>
          </w:p>
        </w:tc>
        <w:tc>
          <w:tcPr>
            <w:tcW w:w="1520" w:type="dxa"/>
            <w:tcBorders>
              <w:top w:val="nil"/>
              <w:left w:val="nil"/>
              <w:bottom w:val="single" w:sz="4" w:space="0" w:color="000000"/>
              <w:right w:val="single" w:sz="8" w:space="0" w:color="000000"/>
            </w:tcBorders>
            <w:shd w:val="clear" w:color="FFFFFF" w:fill="FFFFFF"/>
            <w:noWrap/>
            <w:vAlign w:val="center"/>
            <w:hideMark/>
          </w:tcPr>
          <w:p w:rsidR="0034435E" w:rsidRDefault="0034435E">
            <w:pPr>
              <w:jc w:val="center"/>
              <w:rPr>
                <w:rFonts w:ascii="宋体" w:hAnsi="宋体" w:cs="Arial"/>
                <w:color w:val="000000"/>
                <w:sz w:val="22"/>
                <w:szCs w:val="22"/>
              </w:rPr>
            </w:pPr>
            <w:r>
              <w:rPr>
                <w:rFonts w:cs="Arial" w:hint="eastAsia"/>
                <w:color w:val="000000"/>
                <w:sz w:val="22"/>
                <w:szCs w:val="22"/>
              </w:rPr>
              <w:t>决算数</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w:t>
            </w:r>
            <w:r>
              <w:rPr>
                <w:rFonts w:cs="Arial" w:hint="eastAsia"/>
                <w:color w:val="000000"/>
                <w:sz w:val="22"/>
                <w:szCs w:val="22"/>
              </w:rPr>
              <w:t>、一般公共预算财政拨款</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1,397.58</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w:t>
            </w:r>
            <w:r>
              <w:rPr>
                <w:rFonts w:cs="Arial" w:hint="eastAsia"/>
                <w:color w:val="000000"/>
                <w:sz w:val="22"/>
                <w:szCs w:val="22"/>
              </w:rPr>
              <w:t>、一般公共服务支出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1,037.62</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2</w:t>
            </w:r>
            <w:r>
              <w:rPr>
                <w:rFonts w:cs="Arial" w:hint="eastAsia"/>
                <w:color w:val="000000"/>
                <w:sz w:val="22"/>
                <w:szCs w:val="22"/>
              </w:rPr>
              <w:t>、政府性基金预算财政拨款</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2</w:t>
            </w:r>
            <w:r>
              <w:rPr>
                <w:rFonts w:cs="Arial" w:hint="eastAsia"/>
                <w:color w:val="000000"/>
                <w:sz w:val="22"/>
                <w:szCs w:val="22"/>
              </w:rPr>
              <w:t>、外交支出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3</w:t>
            </w:r>
            <w:r>
              <w:rPr>
                <w:rFonts w:cs="Arial" w:hint="eastAsia"/>
                <w:color w:val="000000"/>
                <w:sz w:val="22"/>
                <w:szCs w:val="22"/>
              </w:rPr>
              <w:t>、国有资本经营预算财政拨款</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3</w:t>
            </w:r>
            <w:r>
              <w:rPr>
                <w:rFonts w:cs="Arial" w:hint="eastAsia"/>
                <w:color w:val="000000"/>
                <w:sz w:val="22"/>
                <w:szCs w:val="22"/>
              </w:rPr>
              <w:t>、国防支出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4</w:t>
            </w:r>
            <w:r>
              <w:rPr>
                <w:rFonts w:cs="Arial" w:hint="eastAsia"/>
                <w:color w:val="000000"/>
                <w:sz w:val="22"/>
                <w:szCs w:val="22"/>
              </w:rPr>
              <w:t>、上级补助收入</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4</w:t>
            </w:r>
            <w:r>
              <w:rPr>
                <w:rFonts w:cs="Arial" w:hint="eastAsia"/>
                <w:color w:val="000000"/>
                <w:sz w:val="22"/>
                <w:szCs w:val="22"/>
              </w:rPr>
              <w:t>、公共安全支出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5</w:t>
            </w:r>
            <w:r>
              <w:rPr>
                <w:rFonts w:cs="Arial" w:hint="eastAsia"/>
                <w:color w:val="000000"/>
                <w:sz w:val="22"/>
                <w:szCs w:val="22"/>
              </w:rPr>
              <w:t>、事业收入</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5</w:t>
            </w:r>
            <w:r>
              <w:rPr>
                <w:rFonts w:cs="Arial" w:hint="eastAsia"/>
                <w:color w:val="000000"/>
                <w:sz w:val="22"/>
                <w:szCs w:val="22"/>
              </w:rPr>
              <w:t>、教育支出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6</w:t>
            </w:r>
            <w:r>
              <w:rPr>
                <w:rFonts w:cs="Arial" w:hint="eastAsia"/>
                <w:color w:val="000000"/>
                <w:sz w:val="22"/>
                <w:szCs w:val="22"/>
              </w:rPr>
              <w:t>、经营收入</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6</w:t>
            </w:r>
            <w:r>
              <w:rPr>
                <w:rFonts w:cs="Arial" w:hint="eastAsia"/>
                <w:color w:val="000000"/>
                <w:sz w:val="22"/>
                <w:szCs w:val="22"/>
              </w:rPr>
              <w:t>、科学技术支出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7</w:t>
            </w:r>
            <w:r>
              <w:rPr>
                <w:rFonts w:cs="Arial" w:hint="eastAsia"/>
                <w:color w:val="000000"/>
                <w:sz w:val="22"/>
                <w:szCs w:val="22"/>
              </w:rPr>
              <w:t>、附属单位上缴收入</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7</w:t>
            </w:r>
            <w:r>
              <w:rPr>
                <w:rFonts w:cs="Arial" w:hint="eastAsia"/>
                <w:color w:val="000000"/>
                <w:sz w:val="22"/>
                <w:szCs w:val="22"/>
              </w:rPr>
              <w:t>、文化旅游体育与传媒支出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8</w:t>
            </w:r>
            <w:r>
              <w:rPr>
                <w:rFonts w:cs="Arial" w:hint="eastAsia"/>
                <w:color w:val="000000"/>
                <w:sz w:val="22"/>
                <w:szCs w:val="22"/>
              </w:rPr>
              <w:t>、其他收入</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8</w:t>
            </w:r>
            <w:r>
              <w:rPr>
                <w:rFonts w:cs="Arial" w:hint="eastAsia"/>
                <w:color w:val="000000"/>
                <w:sz w:val="22"/>
                <w:szCs w:val="22"/>
              </w:rPr>
              <w:t>、社会保障和就业支出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155.03</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9</w:t>
            </w:r>
            <w:r>
              <w:rPr>
                <w:rFonts w:cs="Arial" w:hint="eastAsia"/>
                <w:color w:val="000000"/>
                <w:sz w:val="22"/>
                <w:szCs w:val="22"/>
              </w:rPr>
              <w:t>、卫生健康支出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37.54</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10</w:t>
            </w:r>
            <w:r>
              <w:rPr>
                <w:rFonts w:cs="Arial" w:hint="eastAsia"/>
                <w:color w:val="000000"/>
                <w:sz w:val="22"/>
                <w:szCs w:val="22"/>
              </w:rPr>
              <w:t>、节能环保支出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11</w:t>
            </w:r>
            <w:r>
              <w:rPr>
                <w:rFonts w:cs="Arial" w:hint="eastAsia"/>
                <w:color w:val="000000"/>
                <w:sz w:val="22"/>
                <w:szCs w:val="22"/>
              </w:rPr>
              <w:t>、城乡社区支出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12</w:t>
            </w:r>
            <w:r>
              <w:rPr>
                <w:rFonts w:cs="Arial" w:hint="eastAsia"/>
                <w:color w:val="000000"/>
                <w:sz w:val="22"/>
                <w:szCs w:val="22"/>
              </w:rPr>
              <w:t>、农林水支出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129.32</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13</w:t>
            </w:r>
            <w:r>
              <w:rPr>
                <w:rFonts w:cs="Arial" w:hint="eastAsia"/>
                <w:color w:val="000000"/>
                <w:sz w:val="22"/>
                <w:szCs w:val="22"/>
              </w:rPr>
              <w:t>、交通运输支出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14</w:t>
            </w:r>
            <w:r>
              <w:rPr>
                <w:rFonts w:cs="Arial" w:hint="eastAsia"/>
                <w:color w:val="000000"/>
                <w:sz w:val="22"/>
                <w:szCs w:val="22"/>
              </w:rPr>
              <w:t>、资源勘探信息等支出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15</w:t>
            </w:r>
            <w:r>
              <w:rPr>
                <w:rFonts w:cs="Arial" w:hint="eastAsia"/>
                <w:color w:val="000000"/>
                <w:sz w:val="22"/>
                <w:szCs w:val="22"/>
              </w:rPr>
              <w:t>、商业服务业等支出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16</w:t>
            </w:r>
            <w:r>
              <w:rPr>
                <w:rFonts w:cs="Arial" w:hint="eastAsia"/>
                <w:color w:val="000000"/>
                <w:sz w:val="22"/>
                <w:szCs w:val="22"/>
              </w:rPr>
              <w:t>、金融支出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17</w:t>
            </w:r>
            <w:r>
              <w:rPr>
                <w:rFonts w:cs="Arial" w:hint="eastAsia"/>
                <w:color w:val="000000"/>
                <w:sz w:val="22"/>
                <w:szCs w:val="22"/>
              </w:rPr>
              <w:t>、援助其他地区支出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18</w:t>
            </w:r>
            <w:r>
              <w:rPr>
                <w:rFonts w:cs="Arial" w:hint="eastAsia"/>
                <w:color w:val="000000"/>
                <w:sz w:val="22"/>
                <w:szCs w:val="22"/>
              </w:rPr>
              <w:t>、自然资源海洋气象等支出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19</w:t>
            </w:r>
            <w:r>
              <w:rPr>
                <w:rFonts w:cs="Arial" w:hint="eastAsia"/>
                <w:color w:val="000000"/>
                <w:sz w:val="22"/>
                <w:szCs w:val="22"/>
              </w:rPr>
              <w:t>、住房保障支出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38.06</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20</w:t>
            </w:r>
            <w:r>
              <w:rPr>
                <w:rFonts w:cs="Arial" w:hint="eastAsia"/>
                <w:color w:val="000000"/>
                <w:sz w:val="22"/>
                <w:szCs w:val="22"/>
              </w:rPr>
              <w:t>、粮油物资储备支出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21</w:t>
            </w:r>
            <w:r>
              <w:rPr>
                <w:rFonts w:cs="Arial" w:hint="eastAsia"/>
                <w:color w:val="000000"/>
                <w:sz w:val="22"/>
                <w:szCs w:val="22"/>
              </w:rPr>
              <w:t>、灾害防治及应急管理支出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0"/>
                <w:szCs w:val="20"/>
              </w:rPr>
            </w:pPr>
            <w:r>
              <w:rPr>
                <w:rFonts w:cs="Arial" w:hint="eastAsia"/>
                <w:color w:val="000000"/>
                <w:sz w:val="20"/>
                <w:szCs w:val="20"/>
              </w:rPr>
              <w:t xml:space="preserve">　</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0"/>
                <w:szCs w:val="20"/>
              </w:rPr>
            </w:pPr>
            <w:r>
              <w:rPr>
                <w:rFonts w:cs="Arial" w:hint="eastAsia"/>
                <w:color w:val="000000"/>
                <w:sz w:val="20"/>
                <w:szCs w:val="20"/>
              </w:rPr>
              <w:t xml:space="preserve">　</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22</w:t>
            </w:r>
            <w:r>
              <w:rPr>
                <w:rFonts w:cs="Arial" w:hint="eastAsia"/>
                <w:color w:val="000000"/>
                <w:sz w:val="22"/>
                <w:szCs w:val="22"/>
              </w:rPr>
              <w:t>、其他支出</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0"/>
                <w:szCs w:val="20"/>
              </w:rPr>
            </w:pPr>
            <w:r>
              <w:rPr>
                <w:rFonts w:cs="Arial" w:hint="eastAsia"/>
                <w:color w:val="000000"/>
                <w:sz w:val="20"/>
                <w:szCs w:val="20"/>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jc w:val="center"/>
              <w:rPr>
                <w:rFonts w:ascii="宋体" w:hAnsi="宋体" w:cs="Arial"/>
                <w:b/>
                <w:bCs/>
                <w:color w:val="000000"/>
                <w:sz w:val="22"/>
                <w:szCs w:val="22"/>
              </w:rPr>
            </w:pPr>
            <w:r>
              <w:rPr>
                <w:rFonts w:cs="Arial" w:hint="eastAsia"/>
                <w:b/>
                <w:bCs/>
                <w:color w:val="000000"/>
                <w:sz w:val="22"/>
                <w:szCs w:val="22"/>
              </w:rPr>
              <w:t>本年收入合计</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1,397.58</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jc w:val="center"/>
              <w:rPr>
                <w:rFonts w:ascii="宋体" w:hAnsi="宋体" w:cs="Arial"/>
                <w:b/>
                <w:bCs/>
                <w:color w:val="000000"/>
                <w:sz w:val="22"/>
                <w:szCs w:val="22"/>
              </w:rPr>
            </w:pPr>
            <w:r>
              <w:rPr>
                <w:rFonts w:cs="Arial" w:hint="eastAsia"/>
                <w:b/>
                <w:bCs/>
                <w:color w:val="000000"/>
                <w:sz w:val="22"/>
                <w:szCs w:val="22"/>
              </w:rPr>
              <w:t>本年支出合计</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1,397.58</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用事业基金弥补收支差额</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jc w:val="center"/>
              <w:rPr>
                <w:rFonts w:ascii="宋体" w:hAnsi="宋体" w:cs="Arial"/>
                <w:color w:val="000000"/>
                <w:sz w:val="22"/>
                <w:szCs w:val="22"/>
              </w:rPr>
            </w:pPr>
            <w:r>
              <w:rPr>
                <w:rFonts w:cs="Arial" w:hint="eastAsia"/>
                <w:color w:val="000000"/>
                <w:sz w:val="22"/>
                <w:szCs w:val="22"/>
              </w:rPr>
              <w:t>结余分配</w:t>
            </w:r>
            <w:r>
              <w:rPr>
                <w:rFonts w:cs="Arial" w:hint="eastAsia"/>
                <w:color w:val="000000"/>
                <w:sz w:val="22"/>
                <w:szCs w:val="22"/>
              </w:rPr>
              <w:t xml:space="preserve"> </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0.00</w:t>
            </w:r>
          </w:p>
        </w:tc>
      </w:tr>
      <w:tr w:rsidR="0034435E" w:rsidTr="0034435E">
        <w:trPr>
          <w:trHeight w:val="308"/>
        </w:trPr>
        <w:tc>
          <w:tcPr>
            <w:tcW w:w="3260" w:type="dxa"/>
            <w:tcBorders>
              <w:top w:val="nil"/>
              <w:left w:val="single" w:sz="4" w:space="0" w:color="000000"/>
              <w:bottom w:val="single" w:sz="4" w:space="0" w:color="000000"/>
              <w:right w:val="single" w:sz="4" w:space="0" w:color="000000"/>
            </w:tcBorders>
            <w:shd w:val="clear" w:color="FFFFFF" w:fill="FFFFFF"/>
            <w:noWrap/>
            <w:vAlign w:val="center"/>
            <w:hideMark/>
          </w:tcPr>
          <w:p w:rsidR="0034435E" w:rsidRDefault="0034435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年初结转和结余</w:t>
            </w:r>
          </w:p>
        </w:tc>
        <w:tc>
          <w:tcPr>
            <w:tcW w:w="1400" w:type="dxa"/>
            <w:tcBorders>
              <w:top w:val="nil"/>
              <w:left w:val="nil"/>
              <w:bottom w:val="single" w:sz="4"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0.16</w:t>
            </w:r>
          </w:p>
        </w:tc>
        <w:tc>
          <w:tcPr>
            <w:tcW w:w="2980" w:type="dxa"/>
            <w:tcBorders>
              <w:top w:val="nil"/>
              <w:left w:val="nil"/>
              <w:bottom w:val="single" w:sz="4" w:space="0" w:color="000000"/>
              <w:right w:val="single" w:sz="4" w:space="0" w:color="000000"/>
            </w:tcBorders>
            <w:shd w:val="clear" w:color="FFFFFF" w:fill="FFFFFF"/>
            <w:noWrap/>
            <w:vAlign w:val="center"/>
            <w:hideMark/>
          </w:tcPr>
          <w:p w:rsidR="0034435E" w:rsidRDefault="0034435E">
            <w:pPr>
              <w:jc w:val="center"/>
              <w:rPr>
                <w:rFonts w:ascii="宋体" w:hAnsi="宋体" w:cs="Arial"/>
                <w:color w:val="000000"/>
                <w:sz w:val="22"/>
                <w:szCs w:val="22"/>
              </w:rPr>
            </w:pPr>
            <w:r>
              <w:rPr>
                <w:rFonts w:cs="Arial" w:hint="eastAsia"/>
                <w:color w:val="000000"/>
                <w:sz w:val="22"/>
                <w:szCs w:val="22"/>
              </w:rPr>
              <w:t>年末结转和结余</w:t>
            </w:r>
          </w:p>
        </w:tc>
        <w:tc>
          <w:tcPr>
            <w:tcW w:w="1520" w:type="dxa"/>
            <w:tcBorders>
              <w:top w:val="nil"/>
              <w:left w:val="nil"/>
              <w:bottom w:val="single" w:sz="4"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0.16</w:t>
            </w:r>
          </w:p>
        </w:tc>
      </w:tr>
      <w:tr w:rsidR="0034435E" w:rsidTr="0034435E">
        <w:trPr>
          <w:trHeight w:val="308"/>
        </w:trPr>
        <w:tc>
          <w:tcPr>
            <w:tcW w:w="3260" w:type="dxa"/>
            <w:tcBorders>
              <w:top w:val="nil"/>
              <w:left w:val="single" w:sz="4" w:space="0" w:color="000000"/>
              <w:bottom w:val="single" w:sz="8" w:space="0" w:color="000000"/>
              <w:right w:val="single" w:sz="4" w:space="0" w:color="000000"/>
            </w:tcBorders>
            <w:shd w:val="clear" w:color="FFFFFF" w:fill="FFFFFF"/>
            <w:noWrap/>
            <w:vAlign w:val="center"/>
            <w:hideMark/>
          </w:tcPr>
          <w:p w:rsidR="0034435E" w:rsidRDefault="0034435E">
            <w:pPr>
              <w:jc w:val="center"/>
              <w:rPr>
                <w:rFonts w:ascii="宋体" w:hAnsi="宋体" w:cs="Arial"/>
                <w:b/>
                <w:bCs/>
                <w:color w:val="000000"/>
                <w:sz w:val="22"/>
                <w:szCs w:val="22"/>
              </w:rPr>
            </w:pPr>
            <w:r>
              <w:rPr>
                <w:rFonts w:cs="Arial" w:hint="eastAsia"/>
                <w:b/>
                <w:bCs/>
                <w:color w:val="000000"/>
                <w:sz w:val="22"/>
                <w:szCs w:val="22"/>
              </w:rPr>
              <w:t>收入总计</w:t>
            </w:r>
          </w:p>
        </w:tc>
        <w:tc>
          <w:tcPr>
            <w:tcW w:w="1400" w:type="dxa"/>
            <w:tcBorders>
              <w:top w:val="nil"/>
              <w:left w:val="nil"/>
              <w:bottom w:val="single" w:sz="8" w:space="0" w:color="000000"/>
              <w:right w:val="single" w:sz="4"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1,397.74</w:t>
            </w:r>
          </w:p>
        </w:tc>
        <w:tc>
          <w:tcPr>
            <w:tcW w:w="2980" w:type="dxa"/>
            <w:tcBorders>
              <w:top w:val="nil"/>
              <w:left w:val="nil"/>
              <w:bottom w:val="single" w:sz="8" w:space="0" w:color="000000"/>
              <w:right w:val="single" w:sz="4" w:space="0" w:color="000000"/>
            </w:tcBorders>
            <w:shd w:val="clear" w:color="FFFFFF" w:fill="FFFFFF"/>
            <w:noWrap/>
            <w:vAlign w:val="center"/>
            <w:hideMark/>
          </w:tcPr>
          <w:p w:rsidR="0034435E" w:rsidRDefault="0034435E">
            <w:pPr>
              <w:jc w:val="center"/>
              <w:rPr>
                <w:rFonts w:ascii="宋体" w:hAnsi="宋体" w:cs="Arial"/>
                <w:b/>
                <w:bCs/>
                <w:color w:val="000000"/>
                <w:sz w:val="22"/>
                <w:szCs w:val="22"/>
              </w:rPr>
            </w:pPr>
            <w:r>
              <w:rPr>
                <w:rFonts w:cs="Arial" w:hint="eastAsia"/>
                <w:b/>
                <w:bCs/>
                <w:color w:val="000000"/>
                <w:sz w:val="22"/>
                <w:szCs w:val="22"/>
              </w:rPr>
              <w:t>支出总计</w:t>
            </w:r>
          </w:p>
        </w:tc>
        <w:tc>
          <w:tcPr>
            <w:tcW w:w="1520" w:type="dxa"/>
            <w:tcBorders>
              <w:top w:val="nil"/>
              <w:left w:val="nil"/>
              <w:bottom w:val="single" w:sz="8" w:space="0" w:color="000000"/>
              <w:right w:val="single" w:sz="8" w:space="0" w:color="000000"/>
            </w:tcBorders>
            <w:shd w:val="clear" w:color="000000" w:fill="FFFFFF"/>
            <w:noWrap/>
            <w:vAlign w:val="center"/>
            <w:hideMark/>
          </w:tcPr>
          <w:p w:rsidR="0034435E" w:rsidRDefault="0034435E">
            <w:pPr>
              <w:jc w:val="right"/>
              <w:rPr>
                <w:rFonts w:ascii="宋体" w:hAnsi="宋体" w:cs="Arial"/>
                <w:color w:val="000000"/>
                <w:sz w:val="22"/>
                <w:szCs w:val="22"/>
              </w:rPr>
            </w:pPr>
            <w:r>
              <w:rPr>
                <w:rFonts w:cs="Arial" w:hint="eastAsia"/>
                <w:color w:val="000000"/>
                <w:sz w:val="22"/>
                <w:szCs w:val="22"/>
              </w:rPr>
              <w:t>1,397.74</w:t>
            </w:r>
          </w:p>
        </w:tc>
      </w:tr>
    </w:tbl>
    <w:p w:rsidR="002A7DC6" w:rsidRDefault="00DC6A7B">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34435E" w:rsidRDefault="0034435E">
      <w:pPr>
        <w:jc w:val="center"/>
        <w:rPr>
          <w:rFonts w:ascii="宋体" w:hAnsi="宋体" w:cs="宋体"/>
          <w:b/>
          <w:bCs/>
          <w:sz w:val="32"/>
          <w:szCs w:val="32"/>
        </w:rPr>
      </w:pPr>
    </w:p>
    <w:p w:rsidR="0034435E" w:rsidRDefault="0034435E">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收入决算表</w:t>
      </w:r>
    </w:p>
    <w:p w:rsidR="002A7DC6" w:rsidRDefault="00DC6A7B">
      <w:pPr>
        <w:rPr>
          <w:rFonts w:ascii="宋体" w:hAnsi="宋体" w:cs="宋体"/>
          <w:b/>
          <w:bCs/>
          <w:szCs w:val="21"/>
        </w:rPr>
      </w:pPr>
      <w:r>
        <w:rPr>
          <w:rFonts w:ascii="宋体" w:hAnsi="宋体" w:cs="宋体" w:hint="eastAsia"/>
          <w:b/>
          <w:bCs/>
          <w:szCs w:val="21"/>
        </w:rPr>
        <w:t>公开02表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0" w:type="auto"/>
        <w:tblCellMar>
          <w:top w:w="15" w:type="dxa"/>
          <w:left w:w="15" w:type="dxa"/>
          <w:bottom w:w="15" w:type="dxa"/>
          <w:right w:w="15" w:type="dxa"/>
        </w:tblCellMar>
        <w:tblLook w:val="04A0" w:firstRow="1" w:lastRow="0" w:firstColumn="1" w:lastColumn="0" w:noHBand="0" w:noVBand="1"/>
      </w:tblPr>
      <w:tblGrid>
        <w:gridCol w:w="1189"/>
        <w:gridCol w:w="1719"/>
        <w:gridCol w:w="1012"/>
        <w:gridCol w:w="1012"/>
        <w:gridCol w:w="786"/>
        <w:gridCol w:w="434"/>
        <w:gridCol w:w="892"/>
        <w:gridCol w:w="434"/>
        <w:gridCol w:w="962"/>
        <w:gridCol w:w="434"/>
      </w:tblGrid>
      <w:tr w:rsidR="002A7DC6" w:rsidTr="00A710F3">
        <w:trPr>
          <w:trHeight w:val="439"/>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2A7DC6" w:rsidTr="00A710F3">
        <w:trPr>
          <w:trHeight w:val="1125"/>
        </w:trPr>
        <w:tc>
          <w:tcPr>
            <w:tcW w:w="0" w:type="auto"/>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0" w:type="auto"/>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小计</w:t>
            </w:r>
          </w:p>
        </w:tc>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032A2E" w:rsidP="00032A2E">
            <w:pPr>
              <w:jc w:val="center"/>
              <w:rPr>
                <w:rFonts w:ascii="宋体" w:hAnsi="宋体" w:cs="宋体"/>
                <w:b/>
                <w:color w:val="000000"/>
                <w:szCs w:val="21"/>
              </w:rPr>
            </w:pPr>
            <w:r>
              <w:rPr>
                <w:rFonts w:ascii="宋体" w:hAnsi="宋体" w:cs="宋体" w:hint="eastAsia"/>
                <w:b/>
                <w:color w:val="000000"/>
                <w:szCs w:val="21"/>
              </w:rPr>
              <w:t>其中：教育收费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0E109D" w:rsidTr="00A710F3">
        <w:trPr>
          <w:trHeight w:val="439"/>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0E109D" w:rsidRDefault="000E109D">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0" w:type="auto"/>
            <w:tcBorders>
              <w:top w:val="single" w:sz="4" w:space="0" w:color="000000"/>
              <w:left w:val="single" w:sz="4" w:space="0" w:color="000000"/>
              <w:bottom w:val="single" w:sz="4" w:space="0" w:color="000000"/>
              <w:right w:val="single" w:sz="4" w:space="0" w:color="000000"/>
            </w:tcBorders>
            <w:vAlign w:val="center"/>
          </w:tcPr>
          <w:p w:rsidR="000E109D" w:rsidRDefault="000E109D">
            <w:pPr>
              <w:jc w:val="right"/>
              <w:rPr>
                <w:rFonts w:ascii="宋体" w:hAnsi="宋体" w:cs="Arial"/>
                <w:color w:val="000000"/>
                <w:sz w:val="22"/>
                <w:szCs w:val="22"/>
              </w:rPr>
            </w:pPr>
            <w:r>
              <w:rPr>
                <w:rFonts w:cs="Arial" w:hint="eastAsia"/>
                <w:color w:val="000000"/>
                <w:sz w:val="22"/>
                <w:szCs w:val="22"/>
              </w:rPr>
              <w:t>1,397.58</w:t>
            </w:r>
          </w:p>
        </w:tc>
        <w:tc>
          <w:tcPr>
            <w:tcW w:w="0" w:type="auto"/>
            <w:tcBorders>
              <w:top w:val="single" w:sz="4" w:space="0" w:color="000000"/>
              <w:left w:val="single" w:sz="4" w:space="0" w:color="000000"/>
              <w:bottom w:val="single" w:sz="4" w:space="0" w:color="000000"/>
              <w:right w:val="single" w:sz="4" w:space="0" w:color="000000"/>
            </w:tcBorders>
            <w:vAlign w:val="center"/>
          </w:tcPr>
          <w:p w:rsidR="000E109D" w:rsidRDefault="000E109D">
            <w:pPr>
              <w:jc w:val="right"/>
              <w:rPr>
                <w:rFonts w:ascii="宋体" w:hAnsi="宋体" w:cs="Arial"/>
                <w:color w:val="000000"/>
                <w:sz w:val="22"/>
                <w:szCs w:val="22"/>
              </w:rPr>
            </w:pPr>
            <w:r>
              <w:rPr>
                <w:rFonts w:cs="Arial" w:hint="eastAsia"/>
                <w:color w:val="000000"/>
                <w:sz w:val="22"/>
                <w:szCs w:val="22"/>
              </w:rPr>
              <w:t>1,397.58</w:t>
            </w:r>
          </w:p>
        </w:tc>
        <w:tc>
          <w:tcPr>
            <w:tcW w:w="0" w:type="auto"/>
            <w:tcBorders>
              <w:top w:val="single" w:sz="4" w:space="0" w:color="000000"/>
              <w:left w:val="single" w:sz="4" w:space="0" w:color="000000"/>
              <w:bottom w:val="single" w:sz="4" w:space="0" w:color="000000"/>
              <w:right w:val="single" w:sz="4" w:space="0" w:color="000000"/>
            </w:tcBorders>
            <w:vAlign w:val="center"/>
          </w:tcPr>
          <w:p w:rsidR="000E109D" w:rsidRDefault="000E109D">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E109D" w:rsidRDefault="000E109D">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E109D" w:rsidRDefault="000E109D">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E109D" w:rsidRDefault="000E109D">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E109D" w:rsidRDefault="000E109D">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E109D" w:rsidRDefault="000E109D">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Pr="00032A2E" w:rsidRDefault="00032A2E" w:rsidP="00A710F3">
            <w:pPr>
              <w:jc w:val="center"/>
              <w:rPr>
                <w:rFonts w:ascii="宋体" w:hAnsi="宋体" w:cs="Arial"/>
                <w:color w:val="000000"/>
                <w:szCs w:val="21"/>
              </w:rPr>
            </w:pPr>
            <w:r w:rsidRPr="00032A2E">
              <w:rPr>
                <w:rFonts w:cs="Arial" w:hint="eastAsia"/>
                <w:color w:val="000000"/>
                <w:szCs w:val="21"/>
              </w:rPr>
              <w:t>一般公共服务支出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1,037.62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1,037.62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Pr="00032A2E" w:rsidRDefault="00032A2E">
            <w:pPr>
              <w:rPr>
                <w:rFonts w:ascii="宋体" w:hAnsi="宋体" w:cs="Arial"/>
                <w:color w:val="000000"/>
                <w:szCs w:val="21"/>
              </w:rPr>
            </w:pPr>
            <w:r w:rsidRPr="00032A2E">
              <w:rPr>
                <w:rFonts w:cs="Arial" w:hint="eastAsia"/>
                <w:color w:val="000000"/>
                <w:szCs w:val="21"/>
              </w:rPr>
              <w:t>统计信息事务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2010504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信息事务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财政事务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1,030.47</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1,030.47</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2010601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725.30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725.30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2010602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117.15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117.15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2010605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财政国库业务</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8.00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8.00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2010606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财政监察</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2010607</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信息化建设</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41.00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41.00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2010699</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其他财政事务支出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134.02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134.02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20132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组织事务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2013204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208</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社会保障和就业支出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20805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行政事业单位离退休</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2080505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146.33</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146.33</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2080506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机关事业单位职业年金缴费支</w:t>
            </w:r>
            <w:r>
              <w:rPr>
                <w:rFonts w:cs="Arial" w:hint="eastAsia"/>
                <w:color w:val="000000"/>
                <w:sz w:val="22"/>
                <w:szCs w:val="22"/>
              </w:rPr>
              <w:lastRenderedPageBreak/>
              <w:t>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lastRenderedPageBreak/>
              <w:t>8.71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8.71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3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lastRenderedPageBreak/>
              <w:t>210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卫生健康支出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21011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行政事业单位医疗</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2101101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农林水支出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129.32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129.32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21301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农业</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2130199</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其他农业支出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21303</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水利</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2130399</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其他水利支出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21305</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扶贫</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2130599</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其他扶贫支出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21308</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普惠金融发展支出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2130804</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创业担保贷款贴息</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221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住房保障支出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22102</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住房改革支出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r w:rsidR="00032A2E" w:rsidTr="00A710F3">
        <w:trPr>
          <w:trHeight w:val="449"/>
        </w:trPr>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2210201</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032A2E" w:rsidRDefault="00032A2E">
            <w:pPr>
              <w:jc w:val="right"/>
              <w:rPr>
                <w:rFonts w:ascii="宋体" w:hAnsi="宋体" w:cs="Arial"/>
                <w:color w:val="000000"/>
                <w:sz w:val="22"/>
                <w:szCs w:val="22"/>
              </w:rPr>
            </w:pPr>
            <w:r>
              <w:rPr>
                <w:rFonts w:cs="Arial" w:hint="eastAsia"/>
                <w:color w:val="000000"/>
                <w:sz w:val="22"/>
                <w:szCs w:val="22"/>
              </w:rPr>
              <w:t>0.00</w:t>
            </w:r>
          </w:p>
        </w:tc>
      </w:tr>
    </w:tbl>
    <w:p w:rsidR="002A7DC6" w:rsidRDefault="00DC6A7B">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t>支出决算表</w:t>
      </w:r>
    </w:p>
    <w:p w:rsidR="002A7DC6" w:rsidRDefault="00DC6A7B">
      <w:pPr>
        <w:rPr>
          <w:rFonts w:ascii="宋体" w:hAnsi="宋体" w:cs="宋体"/>
          <w:b/>
          <w:bCs/>
          <w:szCs w:val="21"/>
        </w:rPr>
      </w:pPr>
      <w:r>
        <w:rPr>
          <w:rFonts w:ascii="宋体" w:hAnsi="宋体" w:cs="宋体" w:hint="eastAsia"/>
          <w:b/>
          <w:bCs/>
          <w:szCs w:val="21"/>
        </w:rPr>
        <w:t xml:space="preserve">                                               公开03表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0" w:type="auto"/>
        <w:tblCellMar>
          <w:top w:w="15" w:type="dxa"/>
          <w:left w:w="15" w:type="dxa"/>
          <w:bottom w:w="15" w:type="dxa"/>
          <w:right w:w="15" w:type="dxa"/>
        </w:tblCellMar>
        <w:tblLook w:val="04A0" w:firstRow="1" w:lastRow="0" w:firstColumn="1" w:lastColumn="0" w:noHBand="0" w:noVBand="1"/>
      </w:tblPr>
      <w:tblGrid>
        <w:gridCol w:w="1471"/>
        <w:gridCol w:w="2816"/>
        <w:gridCol w:w="810"/>
        <w:gridCol w:w="857"/>
        <w:gridCol w:w="812"/>
        <w:gridCol w:w="549"/>
        <w:gridCol w:w="703"/>
        <w:gridCol w:w="856"/>
      </w:tblGrid>
      <w:tr w:rsidR="002A7DC6" w:rsidTr="00E41C64">
        <w:trPr>
          <w:trHeight w:val="372"/>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A7DC6" w:rsidTr="00E41C64">
        <w:trPr>
          <w:trHeight w:val="702"/>
        </w:trPr>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E41C64" w:rsidTr="00E41C64">
        <w:trPr>
          <w:trHeight w:val="372"/>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E41C64" w:rsidRDefault="00E41C64">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1,397.58</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1,150.11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247.47</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一般公共服务支出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1,037.62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879.47</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158.15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lastRenderedPageBreak/>
              <w:t>20105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统计信息事务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2010504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信息事务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财政事务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1,030.47</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872.32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158.15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2010601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725.30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725.30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2010602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117.15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117.15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2010605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财政国库业务</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8.00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8.00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2010606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财政监察</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2010607</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信息化建设</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41.00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41.00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2010699</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其他财政事务支出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134.02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134.02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20132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组织事务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2013204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208</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社会保障和就业支出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20805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行政事业单位离退休</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2080505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146.33</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146.33</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2080506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8.71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8.71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卫生健康支出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21011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行政事业单位医疗</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2101101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农林水支出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129.32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89.32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21301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农业</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72"/>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2130199</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其他农业支出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21303</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水利</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2130399</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其他水利支出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21305</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扶贫</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2130599</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其他扶贫支出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21308</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普惠金融发展支出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2130804</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创业担保贷款贴息</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221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住房保障支出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22102</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住房改革支出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r w:rsidR="00E41C64" w:rsidTr="00E41C64">
        <w:trPr>
          <w:trHeight w:val="383"/>
        </w:trPr>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lastRenderedPageBreak/>
              <w:t>2210201</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41C64" w:rsidRDefault="00E41C64">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t>财政拨款收入支出决算总表</w:t>
      </w:r>
    </w:p>
    <w:p w:rsidR="002A7DC6" w:rsidRDefault="00DC6A7B">
      <w:pPr>
        <w:rPr>
          <w:rFonts w:ascii="宋体" w:hAnsi="宋体" w:cs="宋体"/>
          <w:b/>
          <w:bCs/>
          <w:szCs w:val="21"/>
        </w:rPr>
      </w:pPr>
      <w:r>
        <w:rPr>
          <w:rFonts w:ascii="宋体" w:hAnsi="宋体" w:cs="宋体" w:hint="eastAsia"/>
          <w:b/>
          <w:bCs/>
          <w:szCs w:val="21"/>
        </w:rPr>
        <w:t>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700" w:type="dxa"/>
        <w:tblLayout w:type="fixed"/>
        <w:tblCellMar>
          <w:top w:w="15" w:type="dxa"/>
          <w:left w:w="15" w:type="dxa"/>
          <w:bottom w:w="15" w:type="dxa"/>
          <w:right w:w="15" w:type="dxa"/>
        </w:tblCellMar>
        <w:tblLook w:val="04A0" w:firstRow="1" w:lastRow="0" w:firstColumn="1" w:lastColumn="0" w:noHBand="0" w:noVBand="1"/>
      </w:tblPr>
      <w:tblGrid>
        <w:gridCol w:w="1705"/>
        <w:gridCol w:w="1072"/>
        <w:gridCol w:w="2703"/>
        <w:gridCol w:w="1134"/>
        <w:gridCol w:w="1102"/>
        <w:gridCol w:w="984"/>
      </w:tblGrid>
      <w:tr w:rsidR="002A7DC6">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891C25">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1,397.58</w:t>
            </w: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1,037.62</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1,037.62</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155.03</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155.03</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37.54</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37.54</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129.32</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129.32</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B6740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67406" w:rsidRDefault="00B6740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67406" w:rsidRDefault="00B6740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67406" w:rsidRDefault="00B67406">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r>
      <w:tr w:rsidR="00B6740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67406" w:rsidRDefault="00B6740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67406" w:rsidRDefault="00B6740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67406" w:rsidRDefault="00B67406">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r>
      <w:tr w:rsidR="00B6740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67406" w:rsidRDefault="00B6740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67406" w:rsidRDefault="00B6740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67406" w:rsidRDefault="00B67406">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r>
      <w:tr w:rsidR="00B6740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67406" w:rsidRDefault="00B6740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67406" w:rsidRDefault="00B6740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67406" w:rsidRDefault="00B67406">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r>
      <w:tr w:rsidR="00B6740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67406" w:rsidRDefault="00B6740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67406" w:rsidRDefault="00B6740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67406" w:rsidRDefault="00B67406">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r>
      <w:tr w:rsidR="00B6740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67406" w:rsidRDefault="00B6740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67406" w:rsidRDefault="00B6740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67406" w:rsidRDefault="00B67406">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B67406" w:rsidRDefault="00B67406" w:rsidP="00F837D0">
            <w:pPr>
              <w:jc w:val="right"/>
              <w:rPr>
                <w:rFonts w:ascii="宋体" w:hAnsi="宋体" w:cs="Arial"/>
                <w:color w:val="000000"/>
                <w:sz w:val="22"/>
                <w:szCs w:val="22"/>
              </w:rPr>
            </w:pPr>
            <w:r>
              <w:rPr>
                <w:rFonts w:cs="Arial" w:hint="eastAsia"/>
                <w:color w:val="000000"/>
                <w:sz w:val="22"/>
                <w:szCs w:val="22"/>
              </w:rPr>
              <w:t>0.00</w:t>
            </w:r>
          </w:p>
        </w:tc>
      </w:tr>
      <w:tr w:rsidR="00891C25">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891C25" w:rsidRDefault="00891C25">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38.06</w:t>
            </w:r>
          </w:p>
        </w:tc>
        <w:tc>
          <w:tcPr>
            <w:tcW w:w="1102"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38.06</w:t>
            </w:r>
          </w:p>
        </w:tc>
        <w:tc>
          <w:tcPr>
            <w:tcW w:w="98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0.00</w:t>
            </w: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2A7DC6" w:rsidRDefault="002A7DC6">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2A7DC6" w:rsidRDefault="002A7DC6">
            <w:pPr>
              <w:rPr>
                <w:rFonts w:ascii="宋体" w:hAnsi="宋体" w:cs="宋体"/>
                <w:b/>
                <w:color w:val="000000"/>
                <w:szCs w:val="21"/>
              </w:rPr>
            </w:pPr>
          </w:p>
        </w:tc>
      </w:tr>
    </w:tbl>
    <w:p w:rsidR="002A7DC6" w:rsidRDefault="00DC6A7B">
      <w:pPr>
        <w:jc w:val="center"/>
        <w:rPr>
          <w:rFonts w:ascii="宋体" w:hAnsi="宋体" w:cs="宋体"/>
          <w:b/>
          <w:bCs/>
          <w:sz w:val="32"/>
          <w:szCs w:val="32"/>
        </w:rPr>
      </w:pPr>
      <w:r>
        <w:rPr>
          <w:rFonts w:ascii="宋体" w:hAnsi="宋体" w:cs="宋体" w:hint="eastAsia"/>
          <w:b/>
          <w:bCs/>
          <w:sz w:val="32"/>
          <w:szCs w:val="32"/>
        </w:rPr>
        <w:t xml:space="preserve">财政拨款收入支出决算总表 </w:t>
      </w:r>
    </w:p>
    <w:p w:rsidR="002A7DC6" w:rsidRDefault="00DC6A7B">
      <w:pPr>
        <w:rPr>
          <w:rFonts w:ascii="宋体" w:hAnsi="宋体" w:cs="宋体"/>
          <w:b/>
          <w:bCs/>
          <w:szCs w:val="21"/>
        </w:rPr>
      </w:pPr>
      <w:r>
        <w:rPr>
          <w:rFonts w:ascii="宋体" w:hAnsi="宋体" w:cs="宋体" w:hint="eastAsia"/>
          <w:b/>
          <w:bCs/>
          <w:szCs w:val="21"/>
        </w:rPr>
        <w:t xml:space="preserve">      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60" w:type="dxa"/>
        <w:tblLayout w:type="fixed"/>
        <w:tblCellMar>
          <w:top w:w="15" w:type="dxa"/>
          <w:left w:w="15" w:type="dxa"/>
          <w:bottom w:w="15" w:type="dxa"/>
          <w:right w:w="15" w:type="dxa"/>
        </w:tblCellMar>
        <w:tblLook w:val="04A0" w:firstRow="1" w:lastRow="0" w:firstColumn="1" w:lastColumn="0" w:noHBand="0" w:noVBand="1"/>
      </w:tblPr>
      <w:tblGrid>
        <w:gridCol w:w="2003"/>
        <w:gridCol w:w="1554"/>
        <w:gridCol w:w="1815"/>
        <w:gridCol w:w="1230"/>
        <w:gridCol w:w="1061"/>
        <w:gridCol w:w="1197"/>
      </w:tblGrid>
      <w:tr w:rsidR="002A7DC6">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891C25">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right"/>
              <w:textAlignment w:val="center"/>
              <w:rPr>
                <w:rFonts w:ascii="宋体" w:hAnsi="宋体" w:cs="宋体"/>
                <w:color w:val="000000"/>
                <w:szCs w:val="21"/>
              </w:rPr>
            </w:pPr>
            <w:r>
              <w:rPr>
                <w:rFonts w:cs="Arial" w:hint="eastAsia"/>
                <w:color w:val="000000"/>
                <w:sz w:val="22"/>
                <w:szCs w:val="22"/>
              </w:rPr>
              <w:t>1,397.58</w:t>
            </w:r>
          </w:p>
        </w:tc>
        <w:tc>
          <w:tcPr>
            <w:tcW w:w="1815"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1,397.58</w:t>
            </w:r>
          </w:p>
        </w:tc>
        <w:tc>
          <w:tcPr>
            <w:tcW w:w="1061"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Arial"/>
                <w:color w:val="000000"/>
                <w:sz w:val="22"/>
                <w:szCs w:val="22"/>
              </w:rPr>
            </w:pPr>
            <w:r>
              <w:rPr>
                <w:rFonts w:cs="Arial" w:hint="eastAsia"/>
                <w:color w:val="000000"/>
                <w:sz w:val="22"/>
                <w:szCs w:val="22"/>
              </w:rPr>
              <w:t>1,397.58</w:t>
            </w:r>
          </w:p>
        </w:tc>
        <w:tc>
          <w:tcPr>
            <w:tcW w:w="1197"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2A7DC6" w:rsidRDefault="00DC6A7B">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891C25">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891C25" w:rsidRDefault="00891C25">
            <w:pPr>
              <w:jc w:val="right"/>
              <w:rPr>
                <w:rFonts w:ascii="宋体" w:hAnsi="宋体" w:cs="宋体"/>
                <w:b/>
                <w:color w:val="000000"/>
                <w:kern w:val="0"/>
                <w:szCs w:val="21"/>
              </w:rPr>
            </w:pPr>
            <w:r>
              <w:rPr>
                <w:rFonts w:cs="Arial" w:hint="eastAsia"/>
                <w:color w:val="000000"/>
                <w:sz w:val="22"/>
                <w:szCs w:val="22"/>
              </w:rPr>
              <w:t>1,397.58</w:t>
            </w:r>
          </w:p>
        </w:tc>
        <w:tc>
          <w:tcPr>
            <w:tcW w:w="1815"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891C25" w:rsidRDefault="00891C25" w:rsidP="00F837D0">
            <w:pPr>
              <w:jc w:val="right"/>
              <w:rPr>
                <w:rFonts w:ascii="宋体" w:hAnsi="宋体" w:cs="Arial"/>
                <w:color w:val="000000"/>
                <w:sz w:val="22"/>
                <w:szCs w:val="22"/>
              </w:rPr>
            </w:pPr>
            <w:r>
              <w:rPr>
                <w:rFonts w:cs="Arial" w:hint="eastAsia"/>
                <w:color w:val="000000"/>
                <w:sz w:val="22"/>
                <w:szCs w:val="22"/>
              </w:rPr>
              <w:t>1,397.58</w:t>
            </w:r>
          </w:p>
        </w:tc>
        <w:tc>
          <w:tcPr>
            <w:tcW w:w="1061" w:type="dxa"/>
            <w:tcBorders>
              <w:top w:val="single" w:sz="4" w:space="0" w:color="000000"/>
              <w:left w:val="single" w:sz="4" w:space="0" w:color="000000"/>
              <w:bottom w:val="single" w:sz="4" w:space="0" w:color="000000"/>
              <w:right w:val="single" w:sz="4" w:space="0" w:color="000000"/>
            </w:tcBorders>
            <w:vAlign w:val="center"/>
          </w:tcPr>
          <w:p w:rsidR="00891C25" w:rsidRDefault="00891C25" w:rsidP="00F837D0">
            <w:pPr>
              <w:jc w:val="right"/>
              <w:rPr>
                <w:rFonts w:ascii="宋体" w:hAnsi="宋体" w:cs="Arial"/>
                <w:color w:val="000000"/>
                <w:sz w:val="22"/>
                <w:szCs w:val="22"/>
              </w:rPr>
            </w:pPr>
            <w:r>
              <w:rPr>
                <w:rFonts w:cs="Arial" w:hint="eastAsia"/>
                <w:color w:val="000000"/>
                <w:sz w:val="22"/>
                <w:szCs w:val="22"/>
              </w:rPr>
              <w:t>1,397.58</w:t>
            </w:r>
          </w:p>
        </w:tc>
        <w:tc>
          <w:tcPr>
            <w:tcW w:w="1197" w:type="dxa"/>
            <w:tcBorders>
              <w:top w:val="single" w:sz="4" w:space="0" w:color="000000"/>
              <w:left w:val="single" w:sz="4" w:space="0" w:color="000000"/>
              <w:bottom w:val="single" w:sz="4" w:space="0" w:color="000000"/>
              <w:right w:val="single" w:sz="4" w:space="0" w:color="000000"/>
            </w:tcBorders>
            <w:vAlign w:val="center"/>
          </w:tcPr>
          <w:p w:rsidR="00891C25" w:rsidRDefault="00891C25">
            <w:pPr>
              <w:widowControl/>
              <w:jc w:val="center"/>
              <w:textAlignment w:val="center"/>
              <w:rPr>
                <w:rFonts w:ascii="宋体" w:hAnsi="宋体" w:cs="宋体"/>
                <w:b/>
                <w:color w:val="000000"/>
                <w:kern w:val="0"/>
                <w:szCs w:val="21"/>
              </w:rPr>
            </w:pPr>
          </w:p>
        </w:tc>
      </w:tr>
    </w:tbl>
    <w:p w:rsidR="002A7DC6" w:rsidRDefault="002A7DC6">
      <w:pPr>
        <w:rPr>
          <w:rFonts w:ascii="宋体" w:hAnsi="宋体" w:cs="宋体"/>
          <w:szCs w:val="21"/>
        </w:rPr>
      </w:pPr>
    </w:p>
    <w:p w:rsidR="002A7DC6" w:rsidRDefault="00DC6A7B">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2A7DC6" w:rsidRDefault="002A7DC6">
      <w:pPr>
        <w:rPr>
          <w:rFonts w:ascii="仿宋_GB2312" w:eastAsia="仿宋_GB2312" w:hAnsi="仿宋_GB2312" w:cs="仿宋_GB2312"/>
          <w:sz w:val="32"/>
          <w:szCs w:val="32"/>
        </w:rPr>
      </w:pPr>
    </w:p>
    <w:p w:rsidR="002A7DC6" w:rsidRDefault="002A7DC6"/>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DC6A7B">
      <w:pPr>
        <w:rPr>
          <w:rFonts w:ascii="宋体" w:hAnsi="宋体" w:cs="宋体"/>
          <w:b/>
          <w:bCs/>
          <w:sz w:val="32"/>
          <w:szCs w:val="32"/>
        </w:rPr>
      </w:pP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2A7DC6" w:rsidRDefault="00DC6A7B">
      <w:pPr>
        <w:rPr>
          <w:rFonts w:ascii="宋体" w:hAnsi="宋体" w:cs="宋体"/>
          <w:b/>
          <w:bCs/>
          <w:szCs w:val="21"/>
        </w:rPr>
      </w:pPr>
      <w:r>
        <w:rPr>
          <w:rFonts w:ascii="宋体" w:hAnsi="宋体" w:cs="宋体" w:hint="eastAsia"/>
          <w:b/>
          <w:bCs/>
          <w:szCs w:val="21"/>
        </w:rPr>
        <w:t xml:space="preserve">                                                                          公开05表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0" w:type="auto"/>
        <w:tblCellMar>
          <w:top w:w="15" w:type="dxa"/>
          <w:left w:w="15" w:type="dxa"/>
          <w:bottom w:w="15" w:type="dxa"/>
          <w:right w:w="15" w:type="dxa"/>
        </w:tblCellMar>
        <w:tblLook w:val="04A0" w:firstRow="1" w:lastRow="0" w:firstColumn="1" w:lastColumn="0" w:noHBand="0" w:noVBand="1"/>
      </w:tblPr>
      <w:tblGrid>
        <w:gridCol w:w="1435"/>
        <w:gridCol w:w="2675"/>
        <w:gridCol w:w="1144"/>
        <w:gridCol w:w="810"/>
        <w:gridCol w:w="854"/>
        <w:gridCol w:w="768"/>
        <w:gridCol w:w="802"/>
        <w:gridCol w:w="386"/>
      </w:tblGrid>
      <w:tr w:rsidR="002A7DC6" w:rsidTr="00A518F9">
        <w:trPr>
          <w:trHeight w:val="414"/>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0" w:type="auto"/>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rsidTr="00A518F9">
        <w:trPr>
          <w:trHeight w:val="781"/>
        </w:trPr>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0" w:type="auto"/>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A518F9" w:rsidTr="00A518F9">
        <w:trPr>
          <w:trHeight w:val="414"/>
        </w:trPr>
        <w:tc>
          <w:tcPr>
            <w:tcW w:w="0" w:type="auto"/>
            <w:gridSpan w:val="2"/>
            <w:tcBorders>
              <w:top w:val="single" w:sz="4" w:space="0" w:color="000000"/>
              <w:left w:val="single" w:sz="4" w:space="0" w:color="000000"/>
              <w:bottom w:val="single" w:sz="4" w:space="0" w:color="000000"/>
              <w:right w:val="single" w:sz="4" w:space="0" w:color="000000"/>
            </w:tcBorders>
            <w:vAlign w:val="center"/>
          </w:tcPr>
          <w:p w:rsidR="00A518F9" w:rsidRDefault="00A518F9">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1,397.58</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1,150.11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1,092.05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58.06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247.47</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781"/>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一般公共服务支出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1,037.62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879.47</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821.42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58.06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158.15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统计信息事务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781"/>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2010504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信息事务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2.80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财政事务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1,030.47</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872.32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821.42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50.91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158.15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2010601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725.30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725.30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725.30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2010602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117.15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117.15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2010605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财政国库业务</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2010606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财政监察</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5.00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2010607</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信息化建设</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41.00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41.00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2010699</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其他财政事务支出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134.02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134.02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96.12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37.91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20132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组织事务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2013204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公务员事务</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208</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社会保障和就业支出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20805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行政事业单位离退休</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155.04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2080505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146.33</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146.33</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146.33</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2080506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8.71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8.71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8.71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14"/>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卫生健康支出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21011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行政事业单位医疗</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lastRenderedPageBreak/>
              <w:t>2101101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37.54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农林水支出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129.32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89.32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21301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农业</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2130199</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其他农业支出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21303</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水利</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2130399</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其他水利支出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46.32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21305</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扶贫</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2130599</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其他扶贫支出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43.00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21308</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普惠金融发展支出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2130804</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创业担保贷款贴息</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221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住房保障支出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22102</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住房改革支出</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r w:rsidR="00A518F9" w:rsidTr="00A518F9">
        <w:trPr>
          <w:trHeight w:val="425"/>
        </w:trPr>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2210201</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38.06</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Arial"/>
                <w:color w:val="000000"/>
                <w:sz w:val="22"/>
                <w:szCs w:val="22"/>
              </w:rPr>
            </w:pPr>
            <w:r>
              <w:rPr>
                <w:rFonts w:cs="Arial" w:hint="eastAsia"/>
                <w:color w:val="000000"/>
                <w:sz w:val="22"/>
                <w:szCs w:val="22"/>
              </w:rPr>
              <w:t>0.00</w:t>
            </w:r>
          </w:p>
        </w:tc>
        <w:tc>
          <w:tcPr>
            <w:tcW w:w="0" w:type="auto"/>
            <w:tcBorders>
              <w:top w:val="single" w:sz="4" w:space="0" w:color="000000"/>
              <w:left w:val="single" w:sz="4" w:space="0" w:color="000000"/>
              <w:bottom w:val="single" w:sz="4" w:space="0" w:color="000000"/>
              <w:right w:val="single" w:sz="4" w:space="0" w:color="000000"/>
            </w:tcBorders>
            <w:vAlign w:val="center"/>
          </w:tcPr>
          <w:p w:rsidR="00A518F9" w:rsidRDefault="00A518F9">
            <w:pPr>
              <w:jc w:val="right"/>
              <w:rPr>
                <w:rFonts w:ascii="宋体" w:hAnsi="宋体" w:cs="宋体"/>
                <w:color w:val="000000"/>
                <w:szCs w:val="21"/>
              </w:rPr>
            </w:pPr>
          </w:p>
        </w:tc>
      </w:tr>
    </w:tbl>
    <w:p w:rsidR="002A7DC6" w:rsidRDefault="00DC6A7B" w:rsidP="00124897">
      <w:pPr>
        <w:widowControl/>
        <w:jc w:val="left"/>
        <w:rPr>
          <w:rFonts w:ascii="宋体" w:hAns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A7DC6" w:rsidRDefault="00DC6A7B">
      <w:pPr>
        <w:rPr>
          <w:rFonts w:ascii="宋体" w:hAnsi="宋体" w:cs="宋体"/>
          <w:b/>
          <w:bCs/>
          <w:szCs w:val="21"/>
        </w:rPr>
      </w:pPr>
      <w:r>
        <w:rPr>
          <w:rFonts w:ascii="宋体" w:hAnsi="宋体" w:cs="宋体" w:hint="eastAsia"/>
          <w:b/>
          <w:bCs/>
          <w:szCs w:val="21"/>
        </w:rPr>
        <w:t>公开06表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17" w:type="dxa"/>
        <w:tblLayout w:type="fixed"/>
        <w:tblCellMar>
          <w:top w:w="15" w:type="dxa"/>
          <w:left w:w="15" w:type="dxa"/>
          <w:bottom w:w="15" w:type="dxa"/>
          <w:right w:w="15" w:type="dxa"/>
        </w:tblCellMar>
        <w:tblLook w:val="04A0" w:firstRow="1" w:lastRow="0" w:firstColumn="1" w:lastColumn="0" w:noHBand="0" w:noVBand="1"/>
      </w:tblPr>
      <w:tblGrid>
        <w:gridCol w:w="1157"/>
        <w:gridCol w:w="2046"/>
        <w:gridCol w:w="1659"/>
        <w:gridCol w:w="1437"/>
        <w:gridCol w:w="1363"/>
        <w:gridCol w:w="1155"/>
      </w:tblGrid>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AB1397">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AB1397" w:rsidRDefault="00AB139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1,150.11</w:t>
            </w:r>
          </w:p>
        </w:tc>
        <w:tc>
          <w:tcPr>
            <w:tcW w:w="1437" w:type="dxa"/>
            <w:tcBorders>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1,092.05</w:t>
            </w:r>
          </w:p>
        </w:tc>
        <w:tc>
          <w:tcPr>
            <w:tcW w:w="1363" w:type="dxa"/>
            <w:tcBorders>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58.06</w:t>
            </w:r>
          </w:p>
        </w:tc>
        <w:tc>
          <w:tcPr>
            <w:tcW w:w="1155" w:type="dxa"/>
            <w:tcBorders>
              <w:left w:val="single" w:sz="4" w:space="0" w:color="000000"/>
              <w:bottom w:val="single" w:sz="4" w:space="0" w:color="000000"/>
              <w:right w:val="single" w:sz="4" w:space="0" w:color="000000"/>
            </w:tcBorders>
            <w:vAlign w:val="center"/>
          </w:tcPr>
          <w:p w:rsidR="00AB1397" w:rsidRDefault="00AB1397">
            <w:pPr>
              <w:jc w:val="center"/>
              <w:rPr>
                <w:rFonts w:ascii="宋体" w:hAnsi="宋体" w:cs="宋体"/>
                <w:b/>
                <w:color w:val="000000"/>
                <w:szCs w:val="21"/>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955.94</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377.69</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327.10</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20.51</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146.33</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30109</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职业年金缴费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8.71</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职工基本医疗保险缴费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37.54</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38.06</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55.26</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921B2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cs="Arial"/>
                <w:color w:val="000000"/>
                <w:sz w:val="22"/>
                <w:szCs w:val="22"/>
              </w:rPr>
            </w:pPr>
            <w:r>
              <w:rPr>
                <w:rFonts w:cs="Arial" w:hint="eastAsia"/>
                <w:color w:val="000000"/>
                <w:sz w:val="22"/>
                <w:szCs w:val="22"/>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cs="Arial"/>
                <w:color w:val="000000"/>
                <w:sz w:val="22"/>
                <w:szCs w:val="22"/>
              </w:rPr>
            </w:pPr>
            <w:r>
              <w:rPr>
                <w:rFonts w:cs="Arial" w:hint="eastAsia"/>
                <w:color w:val="000000"/>
                <w:sz w:val="22"/>
                <w:szCs w:val="22"/>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921B2D" w:rsidRDefault="00921B2D">
            <w:pPr>
              <w:jc w:val="right"/>
              <w:rPr>
                <w:rFonts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921B2D" w:rsidRDefault="00921B2D">
            <w:pPr>
              <w:jc w:val="right"/>
              <w:rPr>
                <w:rFonts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921B2D" w:rsidRDefault="00921B2D">
            <w:pPr>
              <w:jc w:val="right"/>
              <w:rPr>
                <w:rFonts w:cs="Arial"/>
                <w:color w:val="000000"/>
                <w:sz w:val="22"/>
                <w:szCs w:val="22"/>
              </w:rPr>
            </w:pPr>
            <w:r>
              <w:rPr>
                <w:rFonts w:cs="Arial" w:hint="eastAsia"/>
                <w:color w:val="000000"/>
                <w:sz w:val="22"/>
                <w:szCs w:val="22"/>
              </w:rPr>
              <w:t>12.00</w:t>
            </w:r>
          </w:p>
        </w:tc>
        <w:tc>
          <w:tcPr>
            <w:tcW w:w="1155"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ascii="宋体" w:hAnsi="宋体" w:cs="Arial"/>
                <w:color w:val="000000"/>
                <w:sz w:val="22"/>
                <w:szCs w:val="22"/>
              </w:rPr>
            </w:pPr>
          </w:p>
        </w:tc>
      </w:tr>
      <w:tr w:rsidR="00921B2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cs="Arial"/>
                <w:color w:val="000000"/>
                <w:sz w:val="22"/>
                <w:szCs w:val="22"/>
              </w:rPr>
            </w:pPr>
            <w:r>
              <w:rPr>
                <w:rFonts w:cs="Arial" w:hint="eastAsia"/>
                <w:color w:val="000000"/>
                <w:sz w:val="22"/>
                <w:szCs w:val="22"/>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cs="Arial"/>
                <w:color w:val="000000"/>
                <w:sz w:val="22"/>
                <w:szCs w:val="22"/>
              </w:rPr>
            </w:pPr>
            <w:r>
              <w:rPr>
                <w:rFonts w:cs="Arial" w:hint="eastAsia"/>
                <w:color w:val="000000"/>
                <w:sz w:val="22"/>
                <w:szCs w:val="22"/>
              </w:rPr>
              <w:t>水电费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921B2D" w:rsidRDefault="00921B2D" w:rsidP="00603D11">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921B2D" w:rsidRDefault="00921B2D" w:rsidP="00603D11">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921B2D" w:rsidRDefault="00921B2D">
            <w:pPr>
              <w:jc w:val="right"/>
              <w:rPr>
                <w:rFonts w:cs="Arial"/>
                <w:color w:val="000000"/>
                <w:sz w:val="22"/>
                <w:szCs w:val="22"/>
              </w:rPr>
            </w:pPr>
            <w:r>
              <w:rPr>
                <w:rFonts w:cs="Arial" w:hint="eastAsia"/>
                <w:color w:val="000000"/>
                <w:sz w:val="22"/>
                <w:szCs w:val="22"/>
              </w:rPr>
              <w:t>5.00</w:t>
            </w:r>
          </w:p>
        </w:tc>
        <w:tc>
          <w:tcPr>
            <w:tcW w:w="1155"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ascii="宋体" w:hAnsi="宋体" w:cs="Arial"/>
                <w:color w:val="000000"/>
                <w:sz w:val="22"/>
                <w:szCs w:val="22"/>
              </w:rPr>
            </w:pPr>
          </w:p>
        </w:tc>
      </w:tr>
      <w:tr w:rsidR="00921B2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cs="Arial"/>
                <w:color w:val="000000"/>
                <w:sz w:val="22"/>
                <w:szCs w:val="22"/>
              </w:rPr>
            </w:pPr>
            <w:r>
              <w:rPr>
                <w:rFonts w:cs="Arial" w:hint="eastAsia"/>
                <w:color w:val="000000"/>
                <w:sz w:val="22"/>
                <w:szCs w:val="22"/>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cs="Arial"/>
                <w:color w:val="000000"/>
                <w:sz w:val="22"/>
                <w:szCs w:val="22"/>
              </w:rPr>
            </w:pPr>
            <w:r>
              <w:rPr>
                <w:rFonts w:cs="Arial" w:hint="eastAsia"/>
                <w:color w:val="000000"/>
                <w:sz w:val="22"/>
                <w:szCs w:val="22"/>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921B2D" w:rsidRDefault="00921B2D" w:rsidP="00603D11">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921B2D" w:rsidRDefault="00921B2D" w:rsidP="00603D11">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921B2D" w:rsidRDefault="00921B2D">
            <w:pPr>
              <w:jc w:val="right"/>
              <w:rPr>
                <w:rFonts w:cs="Arial"/>
                <w:color w:val="000000"/>
                <w:sz w:val="22"/>
                <w:szCs w:val="22"/>
              </w:rPr>
            </w:pPr>
            <w:r>
              <w:rPr>
                <w:rFonts w:cs="Arial" w:hint="eastAsia"/>
                <w:color w:val="000000"/>
                <w:sz w:val="22"/>
                <w:szCs w:val="22"/>
              </w:rPr>
              <w:t>5.00</w:t>
            </w:r>
          </w:p>
        </w:tc>
        <w:tc>
          <w:tcPr>
            <w:tcW w:w="1155"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维修</w:t>
            </w:r>
            <w:r>
              <w:rPr>
                <w:rFonts w:cs="Arial" w:hint="eastAsia"/>
                <w:color w:val="000000"/>
                <w:sz w:val="22"/>
                <w:szCs w:val="22"/>
              </w:rPr>
              <w:t>(</w:t>
            </w:r>
            <w:r>
              <w:rPr>
                <w:rFonts w:cs="Arial" w:hint="eastAsia"/>
                <w:color w:val="000000"/>
                <w:sz w:val="22"/>
                <w:szCs w:val="22"/>
              </w:rPr>
              <w:t>护</w:t>
            </w:r>
            <w:r>
              <w:rPr>
                <w:rFonts w:cs="Arial" w:hint="eastAsia"/>
                <w:color w:val="000000"/>
                <w:sz w:val="22"/>
                <w:szCs w:val="22"/>
              </w:rPr>
              <w:t>)</w:t>
            </w:r>
            <w:r>
              <w:rPr>
                <w:rFonts w:cs="Arial" w:hint="eastAsia"/>
                <w:color w:val="000000"/>
                <w:sz w:val="22"/>
                <w:szCs w:val="22"/>
              </w:rPr>
              <w:t>费</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921B2D">
            <w:pPr>
              <w:jc w:val="right"/>
              <w:rPr>
                <w:rFonts w:ascii="宋体" w:hAnsi="宋体" w:cs="Arial"/>
                <w:color w:val="000000"/>
                <w:sz w:val="22"/>
                <w:szCs w:val="22"/>
              </w:rPr>
            </w:pPr>
            <w:r>
              <w:rPr>
                <w:rFonts w:cs="Arial" w:hint="eastAsia"/>
                <w:color w:val="000000"/>
                <w:sz w:val="22"/>
                <w:szCs w:val="22"/>
              </w:rPr>
              <w:t>20.54</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30216</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培训费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9.35</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921B2D">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cs="Arial"/>
                <w:color w:val="000000"/>
                <w:sz w:val="22"/>
                <w:szCs w:val="22"/>
              </w:rPr>
            </w:pPr>
            <w:r>
              <w:rPr>
                <w:rFonts w:cs="Arial" w:hint="eastAsia"/>
                <w:color w:val="000000"/>
                <w:sz w:val="22"/>
                <w:szCs w:val="22"/>
              </w:rPr>
              <w:t>30218</w:t>
            </w:r>
          </w:p>
        </w:tc>
        <w:tc>
          <w:tcPr>
            <w:tcW w:w="2046"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cs="Arial"/>
                <w:color w:val="000000"/>
                <w:sz w:val="22"/>
                <w:szCs w:val="22"/>
              </w:rPr>
            </w:pPr>
            <w:r>
              <w:rPr>
                <w:rFonts w:cs="Arial" w:hint="eastAsia"/>
                <w:color w:val="000000"/>
                <w:sz w:val="22"/>
                <w:szCs w:val="22"/>
              </w:rPr>
              <w:t>车辆运行费</w:t>
            </w:r>
          </w:p>
        </w:tc>
        <w:tc>
          <w:tcPr>
            <w:tcW w:w="1659" w:type="dxa"/>
            <w:tcBorders>
              <w:top w:val="single" w:sz="4" w:space="0" w:color="000000"/>
              <w:left w:val="single" w:sz="4" w:space="0" w:color="000000"/>
              <w:bottom w:val="single" w:sz="4" w:space="0" w:color="000000"/>
              <w:right w:val="single" w:sz="4" w:space="0" w:color="000000"/>
            </w:tcBorders>
            <w:vAlign w:val="center"/>
          </w:tcPr>
          <w:p w:rsidR="00921B2D" w:rsidRDefault="00921B2D" w:rsidP="00603D11">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921B2D" w:rsidRDefault="00921B2D" w:rsidP="00603D11">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921B2D" w:rsidRDefault="00921B2D">
            <w:pPr>
              <w:jc w:val="right"/>
              <w:rPr>
                <w:rFonts w:cs="Arial"/>
                <w:color w:val="000000"/>
                <w:sz w:val="22"/>
                <w:szCs w:val="22"/>
              </w:rPr>
            </w:pPr>
            <w:r>
              <w:rPr>
                <w:rFonts w:cs="Arial" w:hint="eastAsia"/>
                <w:color w:val="000000"/>
                <w:sz w:val="22"/>
                <w:szCs w:val="22"/>
              </w:rPr>
              <w:t>3.37</w:t>
            </w:r>
          </w:p>
        </w:tc>
        <w:tc>
          <w:tcPr>
            <w:tcW w:w="1155" w:type="dxa"/>
            <w:tcBorders>
              <w:top w:val="single" w:sz="4" w:space="0" w:color="000000"/>
              <w:left w:val="single" w:sz="4" w:space="0" w:color="000000"/>
              <w:bottom w:val="single" w:sz="4" w:space="0" w:color="000000"/>
              <w:right w:val="single" w:sz="4" w:space="0" w:color="000000"/>
            </w:tcBorders>
            <w:vAlign w:val="center"/>
          </w:tcPr>
          <w:p w:rsidR="00921B2D" w:rsidRDefault="00921B2D">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136.12</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96.12</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30310</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个人农业生产补贴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40.00</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310</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资本性支出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2.80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lastRenderedPageBreak/>
              <w:t>31007</w:t>
            </w: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信息网络及软件购置更新</w:t>
            </w: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r>
              <w:rPr>
                <w:rFonts w:cs="Arial" w:hint="eastAsia"/>
                <w:color w:val="000000"/>
                <w:sz w:val="22"/>
                <w:szCs w:val="22"/>
              </w:rPr>
              <w:t>2.80</w:t>
            </w: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r w:rsidR="00AB1397">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AB1397" w:rsidRDefault="00AB1397">
            <w:pPr>
              <w:jc w:val="right"/>
              <w:rPr>
                <w:rFonts w:ascii="宋体" w:hAnsi="宋体" w:cs="Arial"/>
                <w:color w:val="000000"/>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AB1397" w:rsidRDefault="00AB1397">
            <w:pPr>
              <w:rPr>
                <w:rFonts w:ascii="宋体" w:hAnsi="宋体" w:cs="Arial"/>
                <w:color w:val="000000"/>
                <w:sz w:val="22"/>
                <w:szCs w:val="22"/>
              </w:rPr>
            </w:pPr>
          </w:p>
        </w:tc>
      </w:tr>
    </w:tbl>
    <w:p w:rsidR="002A7DC6" w:rsidRDefault="00DC6A7B">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2A7DC6" w:rsidRDefault="00DC6A7B">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A7DC6" w:rsidRDefault="00DC6A7B">
      <w:pPr>
        <w:rPr>
          <w:rFonts w:ascii="宋体" w:hAnsi="宋体" w:cs="宋体"/>
          <w:b/>
          <w:bCs/>
          <w:szCs w:val="21"/>
        </w:rPr>
      </w:pPr>
      <w:r>
        <w:rPr>
          <w:rFonts w:ascii="宋体" w:hAnsi="宋体" w:cs="宋体" w:hint="eastAsia"/>
          <w:b/>
          <w:bCs/>
          <w:szCs w:val="21"/>
        </w:rPr>
        <w:t xml:space="preserve">        公开07表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58" w:type="dxa"/>
        <w:tblLayout w:type="fixed"/>
        <w:tblCellMar>
          <w:top w:w="15" w:type="dxa"/>
          <w:left w:w="15" w:type="dxa"/>
          <w:bottom w:w="15" w:type="dxa"/>
          <w:right w:w="15" w:type="dxa"/>
        </w:tblCellMar>
        <w:tblLook w:val="04A0" w:firstRow="1" w:lastRow="0" w:firstColumn="1" w:lastColumn="0" w:noHBand="0" w:noVBand="1"/>
      </w:tblPr>
      <w:tblGrid>
        <w:gridCol w:w="1079"/>
        <w:gridCol w:w="985"/>
        <w:gridCol w:w="1117"/>
        <w:gridCol w:w="878"/>
        <w:gridCol w:w="878"/>
        <w:gridCol w:w="998"/>
        <w:gridCol w:w="1189"/>
        <w:gridCol w:w="772"/>
        <w:gridCol w:w="962"/>
      </w:tblGrid>
      <w:tr w:rsidR="002A7DC6">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EF4D05">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EF4D05" w:rsidRDefault="00EF4D05">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EF4D05" w:rsidRDefault="00EF4D05">
            <w:pPr>
              <w:jc w:val="center"/>
              <w:rPr>
                <w:rFonts w:ascii="宋体" w:hAnsi="宋体" w:cs="宋体"/>
                <w:b/>
                <w:color w:val="000000"/>
                <w:szCs w:val="21"/>
              </w:rPr>
            </w:pPr>
            <w:r>
              <w:rPr>
                <w:rFonts w:ascii="宋体" w:hAnsi="宋体" w:cs="宋体" w:hint="eastAsia"/>
                <w:b/>
                <w:color w:val="000000"/>
                <w:szCs w:val="21"/>
              </w:rPr>
              <w:t>0.00</w:t>
            </w:r>
          </w:p>
        </w:tc>
        <w:tc>
          <w:tcPr>
            <w:tcW w:w="1117"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998"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EF4D05" w:rsidRDefault="00EF4D05">
            <w:pPr>
              <w:jc w:val="center"/>
              <w:rPr>
                <w:rFonts w:ascii="宋体" w:hAnsi="宋体" w:cs="宋体"/>
                <w:b/>
                <w:color w:val="000000"/>
                <w:szCs w:val="21"/>
              </w:rPr>
            </w:pPr>
            <w:r>
              <w:rPr>
                <w:rFonts w:ascii="宋体" w:hAnsi="宋体" w:cs="宋体" w:hint="eastAsia"/>
                <w:b/>
                <w:color w:val="000000"/>
                <w:szCs w:val="21"/>
              </w:rPr>
              <w:t>3.37</w:t>
            </w:r>
          </w:p>
        </w:tc>
        <w:tc>
          <w:tcPr>
            <w:tcW w:w="772"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EF4D05" w:rsidRDefault="00EF4D05">
            <w:pPr>
              <w:jc w:val="center"/>
              <w:rPr>
                <w:rFonts w:ascii="宋体" w:hAnsi="宋体" w:cs="宋体"/>
                <w:b/>
                <w:color w:val="000000"/>
                <w:szCs w:val="21"/>
              </w:rPr>
            </w:pPr>
            <w:r>
              <w:rPr>
                <w:rFonts w:ascii="宋体" w:hAnsi="宋体" w:cs="宋体" w:hint="eastAsia"/>
                <w:b/>
                <w:color w:val="000000"/>
                <w:szCs w:val="21"/>
              </w:rPr>
              <w:t>9.35</w:t>
            </w:r>
          </w:p>
        </w:tc>
      </w:tr>
      <w:tr w:rsidR="00EF4D05">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EF4D05" w:rsidRDefault="00EF4D05">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EF4D05" w:rsidRDefault="00EF4D05">
            <w:pPr>
              <w:jc w:val="center"/>
              <w:rPr>
                <w:rFonts w:ascii="宋体" w:hAnsi="宋体" w:cs="宋体"/>
                <w:b/>
                <w:color w:val="000000"/>
                <w:szCs w:val="21"/>
              </w:rPr>
            </w:pPr>
            <w:r>
              <w:rPr>
                <w:rFonts w:ascii="宋体" w:hAnsi="宋体" w:cs="宋体" w:hint="eastAsia"/>
                <w:b/>
                <w:color w:val="000000"/>
                <w:szCs w:val="21"/>
              </w:rPr>
              <w:t>0.00</w:t>
            </w:r>
          </w:p>
        </w:tc>
        <w:tc>
          <w:tcPr>
            <w:tcW w:w="1117"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998"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EF4D05" w:rsidRDefault="00EF4D05">
            <w:pPr>
              <w:jc w:val="center"/>
              <w:rPr>
                <w:rFonts w:ascii="宋体" w:hAnsi="宋体" w:cs="宋体"/>
                <w:b/>
                <w:color w:val="000000"/>
                <w:szCs w:val="21"/>
              </w:rPr>
            </w:pPr>
            <w:r>
              <w:rPr>
                <w:rFonts w:ascii="宋体" w:hAnsi="宋体" w:cs="宋体" w:hint="eastAsia"/>
                <w:b/>
                <w:color w:val="000000"/>
                <w:szCs w:val="21"/>
              </w:rPr>
              <w:t>3.37</w:t>
            </w:r>
          </w:p>
        </w:tc>
        <w:tc>
          <w:tcPr>
            <w:tcW w:w="772" w:type="dxa"/>
            <w:tcBorders>
              <w:top w:val="single" w:sz="4" w:space="0" w:color="000000"/>
              <w:left w:val="single" w:sz="4" w:space="0" w:color="000000"/>
              <w:bottom w:val="single" w:sz="4" w:space="0" w:color="000000"/>
              <w:right w:val="single" w:sz="4" w:space="0" w:color="000000"/>
            </w:tcBorders>
            <w:vAlign w:val="center"/>
          </w:tcPr>
          <w:p w:rsidR="00EF4D05" w:rsidRDefault="00EF4D05" w:rsidP="00F837D0">
            <w:pPr>
              <w:jc w:val="center"/>
              <w:rPr>
                <w:rFonts w:ascii="宋体" w:hAnsi="宋体" w:cs="宋体"/>
                <w:b/>
                <w:color w:val="000000"/>
                <w:szCs w:val="21"/>
              </w:rPr>
            </w:pPr>
            <w:r>
              <w:rPr>
                <w:rFonts w:ascii="宋体" w:hAnsi="宋体" w:cs="宋体" w:hint="eastAsia"/>
                <w:b/>
                <w:color w:val="00000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EF4D05" w:rsidRDefault="00EF4D05">
            <w:pPr>
              <w:jc w:val="center"/>
              <w:rPr>
                <w:rFonts w:ascii="宋体" w:hAnsi="宋体" w:cs="宋体"/>
                <w:b/>
                <w:color w:val="000000"/>
                <w:szCs w:val="21"/>
              </w:rPr>
            </w:pPr>
            <w:r>
              <w:rPr>
                <w:rFonts w:ascii="宋体" w:hAnsi="宋体" w:cs="宋体" w:hint="eastAsia"/>
                <w:b/>
                <w:color w:val="000000"/>
                <w:szCs w:val="21"/>
              </w:rPr>
              <w:t>9.35</w:t>
            </w:r>
          </w:p>
        </w:tc>
      </w:tr>
    </w:tbl>
    <w:p w:rsidR="002A7DC6" w:rsidRDefault="00DC6A7B">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2A7DC6" w:rsidRDefault="00DC6A7B">
      <w:pPr>
        <w:rPr>
          <w:rFonts w:ascii="宋体" w:hAnsi="宋体" w:cs="宋体"/>
          <w:b/>
          <w:bCs/>
          <w:szCs w:val="21"/>
        </w:rPr>
      </w:pPr>
      <w:r>
        <w:rPr>
          <w:rFonts w:ascii="宋体" w:hAnsi="宋体" w:cs="宋体" w:hint="eastAsia"/>
          <w:b/>
          <w:bCs/>
          <w:szCs w:val="21"/>
        </w:rPr>
        <w:t>公开08表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firstRow="1" w:lastRow="0" w:firstColumn="1" w:lastColumn="0" w:noHBand="0" w:noVBand="1"/>
      </w:tblPr>
      <w:tblGrid>
        <w:gridCol w:w="1023"/>
        <w:gridCol w:w="1341"/>
        <w:gridCol w:w="1049"/>
        <w:gridCol w:w="990"/>
        <w:gridCol w:w="930"/>
        <w:gridCol w:w="1049"/>
        <w:gridCol w:w="1024"/>
        <w:gridCol w:w="1471"/>
      </w:tblGrid>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A7DC6">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2A7DC6" w:rsidRDefault="002A7DC6">
      <w:pPr>
        <w:widowControl/>
        <w:rPr>
          <w:rFonts w:ascii="黑体" w:eastAsia="黑体" w:hAnsi="宋体"/>
          <w:color w:val="000000"/>
          <w:kern w:val="0"/>
          <w:sz w:val="44"/>
          <w:szCs w:val="44"/>
        </w:rPr>
      </w:pP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2A7DC6" w:rsidRDefault="0003355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4705350" cy="2257425"/>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7DC6" w:rsidRDefault="00DC6A7B">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w:t>
      </w:r>
      <w:r w:rsidR="00F837D0">
        <w:rPr>
          <w:rFonts w:ascii="仿宋_GB2312" w:eastAsia="仿宋_GB2312" w:hAnsi="仿宋" w:hint="eastAsia"/>
          <w:sz w:val="32"/>
          <w:szCs w:val="32"/>
        </w:rPr>
        <w:t>收入1397.</w:t>
      </w:r>
      <w:r w:rsidR="00A26950">
        <w:rPr>
          <w:rFonts w:ascii="仿宋_GB2312" w:eastAsia="仿宋_GB2312" w:hAnsi="仿宋" w:hint="eastAsia"/>
          <w:sz w:val="32"/>
          <w:szCs w:val="32"/>
        </w:rPr>
        <w:t>58</w:t>
      </w:r>
      <w:r w:rsidR="00F837D0">
        <w:rPr>
          <w:rFonts w:ascii="仿宋_GB2312" w:eastAsia="仿宋_GB2312" w:hAnsi="仿宋" w:hint="eastAsia"/>
          <w:sz w:val="32"/>
          <w:szCs w:val="32"/>
        </w:rPr>
        <w:t>万元，</w:t>
      </w:r>
      <w:r>
        <w:rPr>
          <w:rFonts w:ascii="仿宋_GB2312" w:eastAsia="仿宋_GB2312" w:hAnsi="仿宋" w:hint="eastAsia"/>
          <w:sz w:val="32"/>
          <w:szCs w:val="32"/>
        </w:rPr>
        <w:t>比上年</w:t>
      </w:r>
      <w:r w:rsidR="00F837D0">
        <w:rPr>
          <w:rFonts w:ascii="仿宋_GB2312" w:eastAsia="仿宋_GB2312" w:hAnsi="仿宋" w:hint="eastAsia"/>
          <w:sz w:val="32"/>
          <w:szCs w:val="32"/>
        </w:rPr>
        <w:t>1867.05万元减少</w:t>
      </w:r>
      <w:r w:rsidR="00FA0386">
        <w:rPr>
          <w:rFonts w:ascii="仿宋_GB2312" w:eastAsia="仿宋_GB2312" w:hAnsi="仿宋" w:hint="eastAsia"/>
          <w:sz w:val="32"/>
          <w:szCs w:val="32"/>
        </w:rPr>
        <w:t>25.1%，减少</w:t>
      </w:r>
      <w:r w:rsidR="00F837D0">
        <w:rPr>
          <w:rFonts w:ascii="仿宋_GB2312" w:eastAsia="仿宋_GB2312" w:hAnsi="仿宋" w:hint="eastAsia"/>
          <w:sz w:val="32"/>
          <w:szCs w:val="32"/>
        </w:rPr>
        <w:t>469.</w:t>
      </w:r>
      <w:r w:rsidR="00A26950">
        <w:rPr>
          <w:rFonts w:ascii="仿宋_GB2312" w:eastAsia="仿宋_GB2312" w:hAnsi="仿宋" w:hint="eastAsia"/>
          <w:sz w:val="32"/>
          <w:szCs w:val="32"/>
        </w:rPr>
        <w:t>47</w:t>
      </w:r>
      <w:r w:rsidR="00F837D0">
        <w:rPr>
          <w:rFonts w:ascii="仿宋_GB2312" w:eastAsia="仿宋_GB2312" w:hAnsi="仿宋" w:hint="eastAsia"/>
          <w:sz w:val="32"/>
          <w:szCs w:val="32"/>
        </w:rPr>
        <w:t>万元</w:t>
      </w:r>
      <w:r>
        <w:rPr>
          <w:rFonts w:ascii="仿宋_GB2312" w:eastAsia="仿宋_GB2312" w:hAnsi="仿宋" w:hint="eastAsia"/>
          <w:sz w:val="32"/>
          <w:szCs w:val="32"/>
        </w:rPr>
        <w:t>，减</w:t>
      </w:r>
      <w:r w:rsidR="00F837D0">
        <w:rPr>
          <w:rFonts w:ascii="仿宋_GB2312" w:eastAsia="仿宋_GB2312" w:hAnsi="仿宋" w:hint="eastAsia"/>
          <w:sz w:val="32"/>
          <w:szCs w:val="32"/>
        </w:rPr>
        <w:t>少</w:t>
      </w:r>
      <w:r>
        <w:rPr>
          <w:rFonts w:ascii="仿宋_GB2312" w:eastAsia="仿宋_GB2312" w:hAnsi="仿宋" w:hint="eastAsia"/>
          <w:sz w:val="32"/>
          <w:szCs w:val="32"/>
        </w:rPr>
        <w:t>变化的主要原因</w:t>
      </w:r>
      <w:r w:rsidR="00F837D0">
        <w:rPr>
          <w:rFonts w:ascii="仿宋_GB2312" w:eastAsia="仿宋_GB2312" w:hAnsi="仿宋" w:hint="eastAsia"/>
          <w:sz w:val="32"/>
          <w:szCs w:val="32"/>
        </w:rPr>
        <w:t>为</w:t>
      </w:r>
      <w:r w:rsidR="00B73B7D">
        <w:rPr>
          <w:rFonts w:ascii="仿宋_GB2312" w:eastAsia="仿宋_GB2312" w:hAnsi="仿宋" w:hint="eastAsia"/>
          <w:sz w:val="32"/>
          <w:szCs w:val="32"/>
        </w:rPr>
        <w:t>国家下调养老保险缴费比例，缴费总额减少所致</w:t>
      </w:r>
      <w:r w:rsidR="00B73B7D">
        <w:rPr>
          <w:rFonts w:ascii="仿宋_GB2312" w:eastAsia="仿宋_GB2312" w:hAnsi="宋体" w:cs="仿宋_GB2312" w:hint="eastAsia"/>
          <w:color w:val="000000"/>
          <w:kern w:val="0"/>
          <w:sz w:val="32"/>
          <w:szCs w:val="32"/>
        </w:rPr>
        <w:t>。</w:t>
      </w:r>
    </w:p>
    <w:p w:rsidR="00AD4E02" w:rsidRDefault="00DC6A7B" w:rsidP="00AD4E02">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2019年支出</w:t>
      </w:r>
      <w:r w:rsidR="00AD4E02">
        <w:rPr>
          <w:rFonts w:ascii="仿宋_GB2312" w:eastAsia="仿宋_GB2312" w:hAnsi="仿宋" w:hint="eastAsia"/>
          <w:sz w:val="32"/>
          <w:szCs w:val="32"/>
        </w:rPr>
        <w:t>1397.</w:t>
      </w:r>
      <w:r w:rsidR="00A26950">
        <w:rPr>
          <w:rFonts w:ascii="仿宋_GB2312" w:eastAsia="仿宋_GB2312" w:hAnsi="仿宋" w:hint="eastAsia"/>
          <w:sz w:val="32"/>
          <w:szCs w:val="32"/>
        </w:rPr>
        <w:t>58</w:t>
      </w:r>
      <w:r w:rsidR="00AD4E02">
        <w:rPr>
          <w:rFonts w:ascii="仿宋_GB2312" w:eastAsia="仿宋_GB2312" w:hAnsi="仿宋" w:hint="eastAsia"/>
          <w:sz w:val="32"/>
          <w:szCs w:val="32"/>
        </w:rPr>
        <w:t>万元，比上年1867.05万元减少25.1%，减少469.</w:t>
      </w:r>
      <w:r w:rsidR="00A26950">
        <w:rPr>
          <w:rFonts w:ascii="仿宋_GB2312" w:eastAsia="仿宋_GB2312" w:hAnsi="仿宋" w:hint="eastAsia"/>
          <w:sz w:val="32"/>
          <w:szCs w:val="32"/>
        </w:rPr>
        <w:t>47</w:t>
      </w:r>
      <w:r w:rsidR="00AD4E02">
        <w:rPr>
          <w:rFonts w:ascii="仿宋_GB2312" w:eastAsia="仿宋_GB2312" w:hAnsi="仿宋" w:hint="eastAsia"/>
          <w:sz w:val="32"/>
          <w:szCs w:val="32"/>
        </w:rPr>
        <w:t>万元，减少变化的主要原因为</w:t>
      </w:r>
      <w:r w:rsidR="00B73B7D">
        <w:rPr>
          <w:rFonts w:ascii="仿宋_GB2312" w:eastAsia="仿宋_GB2312" w:hAnsi="仿宋" w:hint="eastAsia"/>
          <w:sz w:val="32"/>
          <w:szCs w:val="32"/>
        </w:rPr>
        <w:t>国家下调养老保险缴费比例，缴费总额减少所致</w:t>
      </w:r>
      <w:r w:rsidR="00B73B7D">
        <w:rPr>
          <w:rFonts w:ascii="仿宋_GB2312" w:eastAsia="仿宋_GB2312" w:hAnsi="宋体" w:cs="仿宋_GB2312" w:hint="eastAsia"/>
          <w:color w:val="000000"/>
          <w:kern w:val="0"/>
          <w:sz w:val="32"/>
          <w:szCs w:val="32"/>
        </w:rPr>
        <w:t>。</w:t>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2A7DC6" w:rsidRDefault="001375EC">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extent cx="4705350" cy="2371725"/>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7DC6" w:rsidRDefault="00DC6A7B">
      <w:pPr>
        <w:widowControl/>
        <w:ind w:firstLineChars="200" w:firstLine="640"/>
        <w:jc w:val="left"/>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sidR="000B69B3">
        <w:rPr>
          <w:rFonts w:ascii="仿宋_GB2312" w:eastAsia="仿宋_GB2312" w:hAnsi="宋体" w:cs="仿宋_GB2312" w:hint="eastAsia"/>
          <w:color w:val="000000"/>
          <w:kern w:val="0"/>
          <w:sz w:val="32"/>
          <w:szCs w:val="32"/>
        </w:rPr>
        <w:t>1397.</w:t>
      </w:r>
      <w:r w:rsidR="00A26950">
        <w:rPr>
          <w:rFonts w:ascii="仿宋_GB2312" w:eastAsia="仿宋_GB2312" w:hAnsi="宋体" w:cs="仿宋_GB2312" w:hint="eastAsia"/>
          <w:color w:val="000000"/>
          <w:kern w:val="0"/>
          <w:sz w:val="32"/>
          <w:szCs w:val="32"/>
        </w:rPr>
        <w:t>58</w:t>
      </w:r>
      <w:r>
        <w:rPr>
          <w:rFonts w:ascii="仿宋_GB2312" w:eastAsia="仿宋_GB2312" w:hAnsi="宋体" w:cs="仿宋_GB2312"/>
          <w:color w:val="000000"/>
          <w:kern w:val="0"/>
          <w:sz w:val="32"/>
          <w:szCs w:val="32"/>
        </w:rPr>
        <w:t>万元，其中：财政拨款收入</w:t>
      </w:r>
      <w:r w:rsidR="000B69B3">
        <w:rPr>
          <w:rFonts w:ascii="仿宋_GB2312" w:eastAsia="仿宋_GB2312" w:hAnsi="宋体" w:cs="仿宋_GB2312" w:hint="eastAsia"/>
          <w:color w:val="000000"/>
          <w:kern w:val="0"/>
          <w:sz w:val="32"/>
          <w:szCs w:val="32"/>
        </w:rPr>
        <w:t>1397.</w:t>
      </w:r>
      <w:r w:rsidR="009326F4">
        <w:rPr>
          <w:rFonts w:ascii="仿宋_GB2312" w:eastAsia="仿宋_GB2312" w:hAnsi="宋体" w:cs="仿宋_GB2312" w:hint="eastAsia"/>
          <w:color w:val="000000"/>
          <w:kern w:val="0"/>
          <w:sz w:val="32"/>
          <w:szCs w:val="32"/>
        </w:rPr>
        <w:t>58</w:t>
      </w:r>
      <w:r>
        <w:rPr>
          <w:rFonts w:ascii="仿宋_GB2312" w:eastAsia="仿宋_GB2312" w:hAnsi="宋体" w:cs="仿宋_GB2312"/>
          <w:color w:val="000000"/>
          <w:kern w:val="0"/>
          <w:sz w:val="32"/>
          <w:szCs w:val="32"/>
        </w:rPr>
        <w:t>万元，占</w:t>
      </w:r>
      <w:r w:rsidR="00A26950">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%；事业收入</w:t>
      </w:r>
      <w:r w:rsidR="000B69B3">
        <w:rPr>
          <w:rFonts w:ascii="仿宋_GB2312" w:eastAsia="仿宋_GB2312" w:hAnsi="宋体" w:cs="仿宋_GB2312" w:hint="eastAsia"/>
          <w:color w:val="000000"/>
          <w:kern w:val="0"/>
          <w:sz w:val="32"/>
          <w:szCs w:val="32"/>
        </w:rPr>
        <w:t>0</w:t>
      </w:r>
      <w:r w:rsidR="000B69B3">
        <w:rPr>
          <w:rFonts w:ascii="仿宋_GB2312" w:eastAsia="仿宋_GB2312" w:hAnsi="宋体" w:cs="仿宋_GB2312"/>
          <w:color w:val="000000"/>
          <w:kern w:val="0"/>
          <w:sz w:val="32"/>
          <w:szCs w:val="32"/>
        </w:rPr>
        <w:t>万元</w:t>
      </w:r>
      <w:r>
        <w:rPr>
          <w:rFonts w:ascii="仿宋_GB2312" w:eastAsia="仿宋_GB2312" w:hAnsi="宋体" w:cs="仿宋_GB2312"/>
          <w:color w:val="000000"/>
          <w:kern w:val="0"/>
          <w:sz w:val="32"/>
          <w:szCs w:val="32"/>
        </w:rPr>
        <w:t>；经营收入</w:t>
      </w:r>
      <w:r w:rsidR="000B69B3">
        <w:rPr>
          <w:rFonts w:ascii="仿宋_GB2312" w:eastAsia="仿宋_GB2312" w:hAnsi="宋体" w:cs="仿宋_GB2312" w:hint="eastAsia"/>
          <w:color w:val="000000"/>
          <w:kern w:val="0"/>
          <w:sz w:val="32"/>
          <w:szCs w:val="32"/>
        </w:rPr>
        <w:t>0</w:t>
      </w:r>
      <w:r w:rsidR="000B69B3">
        <w:rPr>
          <w:rFonts w:ascii="仿宋_GB2312" w:eastAsia="仿宋_GB2312" w:hAnsi="宋体" w:cs="仿宋_GB2312"/>
          <w:color w:val="000000"/>
          <w:kern w:val="0"/>
          <w:sz w:val="32"/>
          <w:szCs w:val="32"/>
        </w:rPr>
        <w:t>万元</w:t>
      </w:r>
      <w:r>
        <w:rPr>
          <w:rFonts w:ascii="仿宋_GB2312" w:eastAsia="仿宋_GB2312" w:hAnsi="宋体" w:cs="仿宋_GB2312"/>
          <w:color w:val="000000"/>
          <w:kern w:val="0"/>
          <w:sz w:val="32"/>
          <w:szCs w:val="32"/>
        </w:rPr>
        <w:t>；其他收入</w:t>
      </w:r>
      <w:r w:rsidR="000B69B3">
        <w:rPr>
          <w:rFonts w:ascii="仿宋_GB2312" w:eastAsia="仿宋_GB2312" w:hAnsi="宋体" w:cs="仿宋_GB2312" w:hint="eastAsia"/>
          <w:color w:val="000000"/>
          <w:kern w:val="0"/>
          <w:sz w:val="32"/>
          <w:szCs w:val="32"/>
        </w:rPr>
        <w:t>0</w:t>
      </w:r>
      <w:r w:rsidR="000B69B3">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2A7DC6" w:rsidRDefault="00DC6A7B">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2A7DC6" w:rsidRDefault="00A8113F">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4924425" cy="2571750"/>
            <wp:effectExtent l="1905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DC6" w:rsidRDefault="00DC6A7B">
      <w:pPr>
        <w:widowControl/>
        <w:ind w:firstLineChars="200" w:firstLine="640"/>
        <w:jc w:val="left"/>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sidR="00A64FB2">
        <w:rPr>
          <w:rFonts w:ascii="仿宋_GB2312" w:eastAsia="仿宋_GB2312" w:hAnsi="宋体" w:cs="仿宋_GB2312" w:hint="eastAsia"/>
          <w:color w:val="000000"/>
          <w:kern w:val="0"/>
          <w:sz w:val="32"/>
          <w:szCs w:val="32"/>
        </w:rPr>
        <w:t>1397.58</w:t>
      </w:r>
      <w:r>
        <w:rPr>
          <w:rFonts w:ascii="仿宋_GB2312" w:eastAsia="仿宋_GB2312" w:hAnsi="宋体" w:cs="仿宋_GB2312"/>
          <w:color w:val="000000"/>
          <w:kern w:val="0"/>
          <w:sz w:val="32"/>
          <w:szCs w:val="32"/>
        </w:rPr>
        <w:t>万元，其中：基本支出</w:t>
      </w:r>
      <w:r w:rsidR="00A64FB2">
        <w:rPr>
          <w:rFonts w:ascii="仿宋_GB2312" w:eastAsia="仿宋_GB2312" w:hAnsi="宋体" w:cs="仿宋_GB2312" w:hint="eastAsia"/>
          <w:color w:val="000000"/>
          <w:kern w:val="0"/>
          <w:sz w:val="32"/>
          <w:szCs w:val="32"/>
        </w:rPr>
        <w:t>1150.11</w:t>
      </w:r>
      <w:r>
        <w:rPr>
          <w:rFonts w:ascii="仿宋_GB2312" w:eastAsia="仿宋_GB2312" w:hAnsi="宋体" w:cs="仿宋_GB2312"/>
          <w:color w:val="000000"/>
          <w:kern w:val="0"/>
          <w:sz w:val="32"/>
          <w:szCs w:val="32"/>
        </w:rPr>
        <w:t>万元，占</w:t>
      </w:r>
      <w:r w:rsidR="00CB21F4">
        <w:rPr>
          <w:rFonts w:ascii="仿宋_GB2312" w:eastAsia="仿宋_GB2312" w:hAnsi="宋体" w:cs="仿宋_GB2312" w:hint="eastAsia"/>
          <w:color w:val="000000"/>
          <w:kern w:val="0"/>
          <w:sz w:val="32"/>
          <w:szCs w:val="32"/>
        </w:rPr>
        <w:t>82.29</w:t>
      </w:r>
      <w:r>
        <w:rPr>
          <w:rFonts w:ascii="仿宋_GB2312" w:eastAsia="仿宋_GB2312" w:hAnsi="宋体" w:cs="仿宋_GB2312"/>
          <w:color w:val="000000"/>
          <w:kern w:val="0"/>
          <w:sz w:val="32"/>
          <w:szCs w:val="32"/>
        </w:rPr>
        <w:t>%；项目支出</w:t>
      </w:r>
      <w:r w:rsidR="00A64FB2">
        <w:rPr>
          <w:rFonts w:ascii="仿宋_GB2312" w:eastAsia="仿宋_GB2312" w:hAnsi="宋体" w:cs="仿宋_GB2312" w:hint="eastAsia"/>
          <w:color w:val="000000"/>
          <w:kern w:val="0"/>
          <w:sz w:val="32"/>
          <w:szCs w:val="32"/>
        </w:rPr>
        <w:t>247.47</w:t>
      </w:r>
      <w:r>
        <w:rPr>
          <w:rFonts w:ascii="仿宋_GB2312" w:eastAsia="仿宋_GB2312" w:hAnsi="宋体" w:cs="仿宋_GB2312"/>
          <w:color w:val="000000"/>
          <w:kern w:val="0"/>
          <w:sz w:val="32"/>
          <w:szCs w:val="32"/>
        </w:rPr>
        <w:t>万元，占</w:t>
      </w:r>
      <w:r w:rsidR="00CB21F4">
        <w:rPr>
          <w:rFonts w:ascii="仿宋_GB2312" w:eastAsia="仿宋_GB2312" w:hAnsi="宋体" w:cs="仿宋_GB2312" w:hint="eastAsia"/>
          <w:color w:val="000000"/>
          <w:kern w:val="0"/>
          <w:sz w:val="32"/>
          <w:szCs w:val="32"/>
        </w:rPr>
        <w:t>17.71</w:t>
      </w:r>
      <w:r>
        <w:rPr>
          <w:rFonts w:ascii="仿宋_GB2312" w:eastAsia="仿宋_GB2312" w:hAnsi="宋体" w:cs="仿宋_GB2312"/>
          <w:color w:val="000000"/>
          <w:kern w:val="0"/>
          <w:sz w:val="32"/>
          <w:szCs w:val="32"/>
        </w:rPr>
        <w:t>%；经营支出</w:t>
      </w:r>
      <w:r w:rsidR="00A64FB2">
        <w:rPr>
          <w:rFonts w:ascii="仿宋_GB2312" w:eastAsia="仿宋_GB2312" w:hAnsi="宋体" w:cs="仿宋_GB2312" w:hint="eastAsia"/>
          <w:color w:val="000000"/>
          <w:kern w:val="0"/>
          <w:sz w:val="32"/>
          <w:szCs w:val="32"/>
        </w:rPr>
        <w:t>0</w:t>
      </w:r>
      <w:r w:rsidR="00A64FB2">
        <w:rPr>
          <w:rFonts w:ascii="仿宋_GB2312" w:eastAsia="仿宋_GB2312" w:hAnsi="宋体" w:cs="仿宋_GB2312"/>
          <w:color w:val="000000"/>
          <w:kern w:val="0"/>
          <w:sz w:val="32"/>
          <w:szCs w:val="32"/>
        </w:rPr>
        <w:t>万元</w:t>
      </w:r>
      <w:r>
        <w:rPr>
          <w:rFonts w:ascii="仿宋_GB2312" w:eastAsia="仿宋_GB2312" w:hAnsi="宋体" w:cs="仿宋_GB2312"/>
          <w:color w:val="000000"/>
          <w:kern w:val="0"/>
          <w:sz w:val="32"/>
          <w:szCs w:val="32"/>
        </w:rPr>
        <w:t>。</w:t>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 xml:space="preserve">四、财政拨款收入支出决算总体情况说明  </w:t>
      </w:r>
    </w:p>
    <w:p w:rsidR="002A7DC6" w:rsidRDefault="00077215">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4991100" cy="240982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0B17" w:rsidRDefault="00670B17" w:rsidP="00670B17">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2019年财政拨款收入1397.58万元，比上年1867.05万元减少25.1%，减少469.47万元，减少变化的主要原因为</w:t>
      </w:r>
      <w:r w:rsidR="00B73B7D">
        <w:rPr>
          <w:rFonts w:ascii="仿宋_GB2312" w:eastAsia="仿宋_GB2312" w:hAnsi="仿宋" w:hint="eastAsia"/>
          <w:sz w:val="32"/>
          <w:szCs w:val="32"/>
        </w:rPr>
        <w:t>国家下调养老保险缴费比例，缴费总额减少所致</w:t>
      </w:r>
      <w:r w:rsidR="00B73B7D">
        <w:rPr>
          <w:rFonts w:ascii="仿宋_GB2312" w:eastAsia="仿宋_GB2312" w:hAnsi="宋体" w:cs="仿宋_GB2312" w:hint="eastAsia"/>
          <w:color w:val="000000"/>
          <w:kern w:val="0"/>
          <w:sz w:val="32"/>
          <w:szCs w:val="32"/>
        </w:rPr>
        <w:t>。</w:t>
      </w:r>
    </w:p>
    <w:p w:rsidR="002A7DC6" w:rsidRDefault="00670B17" w:rsidP="00670B17">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2019年财政拨款支出1397.58万元，比上年1867.05万元减少25.1%，减少469.47万元，减少变化的主要原因为</w:t>
      </w:r>
      <w:r w:rsidR="00B73B7D">
        <w:rPr>
          <w:rFonts w:ascii="仿宋_GB2312" w:eastAsia="仿宋_GB2312" w:hAnsi="仿宋" w:hint="eastAsia"/>
          <w:sz w:val="32"/>
          <w:szCs w:val="32"/>
        </w:rPr>
        <w:t>国家下调养老保险缴费比例，缴费总额减少所致</w:t>
      </w:r>
      <w:r w:rsidR="00B73B7D">
        <w:rPr>
          <w:rFonts w:ascii="仿宋_GB2312" w:eastAsia="仿宋_GB2312" w:hAnsi="宋体" w:cs="仿宋_GB2312" w:hint="eastAsia"/>
          <w:color w:val="000000"/>
          <w:kern w:val="0"/>
          <w:sz w:val="32"/>
          <w:szCs w:val="32"/>
        </w:rPr>
        <w:t>。</w:t>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921011">
      <w:pPr>
        <w:ind w:firstLineChars="200" w:firstLine="640"/>
        <w:rPr>
          <w:rFonts w:ascii="仿宋_GB2312" w:eastAsia="仿宋_GB2312" w:hAnsi="仿宋_GB2312" w:cs="仿宋_GB2312"/>
          <w:sz w:val="32"/>
          <w:szCs w:val="32"/>
        </w:rPr>
      </w:pPr>
      <w:r>
        <w:rPr>
          <w:rFonts w:ascii="仿宋_GB2312" w:eastAsia="仿宋_GB2312" w:hAnsi="仿宋_GB2312" w:cs="仿宋_GB2312"/>
          <w:noProof/>
          <w:sz w:val="32"/>
          <w:szCs w:val="32"/>
        </w:rPr>
        <w:lastRenderedPageBreak/>
        <w:drawing>
          <wp:inline distT="0" distB="0" distL="0" distR="0">
            <wp:extent cx="4876800" cy="2619375"/>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7DC6" w:rsidRDefault="00DC6A7B">
      <w:pPr>
        <w:widowControl/>
        <w:ind w:firstLineChars="200" w:firstLine="640"/>
        <w:jc w:val="left"/>
      </w:pPr>
      <w:r>
        <w:rPr>
          <w:rFonts w:ascii="仿宋_GB2312" w:eastAsia="仿宋_GB2312" w:hAnsi="宋体" w:cs="仿宋_GB2312"/>
          <w:color w:val="000000"/>
          <w:kern w:val="0"/>
          <w:sz w:val="32"/>
          <w:szCs w:val="32"/>
        </w:rPr>
        <w:t>2019 年财政拨款支出</w:t>
      </w:r>
      <w:r w:rsidR="0002641A">
        <w:rPr>
          <w:rFonts w:ascii="仿宋_GB2312" w:eastAsia="仿宋_GB2312" w:hAnsi="宋体" w:cs="仿宋_GB2312" w:hint="eastAsia"/>
          <w:color w:val="000000"/>
          <w:kern w:val="0"/>
          <w:sz w:val="32"/>
          <w:szCs w:val="32"/>
        </w:rPr>
        <w:t>1397.58</w:t>
      </w:r>
      <w:r>
        <w:rPr>
          <w:rFonts w:ascii="仿宋_GB2312" w:eastAsia="仿宋_GB2312" w:hAnsi="宋体" w:cs="仿宋_GB2312"/>
          <w:color w:val="000000"/>
          <w:kern w:val="0"/>
          <w:sz w:val="32"/>
          <w:szCs w:val="32"/>
        </w:rPr>
        <w:t xml:space="preserve">万元，占本年支出合 </w:t>
      </w:r>
    </w:p>
    <w:p w:rsidR="002A7DC6" w:rsidRDefault="00DC6A7B">
      <w:pPr>
        <w:widowControl/>
        <w:jc w:val="left"/>
      </w:pPr>
      <w:r>
        <w:rPr>
          <w:rFonts w:ascii="仿宋_GB2312" w:eastAsia="仿宋_GB2312" w:hAnsi="宋体" w:cs="仿宋_GB2312"/>
          <w:color w:val="000000"/>
          <w:kern w:val="0"/>
          <w:sz w:val="32"/>
          <w:szCs w:val="32"/>
        </w:rPr>
        <w:t>计的</w:t>
      </w:r>
      <w:r w:rsidR="0002641A">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sidR="0002641A">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sidR="0002641A">
        <w:rPr>
          <w:rFonts w:ascii="仿宋_GB2312" w:eastAsia="仿宋_GB2312" w:hAnsi="宋体" w:cs="仿宋_GB2312" w:hint="eastAsia"/>
          <w:color w:val="000000"/>
          <w:kern w:val="0"/>
          <w:sz w:val="32"/>
          <w:szCs w:val="32"/>
        </w:rPr>
        <w:t>469.47</w:t>
      </w:r>
      <w:r w:rsidR="0002641A">
        <w:rPr>
          <w:rFonts w:ascii="仿宋_GB2312" w:eastAsia="仿宋_GB2312" w:hAnsi="宋体" w:cs="仿宋_GB2312"/>
          <w:color w:val="000000"/>
          <w:kern w:val="0"/>
          <w:sz w:val="32"/>
          <w:szCs w:val="32"/>
        </w:rPr>
        <w:t>万元，</w:t>
      </w:r>
      <w:r w:rsidR="0002641A">
        <w:rPr>
          <w:rFonts w:ascii="仿宋_GB2312" w:eastAsia="仿宋_GB2312" w:hAnsi="宋体" w:cs="仿宋_GB2312" w:hint="eastAsia"/>
          <w:color w:val="000000"/>
          <w:kern w:val="0"/>
          <w:sz w:val="32"/>
          <w:szCs w:val="32"/>
        </w:rPr>
        <w:t>减少25.1</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sidR="00B73B7D">
        <w:rPr>
          <w:rFonts w:ascii="仿宋_GB2312" w:eastAsia="仿宋_GB2312" w:hAnsi="仿宋" w:hint="eastAsia"/>
          <w:sz w:val="32"/>
          <w:szCs w:val="32"/>
        </w:rPr>
        <w:t>国家下调养老保险缴费比例，缴费总额减少所致</w:t>
      </w:r>
      <w:r>
        <w:rPr>
          <w:rFonts w:ascii="仿宋_GB2312" w:eastAsia="仿宋_GB2312" w:hAnsi="宋体"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Pr="00CC158F" w:rsidRDefault="00DC6A7B" w:rsidP="00CC158F">
      <w:pPr>
        <w:spacing w:line="360" w:lineRule="auto"/>
        <w:ind w:firstLineChars="200" w:firstLine="640"/>
        <w:rPr>
          <w:rFonts w:ascii="仿宋_GB2312" w:eastAsia="仿宋_GB2312" w:hAnsi="仿宋"/>
          <w:sz w:val="32"/>
          <w:szCs w:val="32"/>
        </w:rPr>
      </w:pPr>
      <w:r>
        <w:rPr>
          <w:rFonts w:ascii="仿宋_GB2312" w:eastAsia="仿宋_GB2312" w:hAnsi="宋体" w:cs="仿宋_GB2312"/>
          <w:color w:val="000000"/>
          <w:kern w:val="0"/>
          <w:sz w:val="32"/>
          <w:szCs w:val="32"/>
        </w:rPr>
        <w:t>2019 年财政拨款支出年初预算为</w:t>
      </w:r>
      <w:r w:rsidR="003D06E1">
        <w:rPr>
          <w:rFonts w:ascii="仿宋_GB2312" w:eastAsia="仿宋_GB2312" w:hAnsi="宋体" w:cs="仿宋_GB2312" w:hint="eastAsia"/>
          <w:color w:val="000000"/>
          <w:kern w:val="0"/>
          <w:sz w:val="32"/>
          <w:szCs w:val="32"/>
        </w:rPr>
        <w:t>1397.58</w:t>
      </w:r>
      <w:r>
        <w:rPr>
          <w:rFonts w:ascii="仿宋_GB2312" w:eastAsia="仿宋_GB2312" w:hAnsi="宋体" w:cs="仿宋_GB2312"/>
          <w:color w:val="000000"/>
          <w:kern w:val="0"/>
          <w:sz w:val="32"/>
          <w:szCs w:val="32"/>
        </w:rPr>
        <w:t>万元，支出决算为</w:t>
      </w:r>
      <w:r w:rsidR="003D06E1">
        <w:rPr>
          <w:rFonts w:ascii="仿宋_GB2312" w:eastAsia="仿宋_GB2312" w:hAnsi="宋体" w:cs="仿宋_GB2312" w:hint="eastAsia"/>
          <w:color w:val="000000"/>
          <w:kern w:val="0"/>
          <w:sz w:val="32"/>
          <w:szCs w:val="32"/>
        </w:rPr>
        <w:t>1397.58</w:t>
      </w:r>
      <w:r>
        <w:rPr>
          <w:rFonts w:ascii="仿宋_GB2312" w:eastAsia="仿宋_GB2312" w:hAnsi="宋体" w:cs="仿宋_GB2312"/>
          <w:color w:val="000000"/>
          <w:kern w:val="0"/>
          <w:sz w:val="32"/>
          <w:szCs w:val="32"/>
        </w:rPr>
        <w:t>万元，完成年初预算的</w:t>
      </w:r>
      <w:r w:rsidR="003D06E1">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675DE5" w:rsidRPr="00CC158F" w:rsidRDefault="00906B0D" w:rsidP="00CC158F">
      <w:pPr>
        <w:widowControl/>
        <w:ind w:firstLineChars="200" w:firstLine="640"/>
        <w:jc w:val="left"/>
        <w:rPr>
          <w:rFonts w:ascii="仿宋_GB2312" w:eastAsia="仿宋_GB2312" w:hAnsi="宋体" w:cs="仿宋_GB2312"/>
          <w:color w:val="000000"/>
          <w:kern w:val="0"/>
          <w:sz w:val="32"/>
          <w:szCs w:val="32"/>
        </w:rPr>
      </w:pPr>
      <w:r w:rsidRPr="00CC158F">
        <w:rPr>
          <w:rFonts w:ascii="仿宋_GB2312" w:eastAsia="仿宋_GB2312" w:hAnsi="宋体" w:cs="仿宋_GB2312"/>
          <w:color w:val="000000"/>
          <w:kern w:val="0"/>
          <w:sz w:val="32"/>
          <w:szCs w:val="32"/>
        </w:rPr>
        <w:t>1</w:t>
      </w:r>
      <w:r w:rsidRPr="00CC158F">
        <w:rPr>
          <w:rFonts w:ascii="仿宋_GB2312" w:eastAsia="仿宋_GB2312" w:hAnsi="宋体" w:cs="仿宋_GB2312" w:hint="eastAsia"/>
          <w:color w:val="000000"/>
          <w:kern w:val="0"/>
          <w:sz w:val="32"/>
          <w:szCs w:val="32"/>
        </w:rPr>
        <w:t>、</w:t>
      </w:r>
      <w:r w:rsidR="00DC6A7B" w:rsidRPr="00CC158F">
        <w:rPr>
          <w:rFonts w:ascii="仿宋_GB2312" w:eastAsia="仿宋_GB2312" w:hAnsi="宋体" w:cs="仿宋_GB2312"/>
          <w:color w:val="000000"/>
          <w:kern w:val="0"/>
          <w:sz w:val="32"/>
          <w:szCs w:val="32"/>
        </w:rPr>
        <w:t>一般公共服务支出</w:t>
      </w:r>
      <w:r w:rsidR="007C33E1" w:rsidRPr="00CC158F">
        <w:rPr>
          <w:rFonts w:ascii="仿宋_GB2312" w:eastAsia="仿宋_GB2312" w:hAnsi="宋体" w:cs="仿宋_GB2312" w:hint="eastAsia"/>
          <w:color w:val="000000"/>
          <w:kern w:val="0"/>
          <w:sz w:val="32"/>
          <w:szCs w:val="32"/>
        </w:rPr>
        <w:t>1037.62万元。</w:t>
      </w:r>
      <w:r w:rsidR="007C33E1" w:rsidRPr="00CC158F">
        <w:rPr>
          <w:rFonts w:ascii="仿宋_GB2312" w:eastAsia="仿宋_GB2312" w:hAnsi="宋体" w:cs="仿宋_GB2312"/>
          <w:color w:val="000000"/>
          <w:kern w:val="0"/>
          <w:sz w:val="32"/>
          <w:szCs w:val="32"/>
        </w:rPr>
        <w:t>其中</w:t>
      </w:r>
      <w:r w:rsidR="007C33E1" w:rsidRPr="00CC158F">
        <w:rPr>
          <w:rFonts w:ascii="仿宋_GB2312" w:eastAsia="仿宋_GB2312" w:hAnsi="宋体" w:cs="仿宋_GB2312" w:hint="eastAsia"/>
          <w:color w:val="000000"/>
          <w:kern w:val="0"/>
          <w:sz w:val="32"/>
          <w:szCs w:val="32"/>
        </w:rPr>
        <w:t>：</w:t>
      </w:r>
      <w:r w:rsidR="00DC6A7B" w:rsidRPr="00CC158F">
        <w:rPr>
          <w:rFonts w:ascii="仿宋_GB2312" w:eastAsia="仿宋_GB2312" w:hAnsi="宋体" w:cs="仿宋_GB2312"/>
          <w:color w:val="000000"/>
          <w:kern w:val="0"/>
          <w:sz w:val="32"/>
          <w:szCs w:val="32"/>
        </w:rPr>
        <w:t>财政事务</w:t>
      </w:r>
      <w:r w:rsidR="007C33E1" w:rsidRPr="00CC158F">
        <w:rPr>
          <w:rFonts w:ascii="仿宋_GB2312" w:eastAsia="仿宋_GB2312" w:hAnsi="宋体" w:cs="仿宋_GB2312" w:hint="eastAsia"/>
          <w:color w:val="000000"/>
          <w:kern w:val="0"/>
          <w:sz w:val="32"/>
          <w:szCs w:val="32"/>
        </w:rPr>
        <w:t>1030.47万元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hint="eastAsia"/>
          <w:color w:val="000000"/>
          <w:kern w:val="0"/>
          <w:sz w:val="32"/>
          <w:szCs w:val="32"/>
        </w:rPr>
        <w:t>统计信息事务208万元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hint="eastAsia"/>
          <w:color w:val="000000"/>
          <w:kern w:val="0"/>
          <w:sz w:val="32"/>
          <w:szCs w:val="32"/>
        </w:rPr>
        <w:t>组织事务4.35万元。</w:t>
      </w:r>
      <w:r w:rsidR="007C33E1" w:rsidRPr="00CC158F">
        <w:rPr>
          <w:rFonts w:ascii="仿宋_GB2312" w:eastAsia="仿宋_GB2312" w:hAnsi="宋体" w:cs="仿宋_GB2312"/>
          <w:color w:val="000000"/>
          <w:kern w:val="0"/>
          <w:sz w:val="32"/>
          <w:szCs w:val="32"/>
        </w:rPr>
        <w:t>其中</w:t>
      </w:r>
      <w:r w:rsidR="007C33E1" w:rsidRPr="00CC158F">
        <w:rPr>
          <w:rFonts w:ascii="仿宋_GB2312" w:eastAsia="仿宋_GB2312" w:hAnsi="宋体" w:cs="仿宋_GB2312" w:hint="eastAsia"/>
          <w:color w:val="000000"/>
          <w:kern w:val="0"/>
          <w:sz w:val="32"/>
          <w:szCs w:val="32"/>
        </w:rPr>
        <w:t>：</w:t>
      </w:r>
      <w:r w:rsidR="00DC6A7B" w:rsidRPr="00CC158F">
        <w:rPr>
          <w:rFonts w:ascii="仿宋_GB2312" w:eastAsia="仿宋_GB2312" w:hAnsi="宋体" w:cs="仿宋_GB2312"/>
          <w:color w:val="000000"/>
          <w:kern w:val="0"/>
          <w:sz w:val="32"/>
          <w:szCs w:val="32"/>
        </w:rPr>
        <w:t>行政运行</w:t>
      </w:r>
      <w:r w:rsidR="007C33E1" w:rsidRPr="00CC158F">
        <w:rPr>
          <w:rFonts w:ascii="仿宋_GB2312" w:eastAsia="仿宋_GB2312" w:hAnsi="宋体" w:cs="仿宋_GB2312" w:hint="eastAsia"/>
          <w:color w:val="000000"/>
          <w:kern w:val="0"/>
          <w:sz w:val="32"/>
          <w:szCs w:val="32"/>
        </w:rPr>
        <w:t>725.3万元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color w:val="000000"/>
          <w:kern w:val="0"/>
          <w:sz w:val="32"/>
          <w:szCs w:val="32"/>
        </w:rPr>
        <w:t>信息事务</w:t>
      </w:r>
      <w:r w:rsidR="007C33E1" w:rsidRPr="00CC158F">
        <w:rPr>
          <w:rFonts w:ascii="仿宋_GB2312" w:eastAsia="仿宋_GB2312" w:hAnsi="宋体" w:cs="仿宋_GB2312" w:hint="eastAsia"/>
          <w:color w:val="000000"/>
          <w:kern w:val="0"/>
          <w:sz w:val="32"/>
          <w:szCs w:val="32"/>
        </w:rPr>
        <w:t>2.8万元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hint="eastAsia"/>
          <w:color w:val="000000"/>
          <w:kern w:val="0"/>
          <w:sz w:val="32"/>
          <w:szCs w:val="32"/>
        </w:rPr>
        <w:t>一般行政管理事务117.15万元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hint="eastAsia"/>
          <w:color w:val="000000"/>
          <w:kern w:val="0"/>
          <w:sz w:val="32"/>
          <w:szCs w:val="32"/>
        </w:rPr>
        <w:t>财政国库业务8万元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hint="eastAsia"/>
          <w:color w:val="000000"/>
          <w:kern w:val="0"/>
          <w:sz w:val="32"/>
          <w:szCs w:val="32"/>
        </w:rPr>
        <w:t>财政监察5万元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hint="eastAsia"/>
          <w:color w:val="000000"/>
          <w:kern w:val="0"/>
          <w:sz w:val="32"/>
          <w:szCs w:val="32"/>
        </w:rPr>
        <w:t>信息化建设41万元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hint="eastAsia"/>
          <w:color w:val="000000"/>
          <w:kern w:val="0"/>
          <w:sz w:val="32"/>
          <w:szCs w:val="32"/>
        </w:rPr>
        <w:t>其他财政事务支出134.02万元</w:t>
      </w:r>
      <w:r w:rsidR="00675DE5" w:rsidRPr="00CC158F">
        <w:rPr>
          <w:rFonts w:ascii="仿宋_GB2312" w:eastAsia="仿宋_GB2312" w:hAnsi="宋体" w:cs="仿宋_GB2312" w:hint="eastAsia"/>
          <w:color w:val="000000"/>
          <w:kern w:val="0"/>
          <w:sz w:val="32"/>
          <w:szCs w:val="32"/>
        </w:rPr>
        <w:t>；</w:t>
      </w:r>
      <w:r w:rsidR="007C33E1" w:rsidRPr="00CC158F">
        <w:rPr>
          <w:rFonts w:ascii="仿宋_GB2312" w:eastAsia="仿宋_GB2312" w:hAnsi="宋体" w:cs="仿宋_GB2312" w:hint="eastAsia"/>
          <w:color w:val="000000"/>
          <w:kern w:val="0"/>
          <w:sz w:val="32"/>
          <w:szCs w:val="32"/>
        </w:rPr>
        <w:t>公务员事务4.35万元</w:t>
      </w:r>
      <w:r w:rsidR="00DC6A7B" w:rsidRPr="00CC158F">
        <w:rPr>
          <w:rFonts w:ascii="仿宋_GB2312" w:eastAsia="仿宋_GB2312" w:hAnsi="宋体" w:cs="仿宋_GB2312"/>
          <w:color w:val="000000"/>
          <w:kern w:val="0"/>
          <w:sz w:val="32"/>
          <w:szCs w:val="32"/>
        </w:rPr>
        <w:t>。</w:t>
      </w:r>
    </w:p>
    <w:p w:rsidR="00906B0D" w:rsidRPr="00CC158F" w:rsidRDefault="00906B0D" w:rsidP="00CC158F">
      <w:pPr>
        <w:widowControl/>
        <w:ind w:firstLineChars="200" w:firstLine="640"/>
        <w:jc w:val="left"/>
        <w:rPr>
          <w:rFonts w:ascii="仿宋_GB2312" w:eastAsia="仿宋_GB2312" w:hAnsi="宋体" w:cs="仿宋_GB2312"/>
          <w:color w:val="000000"/>
          <w:kern w:val="0"/>
          <w:sz w:val="32"/>
          <w:szCs w:val="32"/>
        </w:rPr>
      </w:pPr>
      <w:r w:rsidRPr="00CC158F">
        <w:rPr>
          <w:rFonts w:ascii="仿宋_GB2312" w:eastAsia="仿宋_GB2312" w:hAnsi="宋体" w:cs="仿宋_GB2312" w:hint="eastAsia"/>
          <w:color w:val="000000"/>
          <w:kern w:val="0"/>
          <w:sz w:val="32"/>
          <w:szCs w:val="32"/>
        </w:rPr>
        <w:lastRenderedPageBreak/>
        <w:t>2、</w:t>
      </w:r>
      <w:r w:rsidR="00675DE5" w:rsidRPr="00CC158F">
        <w:rPr>
          <w:rFonts w:ascii="仿宋_GB2312" w:eastAsia="仿宋_GB2312" w:hAnsi="宋体" w:cs="仿宋_GB2312" w:hint="eastAsia"/>
          <w:color w:val="000000"/>
          <w:kern w:val="0"/>
          <w:sz w:val="32"/>
          <w:szCs w:val="32"/>
        </w:rPr>
        <w:t>社会保障和就业支出155.04万元，</w:t>
      </w:r>
      <w:r w:rsidRPr="00CC158F">
        <w:rPr>
          <w:rFonts w:ascii="仿宋_GB2312" w:eastAsia="仿宋_GB2312" w:hAnsi="宋体" w:cs="仿宋_GB2312" w:hint="eastAsia"/>
          <w:color w:val="000000"/>
          <w:kern w:val="0"/>
          <w:sz w:val="32"/>
          <w:szCs w:val="32"/>
        </w:rPr>
        <w:t>其中：基本养老保险缴费支出146.33万元；职业年金缴费支出8.71万元。</w:t>
      </w:r>
    </w:p>
    <w:p w:rsidR="002A7DC6" w:rsidRPr="00CC158F" w:rsidRDefault="00906B0D" w:rsidP="00CC158F">
      <w:pPr>
        <w:widowControl/>
        <w:ind w:firstLineChars="200" w:firstLine="640"/>
        <w:jc w:val="left"/>
        <w:rPr>
          <w:rFonts w:ascii="仿宋_GB2312" w:eastAsia="仿宋_GB2312" w:hAnsi="宋体" w:cs="仿宋_GB2312"/>
          <w:color w:val="000000"/>
          <w:kern w:val="0"/>
          <w:sz w:val="32"/>
          <w:szCs w:val="32"/>
        </w:rPr>
      </w:pPr>
      <w:r w:rsidRPr="00CC158F">
        <w:rPr>
          <w:rFonts w:ascii="仿宋_GB2312" w:eastAsia="仿宋_GB2312" w:hAnsi="宋体" w:cs="仿宋_GB2312" w:hint="eastAsia"/>
          <w:color w:val="000000"/>
          <w:kern w:val="0"/>
          <w:sz w:val="32"/>
          <w:szCs w:val="32"/>
        </w:rPr>
        <w:t>3、卫生健康支出37.54万元,其中:行政单位医疗支出37.54万元。</w:t>
      </w:r>
      <w:r w:rsidR="00DC6A7B" w:rsidRPr="00CC158F">
        <w:rPr>
          <w:rFonts w:ascii="仿宋_GB2312" w:eastAsia="仿宋_GB2312" w:hAnsi="宋体" w:cs="仿宋_GB2312"/>
          <w:color w:val="000000"/>
          <w:kern w:val="0"/>
          <w:sz w:val="32"/>
          <w:szCs w:val="32"/>
        </w:rPr>
        <w:t xml:space="preserve"> </w:t>
      </w:r>
    </w:p>
    <w:p w:rsidR="00906B0D" w:rsidRPr="00CC158F" w:rsidRDefault="00906B0D" w:rsidP="00CC158F">
      <w:pPr>
        <w:widowControl/>
        <w:ind w:firstLineChars="200" w:firstLine="640"/>
        <w:jc w:val="left"/>
        <w:rPr>
          <w:rFonts w:ascii="仿宋_GB2312" w:eastAsia="仿宋_GB2312" w:hAnsi="宋体" w:cs="仿宋_GB2312"/>
          <w:color w:val="000000"/>
          <w:kern w:val="0"/>
          <w:sz w:val="32"/>
          <w:szCs w:val="32"/>
        </w:rPr>
      </w:pPr>
      <w:r w:rsidRPr="00CC158F">
        <w:rPr>
          <w:rFonts w:ascii="仿宋_GB2312" w:eastAsia="仿宋_GB2312" w:hAnsi="宋体" w:cs="仿宋_GB2312" w:hint="eastAsia"/>
          <w:color w:val="000000"/>
          <w:kern w:val="0"/>
          <w:sz w:val="32"/>
          <w:szCs w:val="32"/>
        </w:rPr>
        <w:t>4、农林水支出129.32万元，其中：农业支出10万元；水利支出46.32万元；扶贫支出43万元；普惠金融发展支出30万元</w:t>
      </w:r>
      <w:r w:rsidR="00CC158F" w:rsidRPr="00CC158F">
        <w:rPr>
          <w:rFonts w:ascii="仿宋_GB2312" w:eastAsia="仿宋_GB2312" w:hAnsi="宋体" w:cs="仿宋_GB2312" w:hint="eastAsia"/>
          <w:color w:val="000000"/>
          <w:kern w:val="0"/>
          <w:sz w:val="32"/>
          <w:szCs w:val="32"/>
        </w:rPr>
        <w:t>。</w:t>
      </w:r>
    </w:p>
    <w:p w:rsidR="00CC158F" w:rsidRPr="00CC158F" w:rsidRDefault="00CC158F" w:rsidP="00CC158F">
      <w:pPr>
        <w:widowControl/>
        <w:ind w:firstLineChars="200" w:firstLine="640"/>
        <w:jc w:val="left"/>
      </w:pPr>
      <w:r w:rsidRPr="00CC158F">
        <w:rPr>
          <w:rFonts w:ascii="仿宋_GB2312" w:eastAsia="仿宋_GB2312" w:hAnsi="宋体" w:cs="仿宋_GB2312" w:hint="eastAsia"/>
          <w:color w:val="000000"/>
          <w:kern w:val="0"/>
          <w:sz w:val="32"/>
          <w:szCs w:val="32"/>
        </w:rPr>
        <w:t>5、住房保障支出38.06万元。</w:t>
      </w:r>
    </w:p>
    <w:p w:rsidR="002A7DC6" w:rsidRPr="00CC158F" w:rsidRDefault="00CC158F" w:rsidP="00CC158F">
      <w:pPr>
        <w:widowControl/>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以上支出</w:t>
      </w:r>
      <w:r w:rsidR="00DC6A7B">
        <w:rPr>
          <w:rFonts w:ascii="仿宋_GB2312" w:eastAsia="仿宋_GB2312" w:hAnsi="宋体" w:cs="仿宋_GB2312"/>
          <w:color w:val="000000"/>
          <w:kern w:val="0"/>
          <w:sz w:val="32"/>
          <w:szCs w:val="32"/>
        </w:rPr>
        <w:t>决算数</w:t>
      </w:r>
      <w:r w:rsidR="00DC6A7B">
        <w:rPr>
          <w:rFonts w:ascii="仿宋_GB2312" w:eastAsia="仿宋_GB2312" w:hAnsi="宋体" w:cs="仿宋_GB2312" w:hint="eastAsia"/>
          <w:color w:val="000000"/>
          <w:kern w:val="0"/>
          <w:sz w:val="32"/>
          <w:szCs w:val="32"/>
        </w:rPr>
        <w:t>与</w:t>
      </w:r>
      <w:r w:rsidR="00DC6A7B">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p>
    <w:p w:rsidR="002A7DC6" w:rsidRDefault="00DC6A7B">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2A7DC6" w:rsidRDefault="00DC6A7B" w:rsidP="00E95FD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sidR="00805BF4">
        <w:rPr>
          <w:rFonts w:ascii="仿宋_GB2312" w:eastAsia="仿宋_GB2312" w:hAnsi="仿宋_GB2312" w:cs="仿宋_GB2312" w:hint="eastAsia"/>
          <w:color w:val="000000"/>
          <w:kern w:val="0"/>
          <w:sz w:val="31"/>
          <w:szCs w:val="31"/>
        </w:rPr>
        <w:t>1150.11</w:t>
      </w:r>
      <w:r>
        <w:rPr>
          <w:rFonts w:ascii="仿宋_GB2312" w:eastAsia="仿宋_GB2312" w:hAnsi="仿宋_GB2312" w:cs="仿宋_GB2312"/>
          <w:color w:val="000000"/>
          <w:kern w:val="0"/>
          <w:sz w:val="31"/>
          <w:szCs w:val="31"/>
        </w:rPr>
        <w:t>万元，包括：人员经费支出</w:t>
      </w:r>
      <w:r w:rsidR="00805BF4">
        <w:rPr>
          <w:rFonts w:ascii="仿宋_GB2312" w:eastAsia="仿宋_GB2312" w:hAnsi="仿宋_GB2312" w:cs="仿宋_GB2312" w:hint="eastAsia"/>
          <w:color w:val="000000"/>
          <w:kern w:val="0"/>
          <w:sz w:val="31"/>
          <w:szCs w:val="31"/>
        </w:rPr>
        <w:t>1092.05</w:t>
      </w:r>
      <w:r>
        <w:rPr>
          <w:rFonts w:ascii="仿宋_GB2312" w:eastAsia="仿宋_GB2312" w:hAnsi="仿宋_GB2312" w:cs="仿宋_GB2312"/>
          <w:color w:val="000000"/>
          <w:kern w:val="0"/>
          <w:sz w:val="31"/>
          <w:szCs w:val="31"/>
        </w:rPr>
        <w:t>万元和公用经费支出</w:t>
      </w:r>
      <w:r w:rsidR="00805BF4">
        <w:rPr>
          <w:rFonts w:ascii="仿宋_GB2312" w:eastAsia="仿宋_GB2312" w:hAnsi="仿宋_GB2312" w:cs="仿宋_GB2312" w:hint="eastAsia"/>
          <w:color w:val="000000"/>
          <w:kern w:val="0"/>
          <w:sz w:val="31"/>
          <w:szCs w:val="31"/>
        </w:rPr>
        <w:t>58.06</w:t>
      </w:r>
      <w:r>
        <w:rPr>
          <w:rFonts w:ascii="仿宋_GB2312" w:eastAsia="仿宋_GB2312" w:hAnsi="仿宋_GB2312" w:cs="仿宋_GB2312"/>
          <w:color w:val="000000"/>
          <w:kern w:val="0"/>
          <w:sz w:val="31"/>
          <w:szCs w:val="31"/>
        </w:rPr>
        <w:t>万元。</w:t>
      </w:r>
    </w:p>
    <w:p w:rsidR="002A7DC6" w:rsidRDefault="00DC6A7B" w:rsidP="006A333F">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sidR="00805BF4">
        <w:rPr>
          <w:rFonts w:ascii="仿宋_GB2312" w:eastAsia="仿宋_GB2312" w:hAnsi="宋体" w:cs="仿宋_GB2312" w:hint="eastAsia"/>
          <w:color w:val="000000"/>
          <w:kern w:val="0"/>
          <w:sz w:val="32"/>
          <w:szCs w:val="32"/>
        </w:rPr>
        <w:t>1092.05</w:t>
      </w:r>
      <w:r>
        <w:rPr>
          <w:rFonts w:ascii="仿宋_GB2312" w:eastAsia="仿宋_GB2312" w:hAnsi="宋体" w:cs="仿宋_GB2312"/>
          <w:color w:val="000000"/>
          <w:kern w:val="0"/>
          <w:sz w:val="32"/>
          <w:szCs w:val="32"/>
        </w:rPr>
        <w:t>万元，主要包括基本工资</w:t>
      </w:r>
      <w:r w:rsidR="00805BF4">
        <w:rPr>
          <w:rFonts w:ascii="仿宋_GB2312" w:eastAsia="仿宋_GB2312" w:hAnsi="宋体" w:cs="仿宋_GB2312" w:hint="eastAsia"/>
          <w:color w:val="000000"/>
          <w:kern w:val="0"/>
          <w:sz w:val="32"/>
          <w:szCs w:val="32"/>
        </w:rPr>
        <w:t>377.69</w:t>
      </w:r>
      <w:r>
        <w:rPr>
          <w:rFonts w:ascii="仿宋_GB2312" w:eastAsia="仿宋_GB2312" w:hAnsi="宋体" w:cs="仿宋_GB2312" w:hint="eastAsia"/>
          <w:color w:val="000000"/>
          <w:kern w:val="0"/>
          <w:sz w:val="32"/>
          <w:szCs w:val="32"/>
        </w:rPr>
        <w:t>万元</w:t>
      </w:r>
      <w:r w:rsidR="00805BF4">
        <w:rPr>
          <w:rFonts w:ascii="仿宋_GB2312" w:eastAsia="仿宋_GB2312" w:hAnsi="宋体" w:cs="仿宋_GB2312" w:hint="eastAsia"/>
          <w:color w:val="000000"/>
          <w:kern w:val="0"/>
          <w:sz w:val="32"/>
          <w:szCs w:val="32"/>
        </w:rPr>
        <w:t>，津贴补贴327.10万元，奖金20.51万元，养老保险缴费146.33万元，职业年金缴费8.71万元，基本医疗保险缴费37.54万元，住房公积金缴费38.06万元，对个人和</w:t>
      </w:r>
      <w:r w:rsidR="007B2281">
        <w:rPr>
          <w:rFonts w:ascii="仿宋_GB2312" w:eastAsia="仿宋_GB2312" w:hAnsi="宋体" w:cs="仿宋_GB2312" w:hint="eastAsia"/>
          <w:color w:val="000000"/>
          <w:kern w:val="0"/>
          <w:sz w:val="32"/>
          <w:szCs w:val="32"/>
        </w:rPr>
        <w:t>家庭的</w:t>
      </w:r>
      <w:r w:rsidR="00805BF4">
        <w:rPr>
          <w:rFonts w:ascii="仿宋_GB2312" w:eastAsia="仿宋_GB2312" w:hAnsi="宋体" w:cs="仿宋_GB2312" w:hint="eastAsia"/>
          <w:color w:val="000000"/>
          <w:kern w:val="0"/>
          <w:sz w:val="32"/>
          <w:szCs w:val="32"/>
        </w:rPr>
        <w:t>生活补贴</w:t>
      </w:r>
      <w:r w:rsidR="007B2281">
        <w:rPr>
          <w:rFonts w:ascii="仿宋_GB2312" w:eastAsia="仿宋_GB2312" w:hAnsi="宋体" w:cs="仿宋_GB2312" w:hint="eastAsia"/>
          <w:color w:val="000000"/>
          <w:kern w:val="0"/>
          <w:sz w:val="32"/>
          <w:szCs w:val="32"/>
        </w:rPr>
        <w:t>96.12万元，对个人和家庭的农业生产补贴40万元</w:t>
      </w:r>
      <w:r>
        <w:rPr>
          <w:rFonts w:ascii="仿宋_GB2312" w:eastAsia="仿宋_GB2312" w:hAnsi="宋体" w:cs="仿宋_GB2312" w:hint="eastAsia"/>
          <w:color w:val="000000"/>
          <w:kern w:val="0"/>
          <w:sz w:val="32"/>
          <w:szCs w:val="32"/>
        </w:rPr>
        <w:t>。</w:t>
      </w:r>
    </w:p>
    <w:p w:rsidR="002A7DC6" w:rsidRDefault="00DC6A7B" w:rsidP="006A333F">
      <w:pPr>
        <w:widowControl/>
        <w:ind w:firstLineChars="200" w:firstLine="643"/>
        <w:jc w:val="left"/>
      </w:pPr>
      <w:r>
        <w:rPr>
          <w:rFonts w:ascii="仿宋_GB2312" w:eastAsia="仿宋_GB2312" w:hAnsi="宋体" w:cs="仿宋_GB2312"/>
          <w:b/>
          <w:bCs/>
          <w:color w:val="000000"/>
          <w:kern w:val="0"/>
          <w:sz w:val="32"/>
          <w:szCs w:val="32"/>
        </w:rPr>
        <w:t>公用经费</w:t>
      </w:r>
      <w:r w:rsidR="00B67596">
        <w:rPr>
          <w:rFonts w:ascii="仿宋_GB2312" w:eastAsia="仿宋_GB2312" w:hAnsi="宋体" w:cs="仿宋_GB2312" w:hint="eastAsia"/>
          <w:color w:val="000000"/>
          <w:kern w:val="0"/>
          <w:sz w:val="32"/>
          <w:szCs w:val="32"/>
        </w:rPr>
        <w:t>58.06</w:t>
      </w:r>
      <w:r>
        <w:rPr>
          <w:rFonts w:ascii="仿宋_GB2312" w:eastAsia="仿宋_GB2312" w:hAnsi="宋体" w:cs="仿宋_GB2312"/>
          <w:color w:val="000000"/>
          <w:kern w:val="0"/>
          <w:sz w:val="32"/>
          <w:szCs w:val="32"/>
        </w:rPr>
        <w:t>万元，主要包括办公费</w:t>
      </w:r>
      <w:r w:rsidR="00B67596">
        <w:rPr>
          <w:rFonts w:ascii="仿宋_GB2312" w:eastAsia="仿宋_GB2312" w:hAnsi="宋体" w:cs="仿宋_GB2312" w:hint="eastAsia"/>
          <w:color w:val="000000"/>
          <w:kern w:val="0"/>
          <w:sz w:val="32"/>
          <w:szCs w:val="32"/>
        </w:rPr>
        <w:t>12</w:t>
      </w:r>
      <w:r>
        <w:rPr>
          <w:rFonts w:ascii="仿宋_GB2312" w:eastAsia="仿宋_GB2312" w:hAnsi="宋体" w:cs="仿宋_GB2312" w:hint="eastAsia"/>
          <w:color w:val="000000"/>
          <w:kern w:val="0"/>
          <w:sz w:val="32"/>
          <w:szCs w:val="32"/>
        </w:rPr>
        <w:t>万元</w:t>
      </w:r>
      <w:r w:rsidR="00B67596">
        <w:rPr>
          <w:rFonts w:ascii="仿宋_GB2312" w:eastAsia="仿宋_GB2312" w:hAnsi="宋体" w:cs="仿宋_GB2312" w:hint="eastAsia"/>
          <w:color w:val="000000"/>
          <w:kern w:val="0"/>
          <w:sz w:val="32"/>
          <w:szCs w:val="32"/>
        </w:rPr>
        <w:t>，水电费5万元，差旅费5万元，</w:t>
      </w:r>
      <w:r w:rsidR="00843ED2">
        <w:rPr>
          <w:rFonts w:ascii="仿宋_GB2312" w:eastAsia="仿宋_GB2312" w:hAnsi="宋体" w:cs="仿宋_GB2312" w:hint="eastAsia"/>
          <w:color w:val="000000"/>
          <w:kern w:val="0"/>
          <w:sz w:val="32"/>
          <w:szCs w:val="32"/>
        </w:rPr>
        <w:t>维修费2</w:t>
      </w:r>
      <w:r w:rsidR="007B2D33">
        <w:rPr>
          <w:rFonts w:ascii="仿宋_GB2312" w:eastAsia="仿宋_GB2312" w:hAnsi="宋体" w:cs="仿宋_GB2312" w:hint="eastAsia"/>
          <w:color w:val="000000"/>
          <w:kern w:val="0"/>
          <w:sz w:val="32"/>
          <w:szCs w:val="32"/>
        </w:rPr>
        <w:t>0.54</w:t>
      </w:r>
      <w:r w:rsidR="00843ED2">
        <w:rPr>
          <w:rFonts w:ascii="仿宋_GB2312" w:eastAsia="仿宋_GB2312" w:hAnsi="宋体" w:cs="仿宋_GB2312" w:hint="eastAsia"/>
          <w:color w:val="000000"/>
          <w:kern w:val="0"/>
          <w:sz w:val="32"/>
          <w:szCs w:val="32"/>
        </w:rPr>
        <w:t>万元，</w:t>
      </w:r>
      <w:r w:rsidR="007B2D33">
        <w:rPr>
          <w:rFonts w:ascii="仿宋_GB2312" w:eastAsia="仿宋_GB2312" w:hAnsi="宋体" w:cs="仿宋_GB2312" w:hint="eastAsia"/>
          <w:color w:val="000000"/>
          <w:kern w:val="0"/>
          <w:sz w:val="32"/>
          <w:szCs w:val="32"/>
        </w:rPr>
        <w:t>车辆运行费3.37万元，</w:t>
      </w:r>
      <w:r w:rsidR="00843ED2">
        <w:rPr>
          <w:rFonts w:ascii="仿宋_GB2312" w:eastAsia="仿宋_GB2312" w:hAnsi="宋体" w:cs="仿宋_GB2312" w:hint="eastAsia"/>
          <w:color w:val="000000"/>
          <w:kern w:val="0"/>
          <w:sz w:val="32"/>
          <w:szCs w:val="32"/>
        </w:rPr>
        <w:t>培训费9.35万元。</w:t>
      </w:r>
    </w:p>
    <w:p w:rsidR="002A7DC6" w:rsidRDefault="00DC6A7B">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lastRenderedPageBreak/>
        <w:t xml:space="preserve">七、一般公共预算财政拨款“三公”经费及会议费、培训费支出决算情况说明 </w:t>
      </w:r>
    </w:p>
    <w:p w:rsidR="002A7DC6" w:rsidRPr="008152F7" w:rsidRDefault="00DC6A7B" w:rsidP="008152F7">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sidR="008152F7">
        <w:rPr>
          <w:rFonts w:ascii="仿宋_GB2312" w:eastAsia="仿宋_GB2312" w:hAnsi="宋体" w:cs="仿宋_GB2312" w:hint="eastAsia"/>
          <w:color w:val="000000"/>
          <w:kern w:val="0"/>
          <w:sz w:val="32"/>
          <w:szCs w:val="32"/>
        </w:rPr>
        <w:t>3.37</w:t>
      </w:r>
      <w:r>
        <w:rPr>
          <w:rFonts w:ascii="仿宋_GB2312" w:eastAsia="仿宋_GB2312" w:hAnsi="宋体" w:cs="仿宋_GB2312"/>
          <w:color w:val="000000"/>
          <w:kern w:val="0"/>
          <w:sz w:val="32"/>
          <w:szCs w:val="32"/>
        </w:rPr>
        <w:t>万元，支出决算为</w:t>
      </w:r>
      <w:r w:rsidR="008152F7">
        <w:rPr>
          <w:rFonts w:ascii="仿宋_GB2312" w:eastAsia="仿宋_GB2312" w:hAnsi="宋体" w:cs="仿宋_GB2312" w:hint="eastAsia"/>
          <w:color w:val="000000"/>
          <w:kern w:val="0"/>
          <w:sz w:val="32"/>
          <w:szCs w:val="32"/>
        </w:rPr>
        <w:t>3.37</w:t>
      </w:r>
      <w:r>
        <w:rPr>
          <w:rFonts w:ascii="仿宋_GB2312" w:eastAsia="仿宋_GB2312" w:hAnsi="宋体" w:cs="仿宋_GB2312"/>
          <w:color w:val="000000"/>
          <w:kern w:val="0"/>
          <w:sz w:val="32"/>
          <w:szCs w:val="32"/>
        </w:rPr>
        <w:t>万元，完成预算的</w:t>
      </w:r>
      <w:r w:rsidR="008152F7">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sidR="008152F7">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sidR="008152F7">
        <w:rPr>
          <w:rFonts w:ascii="仿宋_GB2312" w:eastAsia="仿宋_GB2312" w:hAnsi="宋体" w:cs="仿宋_GB2312" w:hint="eastAsia"/>
          <w:color w:val="000000"/>
          <w:kern w:val="0"/>
          <w:sz w:val="32"/>
          <w:szCs w:val="32"/>
        </w:rPr>
        <w:t>持平</w:t>
      </w:r>
      <w:r>
        <w:rPr>
          <w:rFonts w:ascii="仿宋_GB2312" w:eastAsia="仿宋_GB2312" w:hAnsi="宋体"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sidR="008152F7">
        <w:rPr>
          <w:rFonts w:ascii="仿宋_GB2312" w:eastAsia="仿宋_GB2312" w:hAnsi="宋体" w:cs="仿宋_GB2312" w:hint="eastAsia"/>
          <w:color w:val="000000"/>
          <w:kern w:val="0"/>
          <w:sz w:val="32"/>
          <w:szCs w:val="32"/>
        </w:rPr>
        <w:t>0</w:t>
      </w:r>
      <w:r w:rsidR="008152F7">
        <w:rPr>
          <w:rFonts w:ascii="仿宋_GB2312" w:eastAsia="仿宋_GB2312" w:hAnsi="宋体" w:cs="仿宋_GB2312"/>
          <w:color w:val="000000"/>
          <w:kern w:val="0"/>
          <w:sz w:val="32"/>
          <w:szCs w:val="32"/>
        </w:rPr>
        <w:t>万元</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w:t>
      </w:r>
      <w:r w:rsidR="008152F7">
        <w:rPr>
          <w:rFonts w:ascii="仿宋_GB2312" w:eastAsia="仿宋_GB2312" w:hAnsi="宋体" w:cs="仿宋_GB2312" w:hint="eastAsia"/>
          <w:color w:val="000000"/>
          <w:kern w:val="0"/>
          <w:sz w:val="32"/>
          <w:szCs w:val="32"/>
        </w:rPr>
        <w:t>0万元</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sidR="008152F7">
        <w:rPr>
          <w:rFonts w:ascii="仿宋_GB2312" w:eastAsia="仿宋_GB2312" w:hAnsi="宋体" w:cs="仿宋_GB2312" w:hint="eastAsia"/>
          <w:color w:val="000000"/>
          <w:kern w:val="0"/>
          <w:sz w:val="32"/>
          <w:szCs w:val="32"/>
        </w:rPr>
        <w:t>3.37</w:t>
      </w:r>
      <w:r>
        <w:rPr>
          <w:rFonts w:ascii="仿宋_GB2312" w:eastAsia="仿宋_GB2312" w:hAnsi="宋体" w:cs="仿宋_GB2312"/>
          <w:color w:val="000000"/>
          <w:kern w:val="0"/>
          <w:sz w:val="32"/>
          <w:szCs w:val="32"/>
        </w:rPr>
        <w:t>万元，占</w:t>
      </w:r>
      <w:r w:rsidR="008152F7">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%。具体情况如下：</w:t>
      </w:r>
    </w:p>
    <w:p w:rsidR="002A7DC6" w:rsidRDefault="00DC6A7B" w:rsidP="006A333F">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pPr>
      <w:r>
        <w:rPr>
          <w:rFonts w:ascii="仿宋_GB2312" w:eastAsia="仿宋_GB2312" w:hAnsi="仿宋" w:hint="eastAsia"/>
          <w:sz w:val="32"/>
          <w:szCs w:val="32"/>
        </w:rPr>
        <w:t>2019年因公出国（境）团组</w:t>
      </w:r>
      <w:r w:rsidR="008152F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sidR="008152F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8152F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8152F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2A7DC6" w:rsidRDefault="00DC6A7B" w:rsidP="006A333F">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pPr>
      <w:r>
        <w:rPr>
          <w:rFonts w:ascii="仿宋_GB2312" w:eastAsia="仿宋_GB2312" w:hAnsi="仿宋" w:hint="eastAsia"/>
          <w:sz w:val="32"/>
          <w:szCs w:val="32"/>
        </w:rPr>
        <w:t>2019年购置车辆</w:t>
      </w:r>
      <w:r w:rsidR="008152F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rPr>
        <w:t>预算为</w:t>
      </w:r>
      <w:r w:rsidR="008152F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8152F7">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2A7DC6" w:rsidRDefault="00DC6A7B" w:rsidP="006A333F">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sidR="008152F7">
        <w:rPr>
          <w:rFonts w:ascii="仿宋_GB2312" w:eastAsia="仿宋_GB2312" w:hAnsi="宋体" w:cs="仿宋_GB2312" w:hint="eastAsia"/>
          <w:color w:val="000000"/>
          <w:kern w:val="0"/>
          <w:sz w:val="32"/>
          <w:szCs w:val="32"/>
        </w:rPr>
        <w:t>3.37</w:t>
      </w:r>
      <w:r>
        <w:rPr>
          <w:rFonts w:ascii="仿宋_GB2312" w:eastAsia="仿宋_GB2312" w:hAnsi="宋体" w:cs="仿宋_GB2312"/>
          <w:color w:val="000000"/>
          <w:kern w:val="0"/>
          <w:sz w:val="32"/>
          <w:szCs w:val="32"/>
        </w:rPr>
        <w:t>万元，支出决算为</w:t>
      </w:r>
      <w:r w:rsidR="008152F7">
        <w:rPr>
          <w:rFonts w:ascii="仿宋_GB2312" w:eastAsia="仿宋_GB2312" w:hAnsi="宋体" w:cs="仿宋_GB2312" w:hint="eastAsia"/>
          <w:color w:val="000000"/>
          <w:kern w:val="0"/>
          <w:sz w:val="32"/>
          <w:szCs w:val="32"/>
        </w:rPr>
        <w:t>3.37</w:t>
      </w:r>
      <w:r>
        <w:rPr>
          <w:rFonts w:ascii="仿宋_GB2312" w:eastAsia="仿宋_GB2312" w:hAnsi="宋体" w:cs="仿宋_GB2312"/>
          <w:color w:val="000000"/>
          <w:kern w:val="0"/>
          <w:sz w:val="32"/>
          <w:szCs w:val="32"/>
        </w:rPr>
        <w:t>万元，完成预算的</w:t>
      </w:r>
      <w:r w:rsidR="008152F7">
        <w:rPr>
          <w:rFonts w:ascii="仿宋_GB2312" w:eastAsia="仿宋_GB2312" w:hAnsi="宋体" w:cs="仿宋_GB2312" w:hint="eastAsia"/>
          <w:color w:val="000000"/>
          <w:kern w:val="0"/>
          <w:sz w:val="32"/>
          <w:szCs w:val="32"/>
        </w:rPr>
        <w:t>100</w:t>
      </w:r>
      <w:r>
        <w:rPr>
          <w:rFonts w:ascii="仿宋_GB2312" w:eastAsia="仿宋_GB2312" w:hAnsi="宋体" w:cs="仿宋_GB2312" w:hint="eastAsia"/>
          <w:color w:val="000000"/>
          <w:kern w:val="0"/>
          <w:sz w:val="32"/>
          <w:szCs w:val="32"/>
        </w:rPr>
        <w:t>%。</w:t>
      </w:r>
    </w:p>
    <w:p w:rsidR="002A7DC6" w:rsidRDefault="00DC6A7B" w:rsidP="006A333F">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sidR="009F6B8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sidR="009F6B8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9F6B86">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9F6B86">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w:t>
      </w:r>
    </w:p>
    <w:p w:rsidR="002A7DC6" w:rsidRDefault="00DC6A7B">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（三）培训费支出情况说明。</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sidR="009F6B86">
        <w:rPr>
          <w:rFonts w:ascii="仿宋_GB2312" w:eastAsia="仿宋_GB2312" w:hAnsi="宋体" w:cs="仿宋_GB2312" w:hint="eastAsia"/>
          <w:color w:val="000000"/>
          <w:kern w:val="0"/>
          <w:sz w:val="32"/>
          <w:szCs w:val="32"/>
        </w:rPr>
        <w:t>9.35</w:t>
      </w:r>
      <w:r>
        <w:rPr>
          <w:rFonts w:ascii="仿宋_GB2312" w:eastAsia="仿宋_GB2312" w:hAnsi="宋体" w:cs="仿宋_GB2312"/>
          <w:color w:val="000000"/>
          <w:kern w:val="0"/>
          <w:sz w:val="32"/>
          <w:szCs w:val="32"/>
        </w:rPr>
        <w:t>万元，支出决算为</w:t>
      </w:r>
      <w:r w:rsidR="009F6B86">
        <w:rPr>
          <w:rFonts w:ascii="仿宋_GB2312" w:eastAsia="仿宋_GB2312" w:hAnsi="宋体" w:cs="仿宋_GB2312" w:hint="eastAsia"/>
          <w:color w:val="000000"/>
          <w:kern w:val="0"/>
          <w:sz w:val="32"/>
          <w:szCs w:val="32"/>
        </w:rPr>
        <w:t>9.35</w:t>
      </w:r>
      <w:r>
        <w:rPr>
          <w:rFonts w:ascii="仿宋_GB2312" w:eastAsia="仿宋_GB2312" w:hAnsi="宋体" w:cs="仿宋_GB2312"/>
          <w:color w:val="000000"/>
          <w:kern w:val="0"/>
          <w:sz w:val="32"/>
          <w:szCs w:val="32"/>
        </w:rPr>
        <w:t>万元，完成预算的</w:t>
      </w:r>
      <w:r w:rsidR="009F6B86">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2A7DC6" w:rsidRPr="007E2125"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sidR="00DC026A">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DC026A">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sidRPr="007E2125">
        <w:rPr>
          <w:rFonts w:ascii="仿宋_GB2312" w:eastAsia="仿宋_GB2312" w:hAnsi="宋体" w:cs="仿宋_GB2312" w:hint="eastAsia"/>
          <w:color w:val="000000"/>
          <w:kern w:val="0"/>
          <w:sz w:val="32"/>
          <w:szCs w:val="32"/>
        </w:rPr>
        <w:t>。</w:t>
      </w:r>
    </w:p>
    <w:p w:rsidR="002A7DC6" w:rsidRPr="007E2125" w:rsidRDefault="00DC6A7B">
      <w:pPr>
        <w:ind w:firstLineChars="200" w:firstLine="640"/>
        <w:rPr>
          <w:rFonts w:ascii="黑体" w:eastAsia="黑体" w:hAnsi="黑体"/>
          <w:color w:val="000000"/>
          <w:kern w:val="0"/>
          <w:sz w:val="32"/>
          <w:szCs w:val="32"/>
        </w:rPr>
      </w:pPr>
      <w:r w:rsidRPr="007E2125">
        <w:rPr>
          <w:rFonts w:ascii="黑体" w:eastAsia="黑体" w:hAnsi="黑体" w:hint="eastAsia"/>
          <w:color w:val="000000"/>
          <w:kern w:val="0"/>
          <w:sz w:val="32"/>
          <w:szCs w:val="32"/>
        </w:rPr>
        <w:t xml:space="preserve">八、政府性基金预算财政拨款收入支出情况说明 </w:t>
      </w:r>
    </w:p>
    <w:p w:rsidR="002A7DC6" w:rsidRPr="007E2125" w:rsidRDefault="00DC026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九、国有资本经营财政拨款收入支出情况说明</w:t>
      </w:r>
    </w:p>
    <w:p w:rsidR="00D71C0D"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本部门无国有资本经营决算拨款收支</w:t>
      </w:r>
      <w:r w:rsidR="00D71C0D">
        <w:rPr>
          <w:rFonts w:ascii="仿宋_GB2312" w:eastAsia="仿宋_GB2312" w:hAnsi="仿宋_GB2312" w:cs="仿宋_GB2312" w:hint="eastAsia"/>
          <w:sz w:val="32"/>
          <w:szCs w:val="32"/>
        </w:rPr>
        <w:t>。</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十、预算绩效情况说明</w:t>
      </w:r>
    </w:p>
    <w:p w:rsidR="002A7DC6" w:rsidRDefault="00DC6A7B">
      <w:pPr>
        <w:widowControl/>
        <w:ind w:leftChars="304" w:left="1281" w:hangingChars="200" w:hanging="643"/>
        <w:jc w:val="left"/>
        <w:rPr>
          <w:rFonts w:ascii="楷体_GB2312" w:eastAsia="楷体_GB2312" w:hAnsi="宋体" w:cs="楷体_GB2312"/>
          <w:b/>
          <w:color w:val="000000"/>
          <w:kern w:val="0"/>
          <w:sz w:val="32"/>
          <w:szCs w:val="32"/>
        </w:rPr>
      </w:pPr>
      <w:r w:rsidRPr="007E2125">
        <w:rPr>
          <w:rFonts w:ascii="楷体_GB2312" w:eastAsia="楷体_GB2312" w:hAnsi="宋体" w:cs="楷体_GB2312" w:hint="eastAsia"/>
          <w:b/>
          <w:color w:val="000000"/>
          <w:kern w:val="0"/>
          <w:sz w:val="32"/>
          <w:szCs w:val="32"/>
        </w:rPr>
        <w:t>（一）</w:t>
      </w:r>
      <w:r w:rsidRPr="007E2125">
        <w:rPr>
          <w:rFonts w:ascii="楷体_GB2312" w:eastAsia="楷体_GB2312" w:hAnsi="宋体" w:cs="楷体_GB2312"/>
          <w:b/>
          <w:color w:val="000000"/>
          <w:kern w:val="0"/>
          <w:sz w:val="32"/>
          <w:szCs w:val="32"/>
        </w:rPr>
        <w:t>预算绩效管理工作开展</w:t>
      </w:r>
      <w:r>
        <w:rPr>
          <w:rFonts w:ascii="楷体_GB2312" w:eastAsia="楷体_GB2312" w:hAnsi="宋体" w:cs="楷体_GB2312"/>
          <w:b/>
          <w:color w:val="000000"/>
          <w:kern w:val="0"/>
          <w:sz w:val="32"/>
          <w:szCs w:val="32"/>
        </w:rPr>
        <w:t>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仿宋_GB2312" w:cs="仿宋_GB2312" w:hint="eastAsia"/>
          <w:sz w:val="32"/>
          <w:szCs w:val="32"/>
        </w:rPr>
        <w:t>根据预算绩效管理要求，本部门组织对 2019</w:t>
      </w:r>
      <w:r>
        <w:rPr>
          <w:rFonts w:ascii="仿宋_GB2312" w:eastAsia="仿宋_GB2312" w:hAnsi="仿宋_GB2312" w:cs="仿宋_GB2312"/>
          <w:sz w:val="32"/>
          <w:szCs w:val="32"/>
        </w:rPr>
        <w:t>年一般公共预算项目支出全面开展绩效自评，其中，一级项目</w:t>
      </w:r>
      <w:r w:rsidR="000A4271">
        <w:rPr>
          <w:rFonts w:ascii="仿宋_GB2312" w:eastAsia="仿宋_GB2312" w:hAnsi="仿宋_GB2312" w:cs="仿宋_GB2312" w:hint="eastAsia"/>
          <w:sz w:val="32"/>
          <w:szCs w:val="32"/>
        </w:rPr>
        <w:t>1</w:t>
      </w:r>
      <w:r>
        <w:rPr>
          <w:rFonts w:ascii="仿宋_GB2312" w:eastAsia="仿宋_GB2312" w:hAnsi="仿宋_GB2312" w:cs="仿宋_GB2312"/>
          <w:sz w:val="32"/>
          <w:szCs w:val="32"/>
        </w:rPr>
        <w:t>个，二级项目</w:t>
      </w:r>
      <w:r w:rsidR="000A4271">
        <w:rPr>
          <w:rFonts w:ascii="仿宋_GB2312" w:eastAsia="仿宋_GB2312" w:hAnsi="仿宋_GB2312" w:cs="仿宋_GB2312" w:hint="eastAsia"/>
          <w:sz w:val="32"/>
          <w:szCs w:val="32"/>
        </w:rPr>
        <w:t>0</w:t>
      </w:r>
      <w:r>
        <w:rPr>
          <w:rFonts w:ascii="仿宋_GB2312" w:eastAsia="仿宋_GB2312" w:hAnsi="仿宋_GB2312" w:cs="仿宋_GB2312"/>
          <w:sz w:val="32"/>
          <w:szCs w:val="32"/>
        </w:rPr>
        <w:t>个，共涉及资金</w:t>
      </w:r>
      <w:r w:rsidR="000A4271">
        <w:rPr>
          <w:rFonts w:ascii="仿宋_GB2312" w:eastAsia="仿宋_GB2312" w:hAnsi="仿宋_GB2312" w:cs="仿宋_GB2312" w:hint="eastAsia"/>
          <w:sz w:val="32"/>
          <w:szCs w:val="32"/>
        </w:rPr>
        <w:t>158.15</w:t>
      </w:r>
      <w:r>
        <w:rPr>
          <w:rFonts w:ascii="仿宋_GB2312" w:eastAsia="仿宋_GB2312" w:hAnsi="仿宋_GB2312" w:cs="仿宋_GB2312"/>
          <w:sz w:val="32"/>
          <w:szCs w:val="32"/>
        </w:rPr>
        <w:t>万元，占一般公共预算项目支出总额的</w:t>
      </w:r>
      <w:r w:rsidR="000A4271">
        <w:rPr>
          <w:rFonts w:ascii="仿宋_GB2312" w:eastAsia="仿宋_GB2312" w:hAnsi="仿宋_GB2312" w:cs="仿宋_GB2312" w:hint="eastAsia"/>
          <w:sz w:val="32"/>
          <w:szCs w:val="32"/>
        </w:rPr>
        <w:t>63.9</w:t>
      </w:r>
      <w:r>
        <w:rPr>
          <w:rFonts w:ascii="仿宋_GB2312" w:eastAsia="仿宋_GB2312" w:hAnsi="仿宋_GB2312" w:cs="仿宋_GB2312"/>
          <w:sz w:val="32"/>
          <w:szCs w:val="32"/>
        </w:rPr>
        <w:t>%。</w:t>
      </w:r>
      <w:r w:rsidR="000A4271">
        <w:rPr>
          <w:rFonts w:ascii="仿宋_GB2312" w:eastAsia="仿宋_GB2312" w:hAnsi="仿宋_GB2312" w:cs="仿宋_GB2312" w:hint="eastAsia"/>
          <w:sz w:val="32"/>
          <w:szCs w:val="32"/>
        </w:rPr>
        <w:t>本部门无政府性基金预算项目</w:t>
      </w:r>
      <w:r w:rsidR="00602A0C">
        <w:rPr>
          <w:rFonts w:ascii="仿宋_GB2312" w:eastAsia="仿宋_GB2312" w:hAnsi="仿宋_GB2312" w:cs="仿宋_GB2312" w:hint="eastAsia"/>
          <w:sz w:val="32"/>
          <w:szCs w:val="32"/>
        </w:rPr>
        <w:t>。</w:t>
      </w:r>
    </w:p>
    <w:p w:rsidR="002932BE" w:rsidRPr="009D0E73" w:rsidRDefault="00DC6A7B" w:rsidP="009D0E73">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2A7DC6" w:rsidRDefault="007324E1">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财政管理</w:t>
      </w:r>
      <w:r w:rsidR="00DC6A7B">
        <w:rPr>
          <w:rFonts w:ascii="仿宋_GB2312" w:eastAsia="仿宋_GB2312" w:hAnsi="仿宋_GB2312" w:cs="仿宋_GB2312"/>
          <w:color w:val="000000"/>
          <w:kern w:val="0"/>
          <w:sz w:val="31"/>
          <w:szCs w:val="31"/>
        </w:rPr>
        <w:t>项目绩效自评综述：根据年初设定的绩效目标，项目自评得分</w:t>
      </w:r>
      <w:r>
        <w:rPr>
          <w:rFonts w:ascii="仿宋_GB2312" w:eastAsia="仿宋_GB2312" w:hAnsi="仿宋_GB2312" w:cs="仿宋_GB2312" w:hint="eastAsia"/>
          <w:color w:val="000000"/>
          <w:kern w:val="0"/>
          <w:sz w:val="31"/>
          <w:szCs w:val="31"/>
        </w:rPr>
        <w:t>10</w:t>
      </w:r>
      <w:r w:rsidR="00DC6A7B">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158.15</w:t>
      </w:r>
      <w:r w:rsidR="00DC6A7B">
        <w:rPr>
          <w:rFonts w:ascii="仿宋_GB2312" w:eastAsia="仿宋_GB2312" w:hAnsi="仿宋_GB2312" w:cs="仿宋_GB2312"/>
          <w:color w:val="000000"/>
          <w:kern w:val="0"/>
          <w:sz w:val="31"/>
          <w:szCs w:val="31"/>
        </w:rPr>
        <w:t xml:space="preserve">万元，执行数 </w:t>
      </w:r>
      <w:r>
        <w:rPr>
          <w:rFonts w:ascii="仿宋_GB2312" w:eastAsia="仿宋_GB2312" w:hAnsi="仿宋_GB2312" w:cs="仿宋_GB2312" w:hint="eastAsia"/>
          <w:color w:val="000000"/>
          <w:kern w:val="0"/>
          <w:sz w:val="31"/>
          <w:szCs w:val="31"/>
        </w:rPr>
        <w:t>158.15</w:t>
      </w:r>
      <w:r w:rsidR="00DC6A7B">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100</w:t>
      </w:r>
      <w:r w:rsidR="00DC6A7B">
        <w:rPr>
          <w:rFonts w:ascii="仿宋_GB2312" w:eastAsia="仿宋_GB2312" w:hAnsi="仿宋_GB2312" w:cs="仿宋_GB2312"/>
          <w:color w:val="000000"/>
          <w:kern w:val="0"/>
          <w:sz w:val="31"/>
          <w:szCs w:val="31"/>
        </w:rPr>
        <w:t>%。主要产出和效果：通过项目实施</w:t>
      </w:r>
      <w:r w:rsidR="009D0E73">
        <w:rPr>
          <w:rFonts w:ascii="仿宋_GB2312" w:eastAsia="仿宋_GB2312" w:hAnsi="仿宋_GB2312" w:cs="仿宋_GB2312" w:hint="eastAsia"/>
          <w:color w:val="000000"/>
          <w:kern w:val="0"/>
          <w:sz w:val="31"/>
          <w:szCs w:val="31"/>
        </w:rPr>
        <w:t>预算管理</w:t>
      </w:r>
      <w:r w:rsidR="009D0E73">
        <w:rPr>
          <w:rFonts w:ascii="仿宋_GB2312" w:eastAsia="仿宋_GB2312" w:hAnsi="仿宋_GB2312" w:cs="仿宋_GB2312" w:hint="eastAsia"/>
          <w:color w:val="000000"/>
          <w:kern w:val="0"/>
          <w:sz w:val="31"/>
          <w:szCs w:val="31"/>
        </w:rPr>
        <w:lastRenderedPageBreak/>
        <w:t>水平明显提升，财政云系统顺利上线运行，财政资金支付管理效率大幅度提升，财政信息化及时高效</w:t>
      </w:r>
      <w:r w:rsidR="00DC6A7B">
        <w:rPr>
          <w:rFonts w:ascii="仿宋_GB2312" w:eastAsia="仿宋_GB2312" w:hAnsi="仿宋_GB2312" w:cs="仿宋_GB2312" w:hint="eastAsia"/>
          <w:color w:val="000000"/>
          <w:kern w:val="0"/>
          <w:sz w:val="31"/>
          <w:szCs w:val="31"/>
        </w:rPr>
        <w:t>。</w:t>
      </w:r>
    </w:p>
    <w:p w:rsidR="002A7DC6" w:rsidRDefault="002A7DC6" w:rsidP="007324E1">
      <w:pPr>
        <w:widowControl/>
        <w:jc w:val="left"/>
        <w:rPr>
          <w:rFonts w:ascii="楷体" w:eastAsia="楷体" w:hAnsi="楷体" w:cs="楷体"/>
          <w:sz w:val="32"/>
          <w:szCs w:val="32"/>
        </w:rPr>
      </w:pPr>
    </w:p>
    <w:p w:rsidR="002A7DC6" w:rsidRDefault="0076502F">
      <w:pPr>
        <w:widowControl/>
        <w:jc w:val="left"/>
        <w:rPr>
          <w:rFonts w:ascii="楷体" w:eastAsia="楷体" w:hAnsi="楷体" w:cs="楷体"/>
          <w:sz w:val="32"/>
          <w:szCs w:val="32"/>
        </w:rPr>
      </w:pPr>
      <w:r w:rsidRPr="006614AE">
        <w:rPr>
          <w:rFonts w:ascii="楷体" w:eastAsia="楷体" w:hAnsi="楷体" w:cs="楷体" w:hint="eastAsia"/>
          <w:sz w:val="32"/>
          <w:szCs w:val="32"/>
        </w:rPr>
        <w:object w:dxaOrig="9280" w:dyaOrig="13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76.5pt" o:ole="">
            <v:imagedata r:id="rId14" o:title=""/>
          </v:shape>
          <o:OLEObject Type="Embed" ProgID="Excel.Sheet.8" ShapeID="_x0000_i1025" DrawAspect="Content" ObjectID="_1664364221" r:id="rId15"/>
        </w:object>
      </w:r>
    </w:p>
    <w:p w:rsidR="00603D11" w:rsidRDefault="00603D11">
      <w:pPr>
        <w:widowControl/>
        <w:jc w:val="left"/>
        <w:rPr>
          <w:rFonts w:ascii="楷体" w:eastAsia="楷体" w:hAnsi="楷体" w:cs="楷体"/>
          <w:sz w:val="32"/>
          <w:szCs w:val="32"/>
        </w:rPr>
        <w:sectPr w:rsidR="00603D11">
          <w:pgSz w:w="11906" w:h="16838"/>
          <w:pgMar w:top="1985" w:right="1588" w:bottom="2098" w:left="1474" w:header="851" w:footer="992" w:gutter="0"/>
          <w:cols w:space="0"/>
          <w:docGrid w:type="lines" w:linePitch="315"/>
        </w:sectPr>
      </w:pPr>
    </w:p>
    <w:p w:rsidR="002A7DC6" w:rsidRDefault="00DC6E44" w:rsidP="000A4271">
      <w:pPr>
        <w:widowControl/>
        <w:jc w:val="left"/>
        <w:rPr>
          <w:rFonts w:ascii="楷体" w:eastAsia="楷体" w:hAnsi="楷体" w:cs="楷体"/>
          <w:sz w:val="32"/>
          <w:szCs w:val="32"/>
        </w:rPr>
      </w:pPr>
      <w:r w:rsidRPr="006614AE">
        <w:rPr>
          <w:rFonts w:ascii="楷体" w:eastAsia="楷体" w:hAnsi="楷体" w:cs="楷体" w:hint="eastAsia"/>
          <w:sz w:val="32"/>
          <w:szCs w:val="32"/>
        </w:rPr>
        <w:object w:dxaOrig="15928" w:dyaOrig="30985">
          <v:shape id="_x0000_i1026" type="#_x0000_t75" style="width:796.5pt;height:1549.5pt" o:ole="">
            <v:imagedata r:id="rId16" o:title=""/>
          </v:shape>
          <o:OLEObject Type="Embed" ProgID="Excel.Sheet.8" ShapeID="_x0000_i1026" DrawAspect="Content" ObjectID="_1664364222" r:id="rId17"/>
        </w:object>
      </w:r>
    </w:p>
    <w:p w:rsidR="00A55BDA" w:rsidRDefault="00BE76C7">
      <w:pPr>
        <w:rPr>
          <w:rFonts w:ascii="楷体" w:eastAsia="楷体" w:hAnsi="楷体" w:cs="楷体"/>
          <w:sz w:val="32"/>
          <w:szCs w:val="32"/>
        </w:rPr>
      </w:pPr>
      <w:r w:rsidRPr="006614AE">
        <w:rPr>
          <w:rFonts w:ascii="楷体" w:eastAsia="楷体" w:hAnsi="楷体" w:cs="楷体" w:hint="eastAsia"/>
          <w:sz w:val="32"/>
          <w:szCs w:val="32"/>
        </w:rPr>
        <w:object w:dxaOrig="14509" w:dyaOrig="8430">
          <v:shape id="_x0000_i1027" type="#_x0000_t75" style="width:725.25pt;height:421.5pt" o:ole="">
            <v:imagedata r:id="rId18" o:title=""/>
          </v:shape>
          <o:OLEObject Type="Embed" ProgID="Excel.Sheet.8" ShapeID="_x0000_i1027" DrawAspect="Content" ObjectID="_1664364223" r:id="rId19"/>
        </w:object>
      </w:r>
    </w:p>
    <w:p w:rsidR="002A7DC6" w:rsidRDefault="00053A6D">
      <w:pPr>
        <w:widowControl/>
        <w:jc w:val="left"/>
        <w:rPr>
          <w:rFonts w:ascii="楷体" w:eastAsia="楷体" w:hAnsi="楷体" w:cs="楷体"/>
          <w:sz w:val="32"/>
          <w:szCs w:val="32"/>
        </w:rPr>
        <w:sectPr w:rsidR="002A7DC6">
          <w:pgSz w:w="16838" w:h="11906" w:orient="landscape"/>
          <w:pgMar w:top="1588" w:right="2098" w:bottom="1474" w:left="1985" w:header="851" w:footer="992" w:gutter="0"/>
          <w:cols w:space="0"/>
          <w:docGrid w:type="lines" w:linePitch="315"/>
        </w:sectPr>
      </w:pPr>
      <w:r w:rsidRPr="006614AE">
        <w:rPr>
          <w:rFonts w:ascii="楷体" w:eastAsia="楷体" w:hAnsi="楷体" w:cs="楷体" w:hint="eastAsia"/>
          <w:sz w:val="32"/>
          <w:szCs w:val="32"/>
        </w:rPr>
        <w:object w:dxaOrig="14509" w:dyaOrig="8329">
          <v:shape id="_x0000_i1028" type="#_x0000_t75" style="width:725.25pt;height:416.25pt" o:ole="">
            <v:imagedata r:id="rId20" o:title=""/>
          </v:shape>
          <o:OLEObject Type="Embed" ProgID="Excel.Sheet.8" ShapeID="_x0000_i1028" DrawAspect="Content" ObjectID="_1664364224" r:id="rId21"/>
        </w:object>
      </w:r>
    </w:p>
    <w:p w:rsidR="002A7DC6" w:rsidRDefault="00DC6A7B">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rsidP="0007323A">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sidR="0007323A">
        <w:rPr>
          <w:rFonts w:ascii="仿宋_GB2312" w:eastAsia="仿宋_GB2312" w:hAnsi="宋体" w:cs="仿宋_GB2312" w:hint="eastAsia"/>
          <w:color w:val="000000"/>
          <w:kern w:val="0"/>
          <w:sz w:val="32"/>
          <w:szCs w:val="32"/>
        </w:rPr>
        <w:t>58.06</w:t>
      </w:r>
      <w:r>
        <w:rPr>
          <w:rFonts w:ascii="仿宋_GB2312" w:eastAsia="仿宋_GB2312" w:hAnsi="宋体" w:cs="仿宋_GB2312"/>
          <w:color w:val="000000"/>
          <w:kern w:val="0"/>
          <w:sz w:val="32"/>
          <w:szCs w:val="32"/>
        </w:rPr>
        <w:t>万元，支出决算为</w:t>
      </w:r>
      <w:r w:rsidR="0007323A">
        <w:rPr>
          <w:rFonts w:ascii="仿宋_GB2312" w:eastAsia="仿宋_GB2312" w:hAnsi="宋体" w:cs="仿宋_GB2312" w:hint="eastAsia"/>
          <w:color w:val="000000"/>
          <w:kern w:val="0"/>
          <w:sz w:val="32"/>
          <w:szCs w:val="32"/>
        </w:rPr>
        <w:t>58.06</w:t>
      </w:r>
      <w:r>
        <w:rPr>
          <w:rFonts w:ascii="仿宋_GB2312" w:eastAsia="仿宋_GB2312" w:hAnsi="宋体" w:cs="仿宋_GB2312"/>
          <w:color w:val="000000"/>
          <w:kern w:val="0"/>
          <w:sz w:val="32"/>
          <w:szCs w:val="32"/>
        </w:rPr>
        <w:t>万元，完成预算的</w:t>
      </w:r>
      <w:r w:rsidR="0007323A">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w:t>
      </w:r>
      <w:r>
        <w:rPr>
          <w:rFonts w:ascii="仿宋_GB2312" w:eastAsia="仿宋_GB2312" w:hAnsi="仿宋_GB2312" w:cs="仿宋_GB2312"/>
          <w:sz w:val="32"/>
          <w:szCs w:val="32"/>
        </w:rPr>
        <w:t>9</w:t>
      </w:r>
      <w:r w:rsidR="0007323A">
        <w:rPr>
          <w:rFonts w:ascii="仿宋_GB2312" w:eastAsia="仿宋_GB2312" w:hAnsi="仿宋_GB2312" w:cs="仿宋_GB2312" w:hint="eastAsia"/>
          <w:sz w:val="32"/>
          <w:szCs w:val="32"/>
        </w:rPr>
        <w:t>年无政府采购支出”</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截至2019年末，本部门机关及所属单位共有车辆</w:t>
      </w:r>
      <w:r w:rsidR="0007323A">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辆；单价50万元以上的通用设备</w:t>
      </w:r>
      <w:r w:rsidR="0007323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台（套）；单价100万元以上的专用设备</w:t>
      </w:r>
      <w:r w:rsidR="0007323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sidR="0007323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辆；购置单价50万元以上的通用设备</w:t>
      </w:r>
      <w:r w:rsidR="0007323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台（套）；购置单价100万元以上的专用设备</w:t>
      </w:r>
      <w:r w:rsidR="0007323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2A7DC6" w:rsidRDefault="002A7DC6">
      <w:pPr>
        <w:widowControl/>
        <w:jc w:val="left"/>
        <w:rPr>
          <w:rFonts w:ascii="黑体" w:eastAsia="黑体" w:hAnsi="宋体"/>
          <w:color w:val="000000"/>
          <w:kern w:val="0"/>
          <w:sz w:val="32"/>
          <w:szCs w:val="32"/>
        </w:rPr>
      </w:pPr>
    </w:p>
    <w:p w:rsidR="002A7DC6" w:rsidRDefault="002A7DC6">
      <w:pPr>
        <w:widowControl/>
        <w:jc w:val="left"/>
        <w:rPr>
          <w:rFonts w:ascii="黑体" w:eastAsia="黑体" w:hAnsi="宋体"/>
          <w:color w:val="000000"/>
          <w:kern w:val="0"/>
          <w:sz w:val="32"/>
          <w:szCs w:val="32"/>
        </w:rPr>
      </w:pPr>
    </w:p>
    <w:p w:rsidR="002A7DC6" w:rsidRDefault="00DC6A7B">
      <w:pPr>
        <w:jc w:val="center"/>
        <w:rPr>
          <w:sz w:val="44"/>
          <w:szCs w:val="44"/>
        </w:rPr>
      </w:pPr>
      <w:r>
        <w:rPr>
          <w:rFonts w:ascii="黑体" w:eastAsia="黑体" w:hAnsi="宋体" w:hint="eastAsia"/>
          <w:color w:val="000000"/>
          <w:kern w:val="0"/>
          <w:sz w:val="44"/>
          <w:szCs w:val="44"/>
        </w:rPr>
        <w:t>第四部分 专业名词解释</w:t>
      </w:r>
    </w:p>
    <w:p w:rsidR="002A7DC6" w:rsidRDefault="00DC6A7B" w:rsidP="006A333F">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A7DC6" w:rsidRDefault="00DC6A7B" w:rsidP="006A333F">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w:t>
      </w:r>
      <w:r>
        <w:rPr>
          <w:rFonts w:ascii="仿宋_GB2312" w:eastAsia="仿宋_GB2312" w:hAnsi="仿宋_GB2312" w:cs="仿宋_GB2312" w:hint="eastAsia"/>
          <w:sz w:val="32"/>
          <w:szCs w:val="32"/>
        </w:rPr>
        <w:lastRenderedPageBreak/>
        <w:t>因公出国（境）费、公务用车购置及运行费和公务接待费支出。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2A7DC6" w:rsidSect="006614AE">
      <w:pgSz w:w="11906" w:h="16838"/>
      <w:pgMar w:top="2098" w:right="1474" w:bottom="1984" w:left="158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18" w:rsidRDefault="00953D18" w:rsidP="00B7276D">
      <w:r>
        <w:separator/>
      </w:r>
    </w:p>
  </w:endnote>
  <w:endnote w:type="continuationSeparator" w:id="0">
    <w:p w:rsidR="00953D18" w:rsidRDefault="00953D18" w:rsidP="00B7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18" w:rsidRDefault="00953D18" w:rsidP="00B7276D">
      <w:r>
        <w:separator/>
      </w:r>
    </w:p>
  </w:footnote>
  <w:footnote w:type="continuationSeparator" w:id="0">
    <w:p w:rsidR="00953D18" w:rsidRDefault="00953D18" w:rsidP="00B72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420"/>
  <w:drawingGridHorizontalSpacing w:val="105"/>
  <w:drawingGridVerticalSpacing w:val="31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172D4"/>
    <w:rsid w:val="0002641A"/>
    <w:rsid w:val="00032A2E"/>
    <w:rsid w:val="00033550"/>
    <w:rsid w:val="00033E35"/>
    <w:rsid w:val="00046D55"/>
    <w:rsid w:val="00050E89"/>
    <w:rsid w:val="00053317"/>
    <w:rsid w:val="00053A6D"/>
    <w:rsid w:val="0007323A"/>
    <w:rsid w:val="00077215"/>
    <w:rsid w:val="00081E8F"/>
    <w:rsid w:val="000A4271"/>
    <w:rsid w:val="000B59BC"/>
    <w:rsid w:val="000B69B3"/>
    <w:rsid w:val="000E109D"/>
    <w:rsid w:val="0011661B"/>
    <w:rsid w:val="00124897"/>
    <w:rsid w:val="00134523"/>
    <w:rsid w:val="001375EC"/>
    <w:rsid w:val="00146787"/>
    <w:rsid w:val="00160339"/>
    <w:rsid w:val="00164001"/>
    <w:rsid w:val="001A53C3"/>
    <w:rsid w:val="001D7568"/>
    <w:rsid w:val="001E4062"/>
    <w:rsid w:val="002238F8"/>
    <w:rsid w:val="002424C8"/>
    <w:rsid w:val="002932BE"/>
    <w:rsid w:val="00297F02"/>
    <w:rsid w:val="002A7893"/>
    <w:rsid w:val="002A7DC6"/>
    <w:rsid w:val="002E4BF0"/>
    <w:rsid w:val="003017B4"/>
    <w:rsid w:val="003018C6"/>
    <w:rsid w:val="0031505B"/>
    <w:rsid w:val="00326844"/>
    <w:rsid w:val="003364E9"/>
    <w:rsid w:val="003378FD"/>
    <w:rsid w:val="0034435E"/>
    <w:rsid w:val="00344BCB"/>
    <w:rsid w:val="00344C05"/>
    <w:rsid w:val="00396A05"/>
    <w:rsid w:val="003C336F"/>
    <w:rsid w:val="003D06E1"/>
    <w:rsid w:val="003D3B96"/>
    <w:rsid w:val="003D54EF"/>
    <w:rsid w:val="003E1392"/>
    <w:rsid w:val="004370BA"/>
    <w:rsid w:val="00452E2E"/>
    <w:rsid w:val="0049178B"/>
    <w:rsid w:val="004957D0"/>
    <w:rsid w:val="004A1F8F"/>
    <w:rsid w:val="004B6D6E"/>
    <w:rsid w:val="004F59F7"/>
    <w:rsid w:val="004F7265"/>
    <w:rsid w:val="005213FF"/>
    <w:rsid w:val="0053686C"/>
    <w:rsid w:val="005472EB"/>
    <w:rsid w:val="00576206"/>
    <w:rsid w:val="00585846"/>
    <w:rsid w:val="00602A0C"/>
    <w:rsid w:val="00603D11"/>
    <w:rsid w:val="00604FE5"/>
    <w:rsid w:val="00630FD3"/>
    <w:rsid w:val="00642D57"/>
    <w:rsid w:val="006614AE"/>
    <w:rsid w:val="00670B17"/>
    <w:rsid w:val="00675DE5"/>
    <w:rsid w:val="006A333F"/>
    <w:rsid w:val="006B0697"/>
    <w:rsid w:val="006E03CF"/>
    <w:rsid w:val="006E452F"/>
    <w:rsid w:val="006F01C7"/>
    <w:rsid w:val="007324E1"/>
    <w:rsid w:val="0076502F"/>
    <w:rsid w:val="007853A2"/>
    <w:rsid w:val="007B2281"/>
    <w:rsid w:val="007B2D33"/>
    <w:rsid w:val="007C33E1"/>
    <w:rsid w:val="007E2125"/>
    <w:rsid w:val="007E31E6"/>
    <w:rsid w:val="007F5D23"/>
    <w:rsid w:val="00805BF4"/>
    <w:rsid w:val="00813F4A"/>
    <w:rsid w:val="008152F7"/>
    <w:rsid w:val="00843ED2"/>
    <w:rsid w:val="00847F0F"/>
    <w:rsid w:val="00854706"/>
    <w:rsid w:val="008601D7"/>
    <w:rsid w:val="00872E74"/>
    <w:rsid w:val="00891C25"/>
    <w:rsid w:val="008B243D"/>
    <w:rsid w:val="008B6A36"/>
    <w:rsid w:val="008C4716"/>
    <w:rsid w:val="00906B0D"/>
    <w:rsid w:val="00921011"/>
    <w:rsid w:val="00921B2D"/>
    <w:rsid w:val="009326F4"/>
    <w:rsid w:val="00953D18"/>
    <w:rsid w:val="009D0E73"/>
    <w:rsid w:val="009D4462"/>
    <w:rsid w:val="009F6B86"/>
    <w:rsid w:val="00A26950"/>
    <w:rsid w:val="00A32148"/>
    <w:rsid w:val="00A518F9"/>
    <w:rsid w:val="00A55BDA"/>
    <w:rsid w:val="00A5702C"/>
    <w:rsid w:val="00A64FB2"/>
    <w:rsid w:val="00A710F3"/>
    <w:rsid w:val="00A8113F"/>
    <w:rsid w:val="00AB1397"/>
    <w:rsid w:val="00AD4E02"/>
    <w:rsid w:val="00B01345"/>
    <w:rsid w:val="00B0176A"/>
    <w:rsid w:val="00B01DC9"/>
    <w:rsid w:val="00B35CD8"/>
    <w:rsid w:val="00B41A94"/>
    <w:rsid w:val="00B67406"/>
    <w:rsid w:val="00B67596"/>
    <w:rsid w:val="00B7276D"/>
    <w:rsid w:val="00B73B7D"/>
    <w:rsid w:val="00B80654"/>
    <w:rsid w:val="00BC0105"/>
    <w:rsid w:val="00BC2BD7"/>
    <w:rsid w:val="00BE2A3D"/>
    <w:rsid w:val="00BE5A8F"/>
    <w:rsid w:val="00BE76C7"/>
    <w:rsid w:val="00CB21F4"/>
    <w:rsid w:val="00CB5EF5"/>
    <w:rsid w:val="00CB7771"/>
    <w:rsid w:val="00CC158F"/>
    <w:rsid w:val="00CC1BFD"/>
    <w:rsid w:val="00CD3CD8"/>
    <w:rsid w:val="00CE7F71"/>
    <w:rsid w:val="00D02713"/>
    <w:rsid w:val="00D2119A"/>
    <w:rsid w:val="00D32994"/>
    <w:rsid w:val="00D33154"/>
    <w:rsid w:val="00D36398"/>
    <w:rsid w:val="00D47F7B"/>
    <w:rsid w:val="00D62E84"/>
    <w:rsid w:val="00D71C0D"/>
    <w:rsid w:val="00D749C9"/>
    <w:rsid w:val="00DC026A"/>
    <w:rsid w:val="00DC6A7B"/>
    <w:rsid w:val="00DC6E44"/>
    <w:rsid w:val="00E10C29"/>
    <w:rsid w:val="00E20B31"/>
    <w:rsid w:val="00E41C64"/>
    <w:rsid w:val="00E569EB"/>
    <w:rsid w:val="00E8111E"/>
    <w:rsid w:val="00E95FD1"/>
    <w:rsid w:val="00EA15AE"/>
    <w:rsid w:val="00ED38F1"/>
    <w:rsid w:val="00EF4D05"/>
    <w:rsid w:val="00F712A3"/>
    <w:rsid w:val="00F837D0"/>
    <w:rsid w:val="00F9628B"/>
    <w:rsid w:val="00FA0386"/>
    <w:rsid w:val="00FB0997"/>
    <w:rsid w:val="00FC36AD"/>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4A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614AE"/>
    <w:rPr>
      <w:b/>
      <w:bCs/>
    </w:rPr>
  </w:style>
  <w:style w:type="paragraph" w:styleId="a4">
    <w:name w:val="annotation text"/>
    <w:basedOn w:val="a"/>
    <w:link w:val="Char0"/>
    <w:qFormat/>
    <w:rsid w:val="006614AE"/>
    <w:pPr>
      <w:jc w:val="left"/>
    </w:pPr>
  </w:style>
  <w:style w:type="paragraph" w:styleId="a5">
    <w:name w:val="Balloon Text"/>
    <w:basedOn w:val="a"/>
    <w:link w:val="Char1"/>
    <w:qFormat/>
    <w:rsid w:val="006614AE"/>
    <w:rPr>
      <w:sz w:val="18"/>
      <w:szCs w:val="18"/>
    </w:rPr>
  </w:style>
  <w:style w:type="paragraph" w:styleId="a6">
    <w:name w:val="footer"/>
    <w:basedOn w:val="a"/>
    <w:qFormat/>
    <w:rsid w:val="006614AE"/>
    <w:pPr>
      <w:tabs>
        <w:tab w:val="center" w:pos="4153"/>
        <w:tab w:val="right" w:pos="8306"/>
      </w:tabs>
      <w:snapToGrid w:val="0"/>
      <w:jc w:val="left"/>
    </w:pPr>
    <w:rPr>
      <w:sz w:val="18"/>
    </w:rPr>
  </w:style>
  <w:style w:type="paragraph" w:styleId="a7">
    <w:name w:val="header"/>
    <w:basedOn w:val="a"/>
    <w:qFormat/>
    <w:rsid w:val="006614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sid w:val="006614AE"/>
    <w:rPr>
      <w:sz w:val="21"/>
      <w:szCs w:val="21"/>
    </w:rPr>
  </w:style>
  <w:style w:type="table" w:styleId="a9">
    <w:name w:val="Table Grid"/>
    <w:basedOn w:val="a1"/>
    <w:qFormat/>
    <w:rsid w:val="006614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6614AE"/>
    <w:rPr>
      <w:rFonts w:ascii="Calibri" w:hAnsi="Calibri" w:cs="黑体"/>
      <w:kern w:val="2"/>
      <w:sz w:val="21"/>
      <w:szCs w:val="24"/>
    </w:rPr>
  </w:style>
  <w:style w:type="character" w:customStyle="1" w:styleId="Char">
    <w:name w:val="批注主题 Char"/>
    <w:basedOn w:val="Char0"/>
    <w:link w:val="a3"/>
    <w:qFormat/>
    <w:rsid w:val="006614AE"/>
    <w:rPr>
      <w:rFonts w:ascii="Calibri" w:hAnsi="Calibri" w:cs="黑体"/>
      <w:b/>
      <w:bCs/>
      <w:kern w:val="2"/>
      <w:sz w:val="21"/>
      <w:szCs w:val="24"/>
    </w:rPr>
  </w:style>
  <w:style w:type="character" w:customStyle="1" w:styleId="Char1">
    <w:name w:val="批注框文本 Char"/>
    <w:basedOn w:val="a0"/>
    <w:link w:val="a5"/>
    <w:qFormat/>
    <w:rsid w:val="006614AE"/>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Pr>
      <w:rFonts w:ascii="Calibri" w:hAnsi="Calibri" w:cs="黑体"/>
      <w:kern w:val="2"/>
      <w:sz w:val="21"/>
      <w:szCs w:val="24"/>
    </w:rPr>
  </w:style>
  <w:style w:type="character" w:customStyle="1" w:styleId="Char">
    <w:name w:val="批注主题 Char"/>
    <w:basedOn w:val="Char0"/>
    <w:link w:val="a3"/>
    <w:qFormat/>
    <w:rPr>
      <w:rFonts w:ascii="Calibri" w:hAnsi="Calibri" w:cs="黑体"/>
      <w:b/>
      <w:bCs/>
      <w:kern w:val="2"/>
      <w:sz w:val="21"/>
      <w:szCs w:val="24"/>
    </w:rPr>
  </w:style>
  <w:style w:type="character" w:customStyle="1" w:styleId="Char1">
    <w:name w:val="批注框文本 Char"/>
    <w:basedOn w:val="a0"/>
    <w:link w:val="a5"/>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1858">
      <w:bodyDiv w:val="1"/>
      <w:marLeft w:val="0"/>
      <w:marRight w:val="0"/>
      <w:marTop w:val="0"/>
      <w:marBottom w:val="0"/>
      <w:divBdr>
        <w:top w:val="none" w:sz="0" w:space="0" w:color="auto"/>
        <w:left w:val="none" w:sz="0" w:space="0" w:color="auto"/>
        <w:bottom w:val="none" w:sz="0" w:space="0" w:color="auto"/>
        <w:right w:val="none" w:sz="0" w:space="0" w:color="auto"/>
      </w:divBdr>
    </w:div>
    <w:div w:id="404882588">
      <w:bodyDiv w:val="1"/>
      <w:marLeft w:val="0"/>
      <w:marRight w:val="0"/>
      <w:marTop w:val="0"/>
      <w:marBottom w:val="0"/>
      <w:divBdr>
        <w:top w:val="none" w:sz="0" w:space="0" w:color="auto"/>
        <w:left w:val="none" w:sz="0" w:space="0" w:color="auto"/>
        <w:bottom w:val="none" w:sz="0" w:space="0" w:color="auto"/>
        <w:right w:val="none" w:sz="0" w:space="0" w:color="auto"/>
      </w:divBdr>
    </w:div>
    <w:div w:id="424766145">
      <w:bodyDiv w:val="1"/>
      <w:marLeft w:val="0"/>
      <w:marRight w:val="0"/>
      <w:marTop w:val="0"/>
      <w:marBottom w:val="0"/>
      <w:divBdr>
        <w:top w:val="none" w:sz="0" w:space="0" w:color="auto"/>
        <w:left w:val="none" w:sz="0" w:space="0" w:color="auto"/>
        <w:bottom w:val="none" w:sz="0" w:space="0" w:color="auto"/>
        <w:right w:val="none" w:sz="0" w:space="0" w:color="auto"/>
      </w:divBdr>
    </w:div>
    <w:div w:id="520709755">
      <w:bodyDiv w:val="1"/>
      <w:marLeft w:val="0"/>
      <w:marRight w:val="0"/>
      <w:marTop w:val="0"/>
      <w:marBottom w:val="0"/>
      <w:divBdr>
        <w:top w:val="none" w:sz="0" w:space="0" w:color="auto"/>
        <w:left w:val="none" w:sz="0" w:space="0" w:color="auto"/>
        <w:bottom w:val="none" w:sz="0" w:space="0" w:color="auto"/>
        <w:right w:val="none" w:sz="0" w:space="0" w:color="auto"/>
      </w:divBdr>
    </w:div>
    <w:div w:id="643314997">
      <w:bodyDiv w:val="1"/>
      <w:marLeft w:val="0"/>
      <w:marRight w:val="0"/>
      <w:marTop w:val="0"/>
      <w:marBottom w:val="0"/>
      <w:divBdr>
        <w:top w:val="none" w:sz="0" w:space="0" w:color="auto"/>
        <w:left w:val="none" w:sz="0" w:space="0" w:color="auto"/>
        <w:bottom w:val="none" w:sz="0" w:space="0" w:color="auto"/>
        <w:right w:val="none" w:sz="0" w:space="0" w:color="auto"/>
      </w:divBdr>
    </w:div>
    <w:div w:id="921452679">
      <w:bodyDiv w:val="1"/>
      <w:marLeft w:val="0"/>
      <w:marRight w:val="0"/>
      <w:marTop w:val="0"/>
      <w:marBottom w:val="0"/>
      <w:divBdr>
        <w:top w:val="none" w:sz="0" w:space="0" w:color="auto"/>
        <w:left w:val="none" w:sz="0" w:space="0" w:color="auto"/>
        <w:bottom w:val="none" w:sz="0" w:space="0" w:color="auto"/>
        <w:right w:val="none" w:sz="0" w:space="0" w:color="auto"/>
      </w:divBdr>
    </w:div>
    <w:div w:id="931206553">
      <w:bodyDiv w:val="1"/>
      <w:marLeft w:val="0"/>
      <w:marRight w:val="0"/>
      <w:marTop w:val="0"/>
      <w:marBottom w:val="0"/>
      <w:divBdr>
        <w:top w:val="none" w:sz="0" w:space="0" w:color="auto"/>
        <w:left w:val="none" w:sz="0" w:space="0" w:color="auto"/>
        <w:bottom w:val="none" w:sz="0" w:space="0" w:color="auto"/>
        <w:right w:val="none" w:sz="0" w:space="0" w:color="auto"/>
      </w:divBdr>
    </w:div>
    <w:div w:id="1422872202">
      <w:bodyDiv w:val="1"/>
      <w:marLeft w:val="0"/>
      <w:marRight w:val="0"/>
      <w:marTop w:val="0"/>
      <w:marBottom w:val="0"/>
      <w:divBdr>
        <w:top w:val="none" w:sz="0" w:space="0" w:color="auto"/>
        <w:left w:val="none" w:sz="0" w:space="0" w:color="auto"/>
        <w:bottom w:val="none" w:sz="0" w:space="0" w:color="auto"/>
        <w:right w:val="none" w:sz="0" w:space="0" w:color="auto"/>
      </w:divBdr>
    </w:div>
    <w:div w:id="1503548136">
      <w:bodyDiv w:val="1"/>
      <w:marLeft w:val="0"/>
      <w:marRight w:val="0"/>
      <w:marTop w:val="0"/>
      <w:marBottom w:val="0"/>
      <w:divBdr>
        <w:top w:val="none" w:sz="0" w:space="0" w:color="auto"/>
        <w:left w:val="none" w:sz="0" w:space="0" w:color="auto"/>
        <w:bottom w:val="none" w:sz="0" w:space="0" w:color="auto"/>
        <w:right w:val="none" w:sz="0" w:space="0" w:color="auto"/>
      </w:divBdr>
    </w:div>
    <w:div w:id="1549612625">
      <w:bodyDiv w:val="1"/>
      <w:marLeft w:val="0"/>
      <w:marRight w:val="0"/>
      <w:marTop w:val="0"/>
      <w:marBottom w:val="0"/>
      <w:divBdr>
        <w:top w:val="none" w:sz="0" w:space="0" w:color="auto"/>
        <w:left w:val="none" w:sz="0" w:space="0" w:color="auto"/>
        <w:bottom w:val="none" w:sz="0" w:space="0" w:color="auto"/>
        <w:right w:val="none" w:sz="0" w:space="0" w:color="auto"/>
      </w:divBdr>
    </w:div>
    <w:div w:id="1589077201">
      <w:bodyDiv w:val="1"/>
      <w:marLeft w:val="0"/>
      <w:marRight w:val="0"/>
      <w:marTop w:val="0"/>
      <w:marBottom w:val="0"/>
      <w:divBdr>
        <w:top w:val="none" w:sz="0" w:space="0" w:color="auto"/>
        <w:left w:val="none" w:sz="0" w:space="0" w:color="auto"/>
        <w:bottom w:val="none" w:sz="0" w:space="0" w:color="auto"/>
        <w:right w:val="none" w:sz="0" w:space="0" w:color="auto"/>
      </w:divBdr>
    </w:div>
    <w:div w:id="1596670139">
      <w:bodyDiv w:val="1"/>
      <w:marLeft w:val="0"/>
      <w:marRight w:val="0"/>
      <w:marTop w:val="0"/>
      <w:marBottom w:val="0"/>
      <w:divBdr>
        <w:top w:val="none" w:sz="0" w:space="0" w:color="auto"/>
        <w:left w:val="none" w:sz="0" w:space="0" w:color="auto"/>
        <w:bottom w:val="none" w:sz="0" w:space="0" w:color="auto"/>
        <w:right w:val="none" w:sz="0" w:space="0" w:color="auto"/>
      </w:divBdr>
    </w:div>
    <w:div w:id="1620331271">
      <w:bodyDiv w:val="1"/>
      <w:marLeft w:val="0"/>
      <w:marRight w:val="0"/>
      <w:marTop w:val="0"/>
      <w:marBottom w:val="0"/>
      <w:divBdr>
        <w:top w:val="none" w:sz="0" w:space="0" w:color="auto"/>
        <w:left w:val="none" w:sz="0" w:space="0" w:color="auto"/>
        <w:bottom w:val="none" w:sz="0" w:space="0" w:color="auto"/>
        <w:right w:val="none" w:sz="0" w:space="0" w:color="auto"/>
      </w:divBdr>
    </w:div>
    <w:div w:id="1852798240">
      <w:bodyDiv w:val="1"/>
      <w:marLeft w:val="0"/>
      <w:marRight w:val="0"/>
      <w:marTop w:val="0"/>
      <w:marBottom w:val="0"/>
      <w:divBdr>
        <w:top w:val="none" w:sz="0" w:space="0" w:color="auto"/>
        <w:left w:val="none" w:sz="0" w:space="0" w:color="auto"/>
        <w:bottom w:val="none" w:sz="0" w:space="0" w:color="auto"/>
        <w:right w:val="none" w:sz="0" w:space="0" w:color="auto"/>
      </w:divBdr>
    </w:div>
    <w:div w:id="194838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emf"/><Relationship Id="rId3" Type="http://schemas.microsoft.com/office/2007/relationships/stylesWithEffects" Target="stylesWithEffects.xml"/><Relationship Id="rId21" Type="http://schemas.openxmlformats.org/officeDocument/2006/relationships/oleObject" Target="embeddings/Microsoft_Office_Excel_97-2003____44.xls"/><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oleObject" Target="embeddings/Microsoft_Office_Excel_97-2003____22.xls"/><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oleObject" Target="embeddings/Microsoft_Office_Excel_97-2003____11.xls"/><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oleObject" Target="embeddings/Microsoft_Office_Excel_97-2003____33.xls"/><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1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眉县财政局人员结构</a:t>
            </a:r>
          </a:p>
        </c:rich>
      </c:tx>
      <c:overlay val="0"/>
    </c:title>
    <c:autoTitleDeleted val="0"/>
    <c:plotArea>
      <c:layout/>
      <c:pieChart>
        <c:varyColors val="1"/>
        <c:ser>
          <c:idx val="0"/>
          <c:order val="0"/>
          <c:tx>
            <c:strRef>
              <c:f>Sheet1!$B$1</c:f>
              <c:strCache>
                <c:ptCount val="1"/>
                <c:pt idx="0">
                  <c:v>人员结构</c:v>
                </c:pt>
              </c:strCache>
            </c:strRef>
          </c:tx>
          <c:dLbls>
            <c:showLegendKey val="0"/>
            <c:showVal val="1"/>
            <c:showCatName val="0"/>
            <c:showSerName val="0"/>
            <c:showPercent val="0"/>
            <c:showBubbleSize val="0"/>
            <c:showLeaderLines val="1"/>
          </c:dLbls>
          <c:cat>
            <c:strRef>
              <c:f>Sheet1!$A$2:$A$4</c:f>
              <c:strCache>
                <c:ptCount val="3"/>
                <c:pt idx="0">
                  <c:v>行政人员</c:v>
                </c:pt>
                <c:pt idx="1">
                  <c:v>事业人员</c:v>
                </c:pt>
                <c:pt idx="2">
                  <c:v>退休人员</c:v>
                </c:pt>
              </c:strCache>
            </c:strRef>
          </c:cat>
          <c:val>
            <c:numRef>
              <c:f>Sheet1!$B$2:$B$4</c:f>
              <c:numCache>
                <c:formatCode>G/通用格式</c:formatCode>
                <c:ptCount val="3"/>
                <c:pt idx="0">
                  <c:v>19</c:v>
                </c:pt>
                <c:pt idx="1">
                  <c:v>73</c:v>
                </c:pt>
                <c:pt idx="2">
                  <c:v>32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收入</c:v>
                </c:pt>
              </c:strCache>
            </c:strRef>
          </c:tx>
          <c:invertIfNegative val="0"/>
          <c:dLbls>
            <c:showLegendKey val="0"/>
            <c:showVal val="1"/>
            <c:showCatName val="0"/>
            <c:showSerName val="0"/>
            <c:showPercent val="0"/>
            <c:showBubbleSize val="0"/>
            <c:showLeaderLines val="0"/>
          </c:dLbls>
          <c:cat>
            <c:strRef>
              <c:f>Sheet1!$A$2:$A$3</c:f>
              <c:strCache>
                <c:ptCount val="2"/>
                <c:pt idx="0">
                  <c:v>2018年度</c:v>
                </c:pt>
                <c:pt idx="1">
                  <c:v>2019年度</c:v>
                </c:pt>
              </c:strCache>
            </c:strRef>
          </c:cat>
          <c:val>
            <c:numRef>
              <c:f>Sheet1!$B$2:$B$3</c:f>
              <c:numCache>
                <c:formatCode>G/通用格式</c:formatCode>
                <c:ptCount val="2"/>
                <c:pt idx="0">
                  <c:v>1867.05</c:v>
                </c:pt>
                <c:pt idx="1">
                  <c:v>1397.58</c:v>
                </c:pt>
              </c:numCache>
            </c:numRef>
          </c:val>
        </c:ser>
        <c:ser>
          <c:idx val="1"/>
          <c:order val="1"/>
          <c:tx>
            <c:strRef>
              <c:f>Sheet1!$C$1</c:f>
              <c:strCache>
                <c:ptCount val="1"/>
                <c:pt idx="0">
                  <c:v>支出</c:v>
                </c:pt>
              </c:strCache>
            </c:strRef>
          </c:tx>
          <c:invertIfNegative val="0"/>
          <c:dLbls>
            <c:showLegendKey val="0"/>
            <c:showVal val="1"/>
            <c:showCatName val="0"/>
            <c:showSerName val="0"/>
            <c:showPercent val="0"/>
            <c:showBubbleSize val="0"/>
            <c:showLeaderLines val="0"/>
          </c:dLbls>
          <c:cat>
            <c:strRef>
              <c:f>Sheet1!$A$2:$A$3</c:f>
              <c:strCache>
                <c:ptCount val="2"/>
                <c:pt idx="0">
                  <c:v>2018年度</c:v>
                </c:pt>
                <c:pt idx="1">
                  <c:v>2019年度</c:v>
                </c:pt>
              </c:strCache>
            </c:strRef>
          </c:cat>
          <c:val>
            <c:numRef>
              <c:f>Sheet1!$C$2:$C$3</c:f>
              <c:numCache>
                <c:formatCode>G/通用格式</c:formatCode>
                <c:ptCount val="2"/>
                <c:pt idx="0">
                  <c:v>1867.05</c:v>
                </c:pt>
                <c:pt idx="1">
                  <c:v>1397.58</c:v>
                </c:pt>
              </c:numCache>
            </c:numRef>
          </c:val>
        </c:ser>
        <c:dLbls>
          <c:showLegendKey val="0"/>
          <c:showVal val="0"/>
          <c:showCatName val="0"/>
          <c:showSerName val="0"/>
          <c:showPercent val="0"/>
          <c:showBubbleSize val="0"/>
        </c:dLbls>
        <c:gapWidth val="150"/>
        <c:axId val="338895616"/>
        <c:axId val="338897152"/>
      </c:barChart>
      <c:catAx>
        <c:axId val="338895616"/>
        <c:scaling>
          <c:orientation val="minMax"/>
        </c:scaling>
        <c:delete val="0"/>
        <c:axPos val="b"/>
        <c:majorTickMark val="out"/>
        <c:minorTickMark val="none"/>
        <c:tickLblPos val="nextTo"/>
        <c:crossAx val="338897152"/>
        <c:crosses val="autoZero"/>
        <c:auto val="1"/>
        <c:lblAlgn val="ctr"/>
        <c:lblOffset val="100"/>
        <c:noMultiLvlLbl val="0"/>
      </c:catAx>
      <c:valAx>
        <c:axId val="338897152"/>
        <c:scaling>
          <c:orientation val="minMax"/>
        </c:scaling>
        <c:delete val="0"/>
        <c:axPos val="l"/>
        <c:majorGridlines/>
        <c:numFmt formatCode="G/通用格式" sourceLinked="1"/>
        <c:majorTickMark val="out"/>
        <c:minorTickMark val="none"/>
        <c:tickLblPos val="nextTo"/>
        <c:crossAx val="3388956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财政拨款收入</c:v>
                </c:pt>
              </c:strCache>
            </c:strRef>
          </c:tx>
          <c:invertIfNegative val="0"/>
          <c:dLbls>
            <c:showLegendKey val="0"/>
            <c:showVal val="1"/>
            <c:showCatName val="0"/>
            <c:showSerName val="0"/>
            <c:showPercent val="0"/>
            <c:showBubbleSize val="0"/>
            <c:showLeaderLines val="0"/>
          </c:dLbls>
          <c:cat>
            <c:strRef>
              <c:f>Sheet1!$A$2</c:f>
              <c:strCache>
                <c:ptCount val="1"/>
                <c:pt idx="0">
                  <c:v>2019年</c:v>
                </c:pt>
              </c:strCache>
            </c:strRef>
          </c:cat>
          <c:val>
            <c:numRef>
              <c:f>Sheet1!$B$2</c:f>
              <c:numCache>
                <c:formatCode>G/通用格式</c:formatCode>
                <c:ptCount val="1"/>
                <c:pt idx="0">
                  <c:v>1397.58</c:v>
                </c:pt>
              </c:numCache>
            </c:numRef>
          </c:val>
        </c:ser>
        <c:ser>
          <c:idx val="1"/>
          <c:order val="1"/>
          <c:tx>
            <c:strRef>
              <c:f>Sheet1!$C$1</c:f>
              <c:strCache>
                <c:ptCount val="1"/>
                <c:pt idx="0">
                  <c:v>事业收入</c:v>
                </c:pt>
              </c:strCache>
            </c:strRef>
          </c:tx>
          <c:invertIfNegative val="0"/>
          <c:cat>
            <c:strRef>
              <c:f>Sheet1!$A$2</c:f>
              <c:strCache>
                <c:ptCount val="1"/>
                <c:pt idx="0">
                  <c:v>2019年</c:v>
                </c:pt>
              </c:strCache>
            </c:strRef>
          </c:cat>
          <c:val>
            <c:numRef>
              <c:f>Sheet1!$C$2</c:f>
              <c:numCache>
                <c:formatCode>G/通用格式</c:formatCode>
                <c:ptCount val="1"/>
                <c:pt idx="0">
                  <c:v>0</c:v>
                </c:pt>
              </c:numCache>
            </c:numRef>
          </c:val>
        </c:ser>
        <c:ser>
          <c:idx val="2"/>
          <c:order val="2"/>
          <c:tx>
            <c:strRef>
              <c:f>Sheet1!$D$1</c:f>
              <c:strCache>
                <c:ptCount val="1"/>
                <c:pt idx="0">
                  <c:v>经营收入</c:v>
                </c:pt>
              </c:strCache>
            </c:strRef>
          </c:tx>
          <c:invertIfNegative val="0"/>
          <c:cat>
            <c:strRef>
              <c:f>Sheet1!$A$2</c:f>
              <c:strCache>
                <c:ptCount val="1"/>
                <c:pt idx="0">
                  <c:v>2019年</c:v>
                </c:pt>
              </c:strCache>
            </c:strRef>
          </c:cat>
          <c:val>
            <c:numRef>
              <c:f>Sheet1!$D$2</c:f>
              <c:numCache>
                <c:formatCode>G/通用格式</c:formatCode>
                <c:ptCount val="1"/>
                <c:pt idx="0">
                  <c:v>0</c:v>
                </c:pt>
              </c:numCache>
            </c:numRef>
          </c:val>
        </c:ser>
        <c:ser>
          <c:idx val="3"/>
          <c:order val="3"/>
          <c:tx>
            <c:strRef>
              <c:f>Sheet1!$E$1</c:f>
              <c:strCache>
                <c:ptCount val="1"/>
                <c:pt idx="0">
                  <c:v>其他收入</c:v>
                </c:pt>
              </c:strCache>
            </c:strRef>
          </c:tx>
          <c:invertIfNegative val="0"/>
          <c:cat>
            <c:strRef>
              <c:f>Sheet1!$A$2</c:f>
              <c:strCache>
                <c:ptCount val="1"/>
                <c:pt idx="0">
                  <c:v>2019年</c:v>
                </c:pt>
              </c:strCache>
            </c:strRef>
          </c:cat>
          <c:val>
            <c:numRef>
              <c:f>Sheet1!$E$2</c:f>
              <c:numCache>
                <c:formatCode>G/通用格式</c:formatCode>
                <c:ptCount val="1"/>
                <c:pt idx="0">
                  <c:v>0</c:v>
                </c:pt>
              </c:numCache>
            </c:numRef>
          </c:val>
        </c:ser>
        <c:dLbls>
          <c:showLegendKey val="0"/>
          <c:showVal val="0"/>
          <c:showCatName val="0"/>
          <c:showSerName val="0"/>
          <c:showPercent val="0"/>
          <c:showBubbleSize val="0"/>
        </c:dLbls>
        <c:gapWidth val="150"/>
        <c:axId val="338699008"/>
        <c:axId val="338700544"/>
      </c:barChart>
      <c:catAx>
        <c:axId val="338699008"/>
        <c:scaling>
          <c:orientation val="minMax"/>
        </c:scaling>
        <c:delete val="0"/>
        <c:axPos val="b"/>
        <c:majorTickMark val="out"/>
        <c:minorTickMark val="none"/>
        <c:tickLblPos val="nextTo"/>
        <c:crossAx val="338700544"/>
        <c:crosses val="autoZero"/>
        <c:auto val="1"/>
        <c:lblAlgn val="ctr"/>
        <c:lblOffset val="100"/>
        <c:noMultiLvlLbl val="0"/>
      </c:catAx>
      <c:valAx>
        <c:axId val="338700544"/>
        <c:scaling>
          <c:orientation val="minMax"/>
        </c:scaling>
        <c:delete val="0"/>
        <c:axPos val="l"/>
        <c:majorGridlines/>
        <c:numFmt formatCode="G/通用格式" sourceLinked="1"/>
        <c:majorTickMark val="out"/>
        <c:minorTickMark val="none"/>
        <c:tickLblPos val="nextTo"/>
        <c:crossAx val="3386990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26378744910433"/>
          <c:y val="7.2695642286591436E-2"/>
          <c:w val="0.6927154528219186"/>
          <c:h val="0.78638581729630364"/>
        </c:manualLayout>
      </c:layout>
      <c:barChart>
        <c:barDir val="col"/>
        <c:grouping val="clustered"/>
        <c:varyColors val="0"/>
        <c:ser>
          <c:idx val="0"/>
          <c:order val="0"/>
          <c:tx>
            <c:strRef>
              <c:f>Sheet1!$B$1</c:f>
              <c:strCache>
                <c:ptCount val="1"/>
                <c:pt idx="0">
                  <c:v>基本支出</c:v>
                </c:pt>
              </c:strCache>
            </c:strRef>
          </c:tx>
          <c:invertIfNegative val="0"/>
          <c:dLbls>
            <c:showLegendKey val="0"/>
            <c:showVal val="1"/>
            <c:showCatName val="0"/>
            <c:showSerName val="0"/>
            <c:showPercent val="0"/>
            <c:showBubbleSize val="0"/>
            <c:showLeaderLines val="0"/>
          </c:dLbls>
          <c:cat>
            <c:strRef>
              <c:f>Sheet1!$A$2</c:f>
              <c:strCache>
                <c:ptCount val="1"/>
                <c:pt idx="0">
                  <c:v>2019年</c:v>
                </c:pt>
              </c:strCache>
            </c:strRef>
          </c:cat>
          <c:val>
            <c:numRef>
              <c:f>Sheet1!$B$2</c:f>
              <c:numCache>
                <c:formatCode>G/通用格式</c:formatCode>
                <c:ptCount val="1"/>
                <c:pt idx="0">
                  <c:v>1150.1099999999999</c:v>
                </c:pt>
              </c:numCache>
            </c:numRef>
          </c:val>
        </c:ser>
        <c:ser>
          <c:idx val="1"/>
          <c:order val="1"/>
          <c:tx>
            <c:strRef>
              <c:f>Sheet1!$C$1</c:f>
              <c:strCache>
                <c:ptCount val="1"/>
                <c:pt idx="0">
                  <c:v>项目支出</c:v>
                </c:pt>
              </c:strCache>
            </c:strRef>
          </c:tx>
          <c:invertIfNegative val="0"/>
          <c:dLbls>
            <c:showLegendKey val="0"/>
            <c:showVal val="1"/>
            <c:showCatName val="0"/>
            <c:showSerName val="0"/>
            <c:showPercent val="0"/>
            <c:showBubbleSize val="0"/>
            <c:showLeaderLines val="0"/>
          </c:dLbls>
          <c:cat>
            <c:strRef>
              <c:f>Sheet1!$A$2</c:f>
              <c:strCache>
                <c:ptCount val="1"/>
                <c:pt idx="0">
                  <c:v>2019年</c:v>
                </c:pt>
              </c:strCache>
            </c:strRef>
          </c:cat>
          <c:val>
            <c:numRef>
              <c:f>Sheet1!$C$2</c:f>
              <c:numCache>
                <c:formatCode>G/通用格式</c:formatCode>
                <c:ptCount val="1"/>
                <c:pt idx="0">
                  <c:v>247.47</c:v>
                </c:pt>
              </c:numCache>
            </c:numRef>
          </c:val>
        </c:ser>
        <c:ser>
          <c:idx val="2"/>
          <c:order val="2"/>
          <c:tx>
            <c:strRef>
              <c:f>Sheet1!$D$1</c:f>
              <c:strCache>
                <c:ptCount val="1"/>
                <c:pt idx="0">
                  <c:v>经营支出</c:v>
                </c:pt>
              </c:strCache>
            </c:strRef>
          </c:tx>
          <c:invertIfNegative val="0"/>
          <c:cat>
            <c:strRef>
              <c:f>Sheet1!$A$2</c:f>
              <c:strCache>
                <c:ptCount val="1"/>
                <c:pt idx="0">
                  <c:v>2019年</c:v>
                </c:pt>
              </c:strCache>
            </c:strRef>
          </c:cat>
          <c:val>
            <c:numRef>
              <c:f>Sheet1!$D$2</c:f>
              <c:numCache>
                <c:formatCode>G/通用格式</c:formatCode>
                <c:ptCount val="1"/>
                <c:pt idx="0">
                  <c:v>0</c:v>
                </c:pt>
              </c:numCache>
            </c:numRef>
          </c:val>
        </c:ser>
        <c:dLbls>
          <c:showLegendKey val="0"/>
          <c:showVal val="0"/>
          <c:showCatName val="0"/>
          <c:showSerName val="0"/>
          <c:showPercent val="0"/>
          <c:showBubbleSize val="0"/>
        </c:dLbls>
        <c:gapWidth val="150"/>
        <c:axId val="339529728"/>
        <c:axId val="339531264"/>
      </c:barChart>
      <c:catAx>
        <c:axId val="339529728"/>
        <c:scaling>
          <c:orientation val="minMax"/>
        </c:scaling>
        <c:delete val="0"/>
        <c:axPos val="b"/>
        <c:majorTickMark val="out"/>
        <c:minorTickMark val="none"/>
        <c:tickLblPos val="nextTo"/>
        <c:crossAx val="339531264"/>
        <c:crosses val="autoZero"/>
        <c:auto val="1"/>
        <c:lblAlgn val="ctr"/>
        <c:lblOffset val="100"/>
        <c:noMultiLvlLbl val="0"/>
      </c:catAx>
      <c:valAx>
        <c:axId val="339531264"/>
        <c:scaling>
          <c:orientation val="minMax"/>
        </c:scaling>
        <c:delete val="0"/>
        <c:axPos val="l"/>
        <c:majorGridlines/>
        <c:numFmt formatCode="G/通用格式" sourceLinked="1"/>
        <c:majorTickMark val="out"/>
        <c:minorTickMark val="none"/>
        <c:tickLblPos val="nextTo"/>
        <c:crossAx val="3395297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财政拨款收入</c:v>
                </c:pt>
              </c:strCache>
            </c:strRef>
          </c:tx>
          <c:invertIfNegative val="0"/>
          <c:cat>
            <c:strRef>
              <c:f>Sheet1!$A$2:$A$3</c:f>
              <c:strCache>
                <c:ptCount val="2"/>
                <c:pt idx="0">
                  <c:v>2018年</c:v>
                </c:pt>
                <c:pt idx="1">
                  <c:v>2019年</c:v>
                </c:pt>
              </c:strCache>
            </c:strRef>
          </c:cat>
          <c:val>
            <c:numRef>
              <c:f>Sheet1!$B$2:$B$3</c:f>
              <c:numCache>
                <c:formatCode>G/通用格式</c:formatCode>
                <c:ptCount val="2"/>
                <c:pt idx="0">
                  <c:v>1867.05</c:v>
                </c:pt>
                <c:pt idx="1">
                  <c:v>1397.58</c:v>
                </c:pt>
              </c:numCache>
            </c:numRef>
          </c:val>
        </c:ser>
        <c:ser>
          <c:idx val="1"/>
          <c:order val="1"/>
          <c:tx>
            <c:strRef>
              <c:f>Sheet1!$C$1</c:f>
              <c:strCache>
                <c:ptCount val="1"/>
                <c:pt idx="0">
                  <c:v>财政拨款支出</c:v>
                </c:pt>
              </c:strCache>
            </c:strRef>
          </c:tx>
          <c:invertIfNegative val="0"/>
          <c:dLbls>
            <c:showLegendKey val="0"/>
            <c:showVal val="1"/>
            <c:showCatName val="0"/>
            <c:showSerName val="0"/>
            <c:showPercent val="0"/>
            <c:showBubbleSize val="0"/>
            <c:showLeaderLines val="0"/>
          </c:dLbls>
          <c:cat>
            <c:strRef>
              <c:f>Sheet1!$A$2:$A$3</c:f>
              <c:strCache>
                <c:ptCount val="2"/>
                <c:pt idx="0">
                  <c:v>2018年</c:v>
                </c:pt>
                <c:pt idx="1">
                  <c:v>2019年</c:v>
                </c:pt>
              </c:strCache>
            </c:strRef>
          </c:cat>
          <c:val>
            <c:numRef>
              <c:f>Sheet1!$C$2:$C$3</c:f>
              <c:numCache>
                <c:formatCode>G/通用格式</c:formatCode>
                <c:ptCount val="2"/>
                <c:pt idx="0">
                  <c:v>1867.05</c:v>
                </c:pt>
                <c:pt idx="1">
                  <c:v>1397.58</c:v>
                </c:pt>
              </c:numCache>
            </c:numRef>
          </c:val>
        </c:ser>
        <c:dLbls>
          <c:showLegendKey val="0"/>
          <c:showVal val="0"/>
          <c:showCatName val="0"/>
          <c:showSerName val="0"/>
          <c:showPercent val="0"/>
          <c:showBubbleSize val="0"/>
        </c:dLbls>
        <c:gapWidth val="150"/>
        <c:axId val="338950400"/>
        <c:axId val="339959808"/>
      </c:barChart>
      <c:catAx>
        <c:axId val="338950400"/>
        <c:scaling>
          <c:orientation val="minMax"/>
        </c:scaling>
        <c:delete val="0"/>
        <c:axPos val="b"/>
        <c:majorTickMark val="out"/>
        <c:minorTickMark val="none"/>
        <c:tickLblPos val="nextTo"/>
        <c:crossAx val="339959808"/>
        <c:crosses val="autoZero"/>
        <c:auto val="1"/>
        <c:lblAlgn val="ctr"/>
        <c:lblOffset val="100"/>
        <c:noMultiLvlLbl val="0"/>
      </c:catAx>
      <c:valAx>
        <c:axId val="339959808"/>
        <c:scaling>
          <c:orientation val="minMax"/>
        </c:scaling>
        <c:delete val="0"/>
        <c:axPos val="l"/>
        <c:majorGridlines/>
        <c:numFmt formatCode="G/通用格式" sourceLinked="1"/>
        <c:majorTickMark val="out"/>
        <c:minorTickMark val="none"/>
        <c:tickLblPos val="nextTo"/>
        <c:crossAx val="33895040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财政拨款支出</c:v>
                </c:pt>
              </c:strCache>
            </c:strRef>
          </c:tx>
          <c:invertIfNegative val="0"/>
          <c:dLbls>
            <c:showLegendKey val="0"/>
            <c:showVal val="1"/>
            <c:showCatName val="0"/>
            <c:showSerName val="0"/>
            <c:showPercent val="0"/>
            <c:showBubbleSize val="0"/>
            <c:showLeaderLines val="0"/>
          </c:dLbls>
          <c:cat>
            <c:strRef>
              <c:f>Sheet1!$A$2:$A$3</c:f>
              <c:strCache>
                <c:ptCount val="2"/>
                <c:pt idx="0">
                  <c:v>2018年</c:v>
                </c:pt>
                <c:pt idx="1">
                  <c:v>2019年</c:v>
                </c:pt>
              </c:strCache>
            </c:strRef>
          </c:cat>
          <c:val>
            <c:numRef>
              <c:f>Sheet1!$B$2:$B$3</c:f>
              <c:numCache>
                <c:formatCode>G/通用格式</c:formatCode>
                <c:ptCount val="2"/>
                <c:pt idx="0">
                  <c:v>1867.05</c:v>
                </c:pt>
                <c:pt idx="1">
                  <c:v>1397.58</c:v>
                </c:pt>
              </c:numCache>
            </c:numRef>
          </c:val>
        </c:ser>
        <c:dLbls>
          <c:showLegendKey val="0"/>
          <c:showVal val="0"/>
          <c:showCatName val="0"/>
          <c:showSerName val="0"/>
          <c:showPercent val="0"/>
          <c:showBubbleSize val="0"/>
        </c:dLbls>
        <c:gapWidth val="150"/>
        <c:axId val="342835200"/>
        <c:axId val="342836736"/>
      </c:barChart>
      <c:catAx>
        <c:axId val="342835200"/>
        <c:scaling>
          <c:orientation val="minMax"/>
        </c:scaling>
        <c:delete val="0"/>
        <c:axPos val="b"/>
        <c:majorTickMark val="out"/>
        <c:minorTickMark val="none"/>
        <c:tickLblPos val="nextTo"/>
        <c:crossAx val="342836736"/>
        <c:crosses val="autoZero"/>
        <c:auto val="1"/>
        <c:lblAlgn val="ctr"/>
        <c:lblOffset val="100"/>
        <c:noMultiLvlLbl val="0"/>
      </c:catAx>
      <c:valAx>
        <c:axId val="342836736"/>
        <c:scaling>
          <c:orientation val="minMax"/>
        </c:scaling>
        <c:delete val="0"/>
        <c:axPos val="l"/>
        <c:majorGridlines/>
        <c:numFmt formatCode="G/通用格式" sourceLinked="1"/>
        <c:majorTickMark val="out"/>
        <c:minorTickMark val="none"/>
        <c:tickLblPos val="nextTo"/>
        <c:crossAx val="3428352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104</cp:revision>
  <cp:lastPrinted>2020-07-28T02:12:00Z</cp:lastPrinted>
  <dcterms:created xsi:type="dcterms:W3CDTF">2020-09-14T03:03:00Z</dcterms:created>
  <dcterms:modified xsi:type="dcterms:W3CDTF">2020-10-16T06:37:00Z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