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bookmarkStart w:id="0" w:name="_GoBack"/>
      <w:r>
        <w:rPr>
          <w:rFonts w:hint="eastAsia" w:asciiTheme="majorEastAsia" w:hAnsiTheme="majorEastAsia" w:eastAsiaTheme="majorEastAsia" w:cstheme="majorEastAsia"/>
          <w:b/>
          <w:bCs/>
          <w:sz w:val="48"/>
          <w:szCs w:val="48"/>
        </w:rPr>
        <w:t>眉县政协办</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bookmarkEnd w:id="0"/>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642" w:firstLineChars="20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642" w:firstLineChars="20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spacing w:line="500" w:lineRule="exact"/>
        <w:ind w:firstLine="642" w:firstLineChars="200"/>
        <w:rPr>
          <w:rFonts w:ascii="仿宋" w:hAnsi="仿宋" w:eastAsia="仿宋" w:cs="仿宋"/>
          <w:b/>
          <w:color w:val="000000"/>
          <w:sz w:val="32"/>
          <w:szCs w:val="32"/>
        </w:rPr>
      </w:pPr>
      <w:r>
        <w:rPr>
          <w:rFonts w:hint="eastAsia" w:ascii="仿宋" w:hAnsi="仿宋" w:eastAsia="仿宋" w:cs="仿宋"/>
          <w:b/>
          <w:color w:val="000000"/>
          <w:sz w:val="32"/>
          <w:szCs w:val="32"/>
        </w:rPr>
        <w:t>（一）主要职责</w:t>
      </w:r>
    </w:p>
    <w:p>
      <w:pPr>
        <w:pStyle w:val="6"/>
        <w:shd w:val="clear" w:color="auto" w:fill="FFFFFF"/>
        <w:spacing w:before="0" w:beforeAutospacing="0" w:after="0" w:afterAutospacing="0" w:line="520" w:lineRule="exact"/>
        <w:ind w:firstLine="641"/>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1、负责县政协全体会议、常务委员会议、主席会议、主任办公会议、以及其他重要会议、活动的组织和服务工作，负责上述会议所形成的决议、决定、建议案的组织实施。</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2、协调县政协各专门委员会的工作，充分发挥县政协委员的作用，履行好政治协商、民主监督、参政议政的基本职责。</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3、负责县政协委员学习培训工作，组织委员开展视察、参观、调查、座谈、学习、研讨活动；受市政协办公室的委托，组织在眉市政协委员进行视察活动；组织乡镇政协联络组开展调研视察及社情民意收集反映工作。</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4、研究统一战线和人民政协的理论、政策，调查研究地方政协的共同性问题及其解决方法，供领导参考。</w:t>
      </w:r>
    </w:p>
    <w:p>
      <w:pPr>
        <w:pStyle w:val="6"/>
        <w:shd w:val="clear" w:color="auto" w:fill="FFFFFF"/>
        <w:spacing w:before="0" w:beforeAutospacing="0" w:after="0" w:afterAutospacing="0" w:line="520" w:lineRule="exact"/>
        <w:ind w:firstLine="641"/>
        <w:rPr>
          <w:rFonts w:ascii="仿宋_GB2312" w:hAnsi="仿宋_GB2312" w:eastAsia="仿宋_GB2312" w:cs="仿宋_GB2312"/>
          <w:w w:val="96"/>
          <w:kern w:val="2"/>
          <w:sz w:val="28"/>
          <w:szCs w:val="28"/>
        </w:rPr>
      </w:pPr>
      <w:r>
        <w:rPr>
          <w:rFonts w:hint="eastAsia" w:ascii="仿宋_GB2312" w:hAnsi="仿宋_GB2312" w:eastAsia="仿宋_GB2312" w:cs="仿宋_GB2312"/>
          <w:kern w:val="2"/>
          <w:sz w:val="28"/>
          <w:szCs w:val="28"/>
        </w:rPr>
        <w:t>5、收集整理人文史料，编撰出版眉县文史资料。</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6、宣传人民政协的方针政策、工作业绩和经验以及政协委员的先进事迹，收集和反映县政协委员和各界人士的意见与建议，综合反映社情民意。</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7、联系工商联、各人民团体和无党派人士，联系县直有关部门,互通信息,协调工作，加强合作。</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8、负责县政协开展各项活动的有关后勤服务管理工作和县政协机关行政事务管理工作。</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rPr>
        <w:t>　　</w:t>
      </w:r>
      <w:r>
        <w:rPr>
          <w:rFonts w:hint="eastAsia" w:ascii="仿宋_GB2312" w:hAnsi="仿宋_GB2312" w:eastAsia="仿宋_GB2312" w:cs="仿宋_GB2312"/>
          <w:w w:val="96"/>
          <w:kern w:val="2"/>
          <w:sz w:val="28"/>
          <w:szCs w:val="28"/>
        </w:rPr>
        <w:t>9、承担政协人事任免的有关工作，负责离退休干部的管理和服务工作。</w:t>
      </w:r>
    </w:p>
    <w:p>
      <w:pPr>
        <w:pStyle w:val="6"/>
        <w:shd w:val="clear" w:color="auto" w:fill="FFFFFF"/>
        <w:spacing w:before="0" w:beforeAutospacing="0" w:after="0" w:afterAutospacing="0" w:line="520" w:lineRule="exact"/>
        <w:ind w:firstLine="641"/>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10、负责接待来眉调研视察的各级政协组织，接待来访的海内外有关友好人士，搞好对外联谊交流工作。</w:t>
      </w:r>
    </w:p>
    <w:p>
      <w:pPr>
        <w:widowControl/>
        <w:ind w:firstLine="642"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pStyle w:val="6"/>
        <w:shd w:val="clear" w:color="auto" w:fill="FFFFFF"/>
        <w:spacing w:before="0" w:beforeAutospacing="0" w:after="0" w:afterAutospacing="0" w:line="520" w:lineRule="exact"/>
        <w:ind w:firstLine="641"/>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县政协办为正科级建制单位。行政编制16人，内设提案委员会、经济委员会、社会法制和民族外事委员会、教文卫体和文化文史委员会，均为正科级设置。机关设有后勤服务所，有事业编制7人。</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宋体" w:eastAsia="仿宋_GB2312" w:cs="宋体"/>
          <w:sz w:val="32"/>
          <w:szCs w:val="32"/>
        </w:rPr>
        <w:t>县</w:t>
      </w:r>
      <w:r>
        <w:rPr>
          <w:rFonts w:hint="eastAsia" w:ascii="仿宋_GB2312" w:hAnsi="华文中宋" w:eastAsia="仿宋_GB2312"/>
          <w:spacing w:val="-4"/>
          <w:sz w:val="32"/>
          <w:szCs w:val="32"/>
        </w:rPr>
        <w:t>政协办公室</w:t>
      </w:r>
      <w:r>
        <w:rPr>
          <w:rFonts w:hint="eastAsia" w:ascii="仿宋_GB2312" w:eastAsia="仿宋_GB2312" w:cs="仿宋_GB2312"/>
          <w:color w:val="333333"/>
          <w:sz w:val="32"/>
          <w:szCs w:val="32"/>
          <w:shd w:val="clear" w:color="auto" w:fill="FFFFFF"/>
        </w:rPr>
        <w:t>预算是一级构成单位,</w:t>
      </w:r>
      <w:r>
        <w:rPr>
          <w:rFonts w:hint="eastAsia" w:ascii="仿宋_GB2312" w:hAnsi="仿宋_GB2312" w:eastAsia="仿宋_GB2312" w:cs="仿宋_GB2312"/>
          <w:sz w:val="32"/>
          <w:szCs w:val="32"/>
        </w:rPr>
        <w:t>纳入2019年本部门决算编制范围的单位共1个，没有下级预算单位,</w:t>
      </w:r>
      <w:r>
        <w:rPr>
          <w:rFonts w:hint="eastAsia" w:ascii="仿宋_GB2312" w:eastAsia="仿宋_GB2312" w:cs="仿宋_GB2312"/>
          <w:color w:val="333333"/>
          <w:sz w:val="32"/>
          <w:szCs w:val="32"/>
          <w:shd w:val="clear" w:color="auto" w:fill="FFFFFF"/>
        </w:rPr>
        <w:t>经费管理实行财政零余额帐户管理模式。</w:t>
      </w:r>
    </w:p>
    <w:p>
      <w:pPr>
        <w:ind w:firstLine="640"/>
        <w:rPr>
          <w:rFonts w:ascii="仿宋_GB2312" w:hAnsi="仿宋_GB2312" w:eastAsia="仿宋_GB2312" w:cs="仿宋_GB2312"/>
          <w:sz w:val="32"/>
          <w:szCs w:val="32"/>
        </w:rPr>
      </w:pP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中国人民政治协商会议陕西省眉县委员会办公室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9年底，本部门人员编制23人，其中行政编制16人、事业编制7人；实有人员24人，其中行政18人、事业6人。单位管理的离退休人员23人。</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黑体" w:hAnsi="宋体" w:eastAsia="黑体"/>
          <w:color w:val="000000"/>
          <w:kern w:val="0"/>
          <w:sz w:val="44"/>
          <w:szCs w:val="44"/>
        </w:rPr>
      </w:pPr>
      <w:r>
        <w:rPr>
          <w:rFonts w:ascii="??_GB2312" w:hAnsi="??_GB2312" w:cs="??_GB2312"/>
          <w:color w:val="000000"/>
          <w:sz w:val="32"/>
          <w:szCs w:val="32"/>
        </w:rPr>
        <w:pict>
          <v:shape id="_x0000_s1030" o:spid="_x0000_s1030" o:spt="75" type="#_x0000_t75" style="position:absolute;left:0pt;margin-left:6.8pt;margin-top:25.65pt;height:273.35pt;width:411.4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6" o:title=""/>
            <o:lock v:ext="edit" aspectratio="t"/>
            <w10:wrap type="square"/>
          </v:shape>
          <o:OLEObject Type="Embed" ProgID="Excel.Chart.8" ShapeID="_x0000_s1030" DrawAspect="Content" ObjectID="_1468075725" r:id="rId5">
            <o:LockedField>false</o:LockedField>
          </o:OLEObject>
        </w:pict>
      </w: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没有此项收入</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中国人民政治协商会议陕西省眉县委员会办公室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414.77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357.73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414.77</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414.77</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0.04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0.04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414.81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414.81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spacing w:line="280" w:lineRule="exact"/>
        <w:rPr>
          <w:rFonts w:ascii="宋体" w:hAnsi="宋体" w:cs="宋体"/>
          <w:b/>
          <w:bCs/>
          <w:szCs w:val="21"/>
        </w:rPr>
      </w:pPr>
      <w:r>
        <w:rPr>
          <w:rFonts w:hint="eastAsia" w:ascii="宋体" w:hAnsi="宋体" w:cs="宋体"/>
          <w:b/>
          <w:bCs/>
          <w:szCs w:val="21"/>
        </w:rPr>
        <w:t>公开02表</w:t>
      </w:r>
    </w:p>
    <w:p>
      <w:pPr>
        <w:spacing w:line="280" w:lineRule="exact"/>
        <w:rPr>
          <w:rFonts w:ascii="宋体" w:hAnsi="宋体" w:cs="宋体"/>
          <w:b/>
          <w:bCs/>
          <w:sz w:val="48"/>
          <w:szCs w:val="48"/>
        </w:rPr>
      </w:pPr>
      <w:r>
        <w:rPr>
          <w:rFonts w:hint="eastAsia" w:ascii="宋体" w:hAnsi="宋体" w:cs="宋体"/>
          <w:b/>
          <w:bCs/>
          <w:szCs w:val="21"/>
        </w:rPr>
        <w:t>编制部门：中国人民政治协商会议陕西省眉县委员会办公室             金额单位：万元</w:t>
      </w:r>
    </w:p>
    <w:tbl>
      <w:tblPr>
        <w:tblStyle w:val="8"/>
        <w:tblW w:w="8867" w:type="dxa"/>
        <w:tblInd w:w="0" w:type="dxa"/>
        <w:tblLayout w:type="fixed"/>
        <w:tblCellMar>
          <w:top w:w="15" w:type="dxa"/>
          <w:left w:w="15" w:type="dxa"/>
          <w:bottom w:w="15" w:type="dxa"/>
          <w:right w:w="15" w:type="dxa"/>
        </w:tblCellMar>
      </w:tblPr>
      <w:tblGrid>
        <w:gridCol w:w="927"/>
        <w:gridCol w:w="2153"/>
        <w:gridCol w:w="1765"/>
        <w:gridCol w:w="1149"/>
        <w:gridCol w:w="549"/>
        <w:gridCol w:w="531"/>
        <w:gridCol w:w="497"/>
        <w:gridCol w:w="377"/>
        <w:gridCol w:w="515"/>
        <w:gridCol w:w="404"/>
      </w:tblGrid>
      <w:tr>
        <w:tblPrEx>
          <w:tblCellMar>
            <w:top w:w="15" w:type="dxa"/>
            <w:left w:w="15" w:type="dxa"/>
            <w:bottom w:w="15" w:type="dxa"/>
            <w:right w:w="15" w:type="dxa"/>
          </w:tblCellMar>
        </w:tblPrEx>
        <w:trPr>
          <w:trHeight w:val="439" w:hRule="atLeast"/>
        </w:trPr>
        <w:tc>
          <w:tcPr>
            <w:tcW w:w="30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0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3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947" w:hRule="atLeast"/>
        </w:trPr>
        <w:tc>
          <w:tcPr>
            <w:tcW w:w="927" w:type="dxa"/>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53" w:type="dxa"/>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spacing w:line="280" w:lineRule="exact"/>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小计</w:t>
            </w: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 xml:space="preserve">其中：教育 </w:t>
            </w:r>
          </w:p>
          <w:p>
            <w:pPr>
              <w:spacing w:line="280" w:lineRule="exact"/>
              <w:ind w:firstLine="843" w:firstLineChars="400"/>
              <w:rPr>
                <w:rFonts w:ascii="宋体" w:hAnsi="宋体" w:cs="宋体"/>
                <w:b/>
                <w:color w:val="000000"/>
                <w:szCs w:val="21"/>
              </w:rPr>
            </w:pPr>
            <w:r>
              <w:rPr>
                <w:rFonts w:hint="eastAsia" w:ascii="宋体" w:hAnsi="宋体" w:cs="宋体"/>
                <w:b/>
                <w:color w:val="000000"/>
                <w:szCs w:val="21"/>
              </w:rPr>
              <w:t>费</w:t>
            </w:r>
          </w:p>
        </w:tc>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c>
          <w:tcPr>
            <w:tcW w:w="40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p>
        </w:tc>
      </w:tr>
      <w:tr>
        <w:tblPrEx>
          <w:tblCellMar>
            <w:top w:w="15" w:type="dxa"/>
            <w:left w:w="15" w:type="dxa"/>
            <w:bottom w:w="15" w:type="dxa"/>
            <w:right w:w="15" w:type="dxa"/>
          </w:tblCellMar>
        </w:tblPrEx>
        <w:trPr>
          <w:trHeight w:val="476" w:hRule="atLeast"/>
        </w:trPr>
        <w:tc>
          <w:tcPr>
            <w:tcW w:w="30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414.77</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414.77</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color w:val="000000"/>
                <w:szCs w:val="21"/>
              </w:rPr>
            </w:pPr>
            <w:r>
              <w:rPr>
                <w:rFonts w:hint="eastAsia" w:ascii="宋体" w:hAnsi="宋体" w:cs="宋体"/>
                <w:color w:val="000000"/>
                <w:szCs w:val="21"/>
              </w:rPr>
              <w:t>一般公共服务支出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357.73</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357.73</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20102</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政协事务</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357.28</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357.28</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2010201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 xml:space="preserve">行政运行 </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207.78</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207.78</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2010202</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一般行政管理事务</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106.50</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106.50</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2010299</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其他政协事务支出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43</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43</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20132</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组织事务</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0.45</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0.45</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2013204</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公务员事务</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0.45</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0.45</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208</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社会保障和就业支出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35.55</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35.55</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20805</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行政事业单位离退休</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35.55</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35.55</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2080505</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机关事业单位基本养老缴费支出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33.92</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33.92</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2080506</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机关事业单位职业年金缴费支出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1.63</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1.63</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210</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卫生健康支出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21011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行政事业单位医疗</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2101101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行政单位医疗</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10.72</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221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住房保障支出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22102</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住房改革支出</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宋体"/>
                <w:color w:val="000000"/>
                <w:szCs w:val="21"/>
              </w:rPr>
            </w:pPr>
            <w:r>
              <w:rPr>
                <w:rFonts w:hint="eastAsia" w:ascii="宋体" w:hAnsi="宋体" w:cs="宋体"/>
                <w:color w:val="000000"/>
                <w:szCs w:val="21"/>
              </w:rPr>
              <w:t>2210201</w:t>
            </w: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color w:val="000000"/>
                <w:szCs w:val="21"/>
              </w:rPr>
            </w:pPr>
            <w:r>
              <w:rPr>
                <w:rFonts w:hint="eastAsia" w:ascii="宋体" w:hAnsi="宋体" w:cs="宋体"/>
                <w:color w:val="000000"/>
                <w:szCs w:val="21"/>
              </w:rPr>
              <w:t>住房公积金</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11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r>
              <w:rPr>
                <w:rFonts w:hint="eastAsia" w:ascii="宋体" w:hAnsi="宋体" w:cs="宋体"/>
                <w:color w:val="000000"/>
                <w:szCs w:val="21"/>
              </w:rPr>
              <w:t>10.77</w:t>
            </w: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3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5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宋体" w:hAnsi="宋体" w:cs="宋体"/>
                <w:color w:val="000000"/>
                <w:szCs w:val="21"/>
              </w:rPr>
            </w:pPr>
          </w:p>
        </w:tc>
      </w:tr>
    </w:tbl>
    <w:p>
      <w:pPr>
        <w:widowControl/>
        <w:jc w:val="left"/>
        <w:rPr>
          <w:rFonts w:ascii="宋体" w:hAnsi="宋体" w:cs="宋体"/>
          <w:szCs w:val="21"/>
        </w:rPr>
      </w:pPr>
    </w:p>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中国人民政治协商会议陕西省眉县委员会办公室               金额单位：万元</w:t>
      </w:r>
    </w:p>
    <w:tbl>
      <w:tblPr>
        <w:tblStyle w:val="8"/>
        <w:tblW w:w="8953" w:type="dxa"/>
        <w:tblInd w:w="-57" w:type="dxa"/>
        <w:tblLayout w:type="fixed"/>
        <w:tblCellMar>
          <w:top w:w="15" w:type="dxa"/>
          <w:left w:w="15" w:type="dxa"/>
          <w:bottom w:w="15" w:type="dxa"/>
          <w:right w:w="15" w:type="dxa"/>
        </w:tblCellMar>
      </w:tblPr>
      <w:tblGrid>
        <w:gridCol w:w="971"/>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1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357.73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308.27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政协事务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357.28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251.23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行政运行 </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250.78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2010202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其他政协事务支出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机关事业单位基本养老缴费支出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33.92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33.92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机关事业单位职业年金缴费支出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ind w:firstLine="2248" w:firstLineChars="700"/>
        <w:rPr>
          <w:rFonts w:ascii="宋体" w:hAnsi="宋体" w:cs="宋体"/>
          <w:b/>
          <w:bCs/>
          <w:sz w:val="32"/>
          <w:szCs w:val="32"/>
        </w:rPr>
      </w:pPr>
    </w:p>
    <w:p>
      <w:pPr>
        <w:ind w:firstLine="2248" w:firstLineChars="700"/>
        <w:rPr>
          <w:rFonts w:ascii="宋体" w:hAnsi="宋体" w:cs="宋体"/>
          <w:b/>
          <w:bCs/>
          <w:sz w:val="32"/>
          <w:szCs w:val="32"/>
        </w:rPr>
      </w:pPr>
    </w:p>
    <w:p>
      <w:pPr>
        <w:ind w:firstLine="2248" w:firstLineChars="700"/>
        <w:rPr>
          <w:rFonts w:ascii="宋体" w:hAnsi="宋体" w:cs="宋体"/>
          <w:b/>
          <w:bCs/>
          <w:sz w:val="32"/>
          <w:szCs w:val="32"/>
        </w:rPr>
      </w:pPr>
    </w:p>
    <w:p>
      <w:pPr>
        <w:ind w:firstLine="2248" w:firstLineChars="700"/>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 xml:space="preserve">编制部门：  中国人民政治协商会议陕西省眉县委员会办公室  公开04表  金额单位：万元   </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414.77</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357.73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357.73</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35.55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35.55</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10.72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10.72</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10.77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10.77</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1102"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c>
          <w:tcPr>
            <w:tcW w:w="984"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本年支出合计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414.77</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414.77</w:t>
            </w:r>
          </w:p>
        </w:tc>
        <w:tc>
          <w:tcPr>
            <w:tcW w:w="984"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年末财政拨款结转和结余</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0.04</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0.04</w:t>
            </w:r>
          </w:p>
        </w:tc>
        <w:tc>
          <w:tcPr>
            <w:tcW w:w="984"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总计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414.81</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414.81</w:t>
            </w:r>
          </w:p>
        </w:tc>
        <w:tc>
          <w:tcPr>
            <w:tcW w:w="984"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Cs w:val="21"/>
              </w:rPr>
            </w:pPr>
            <w:r>
              <w:rPr>
                <w:rFonts w:ascii="宋体" w:hAnsi="宋体"/>
                <w:color w:val="000000"/>
                <w:sz w:val="22"/>
              </w:rPr>
              <w:t>0.00</w:t>
            </w:r>
          </w:p>
        </w:tc>
      </w:tr>
    </w:tbl>
    <w:p>
      <w:pPr>
        <w:ind w:firstLine="642" w:firstLineChars="200"/>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中国人民政治协商会议陕西省眉县委员会办公室          金额单位：万元</w:t>
      </w:r>
    </w:p>
    <w:tbl>
      <w:tblPr>
        <w:tblStyle w:val="8"/>
        <w:tblW w:w="8777" w:type="dxa"/>
        <w:tblInd w:w="0" w:type="dxa"/>
        <w:tblLayout w:type="fixed"/>
        <w:tblCellMar>
          <w:top w:w="15" w:type="dxa"/>
          <w:left w:w="15" w:type="dxa"/>
          <w:bottom w:w="15" w:type="dxa"/>
          <w:right w:w="15" w:type="dxa"/>
        </w:tblCellMar>
      </w:tblPr>
      <w:tblGrid>
        <w:gridCol w:w="1170"/>
        <w:gridCol w:w="2321"/>
        <w:gridCol w:w="1029"/>
        <w:gridCol w:w="925"/>
        <w:gridCol w:w="1046"/>
        <w:gridCol w:w="874"/>
        <w:gridCol w:w="926"/>
        <w:gridCol w:w="486"/>
      </w:tblGrid>
      <w:tr>
        <w:tblPrEx>
          <w:tblCellMar>
            <w:top w:w="15" w:type="dxa"/>
            <w:left w:w="15" w:type="dxa"/>
            <w:bottom w:w="15" w:type="dxa"/>
            <w:right w:w="15" w:type="dxa"/>
          </w:tblCellMar>
        </w:tblPrEx>
        <w:trPr>
          <w:trHeight w:val="414" w:hRule="atLeast"/>
        </w:trPr>
        <w:tc>
          <w:tcPr>
            <w:tcW w:w="3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4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414.77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308.27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265.27</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414.77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308.27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265.27</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20106</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政协事务</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357.28</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250.78</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207.78</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2010201</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207.78</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207.78</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207.78</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2010202</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一般行政管理事务</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106.50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106.5</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2010299</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其他政协事务支出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组织事务</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2013204</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公务员事务</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0.45</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社会保障和就业支出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行政事业单位离退休</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35.55</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2080505</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机关事业单位基本养老缴费支出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33.92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33.92</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2080506</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机关事业单位职业年金缴费支出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卫生健康支出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行政事业单位医疗</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2101101</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行政单位医疗</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住房保障支出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23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住房改革支出</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p>
        </w:tc>
        <w:tc>
          <w:tcPr>
            <w:tcW w:w="23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10.77</w:t>
            </w:r>
          </w:p>
        </w:tc>
        <w:tc>
          <w:tcPr>
            <w:tcW w:w="1046"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9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中国人民政治协商会议陕西省眉县委员会办公室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308.27</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265.27</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43.00</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265.27</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106.71</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70.35</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17.96</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33.92</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10.72</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住房公积金 </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23.97</w:t>
            </w:r>
          </w:p>
        </w:tc>
        <w:tc>
          <w:tcPr>
            <w:tcW w:w="136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7"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000000"/>
                <w:szCs w:val="21"/>
              </w:rPr>
            </w:pPr>
            <w:r>
              <w:rPr>
                <w:rFonts w:ascii="宋体" w:hAnsi="宋体"/>
                <w:color w:val="000000"/>
                <w:sz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中国人民政治协商会议陕西省眉县委员会办公室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30.55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25.55</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16.55</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36.50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30.45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25.55</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16.55</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中国人民政治协商会议陕西省眉县委员会办公室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2019年收入总体情况及比上年增加了10.69万元，主要原因是职工工资晋升及各种配套费增加导致的增长。</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2019年支出总体情况及比上年增长10.69万元，主要原因是职工工资晋升及各种配套费增加导致的增长。</w:t>
      </w:r>
    </w:p>
    <w:p>
      <w:pPr>
        <w:widowControl/>
        <w:ind w:firstLine="480" w:firstLineChars="200"/>
        <w:jc w:val="left"/>
        <w:rPr>
          <w:rFonts w:ascii="仿宋_GB2312" w:hAnsi="仿宋" w:eastAsia="仿宋_GB2312"/>
          <w:sz w:val="32"/>
          <w:szCs w:val="32"/>
        </w:rPr>
      </w:pPr>
      <w:r>
        <w:rPr>
          <w:rFonts w:ascii="宋体" w:hAnsi="宋体" w:cs="宋体"/>
          <w:kern w:val="0"/>
          <w:sz w:val="24"/>
        </w:rPr>
        <w:drawing>
          <wp:inline distT="0" distB="0" distL="114300" distR="114300">
            <wp:extent cx="5508625" cy="2944495"/>
            <wp:effectExtent l="0" t="0" r="8255" b="12065"/>
            <wp:docPr id="2"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true"/>
                    </pic:cNvPicPr>
                  </pic:nvPicPr>
                  <pic:blipFill>
                    <a:blip r:embed="rId7"/>
                    <a:stretch>
                      <a:fillRect/>
                    </a:stretch>
                  </pic:blipFill>
                  <pic:spPr>
                    <a:xfrm>
                      <a:off x="0" y="0"/>
                      <a:ext cx="5508625" cy="2944495"/>
                    </a:xfrm>
                    <a:prstGeom prst="rect">
                      <a:avLst/>
                    </a:prstGeom>
                    <a:noFill/>
                    <a:ln w="9525">
                      <a:noFill/>
                    </a:ln>
                  </pic:spPr>
                </pic:pic>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jc w:val="left"/>
      </w:pPr>
    </w:p>
    <w:p>
      <w:pPr>
        <w:widowControl/>
        <w:jc w:val="left"/>
      </w:pPr>
      <w:r>
        <w:rPr>
          <w:rFonts w:ascii="宋体" w:hAnsi="宋体" w:cs="宋体"/>
          <w:kern w:val="0"/>
          <w:sz w:val="24"/>
        </w:rPr>
        <w:drawing>
          <wp:inline distT="0" distB="0" distL="114300" distR="114300">
            <wp:extent cx="5099050" cy="2635250"/>
            <wp:effectExtent l="0" t="0" r="6350" b="1270"/>
            <wp:docPr id="3"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6" descr="IMG_256"/>
                    <pic:cNvPicPr>
                      <a:picLocks noChangeAspect="true"/>
                    </pic:cNvPicPr>
                  </pic:nvPicPr>
                  <pic:blipFill>
                    <a:blip r:embed="rId8"/>
                    <a:stretch>
                      <a:fillRect/>
                    </a:stretch>
                  </pic:blipFill>
                  <pic:spPr>
                    <a:xfrm>
                      <a:off x="0" y="0"/>
                      <a:ext cx="5099050" cy="2635250"/>
                    </a:xfrm>
                    <a:prstGeom prst="rect">
                      <a:avLst/>
                    </a:prstGeom>
                    <a:noFill/>
                    <a:ln w="9525">
                      <a:noFill/>
                    </a:ln>
                  </pic:spPr>
                </pic:pic>
              </a:graphicData>
            </a:graphic>
          </wp:inline>
        </w:drawing>
      </w:r>
    </w:p>
    <w:p>
      <w:pPr>
        <w:widowControl/>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308.27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74.32</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106.5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25.68</w:t>
      </w:r>
      <w:r>
        <w:rPr>
          <w:rFonts w:ascii="仿宋_GB2312" w:hAnsi="宋体" w:eastAsia="仿宋_GB2312" w:cs="仿宋_GB2312"/>
          <w:color w:val="000000"/>
          <w:kern w:val="0"/>
          <w:sz w:val="32"/>
          <w:szCs w:val="32"/>
        </w:rPr>
        <w:t>%。</w:t>
      </w:r>
      <w:r>
        <w:rPr>
          <w:rFonts w:ascii="宋体" w:hAnsi="宋体" w:cs="宋体"/>
          <w:kern w:val="0"/>
          <w:sz w:val="24"/>
        </w:rPr>
        <w:drawing>
          <wp:inline distT="0" distB="0" distL="114300" distR="114300">
            <wp:extent cx="5743575" cy="3505200"/>
            <wp:effectExtent l="0" t="0" r="1905" b="0"/>
            <wp:docPr id="4" name="图片 7"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7" descr="IMG_256"/>
                    <pic:cNvPicPr>
                      <a:picLocks noChangeAspect="true"/>
                    </pic:cNvPicPr>
                  </pic:nvPicPr>
                  <pic:blipFill>
                    <a:blip r:embed="rId9"/>
                    <a:stretch>
                      <a:fillRect/>
                    </a:stretch>
                  </pic:blipFill>
                  <pic:spPr>
                    <a:xfrm>
                      <a:off x="0" y="0"/>
                      <a:ext cx="5743575" cy="3505200"/>
                    </a:xfrm>
                    <a:prstGeom prst="rect">
                      <a:avLst/>
                    </a:prstGeom>
                    <a:noFill/>
                    <a:ln w="9525">
                      <a:noFill/>
                    </a:ln>
                  </pic:spPr>
                </pic:pic>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收入总体情况及比上年增长了10.69万元，主要原因是职工工资晋升及各种配套费增加导致的增长。</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支出总体情况及比上年增长10.69万元，主要原因是职工工资晋升及各种配套费增加导致的增长。</w:t>
      </w:r>
    </w:p>
    <w:p>
      <w:pPr>
        <w:widowControl/>
        <w:ind w:firstLine="480" w:firstLineChars="200"/>
        <w:jc w:val="left"/>
        <w:rPr>
          <w:rFonts w:ascii="仿宋_GB2312" w:hAnsi="仿宋" w:eastAsia="仿宋_GB2312"/>
          <w:sz w:val="32"/>
          <w:szCs w:val="32"/>
        </w:rPr>
      </w:pPr>
      <w:r>
        <w:rPr>
          <w:rFonts w:ascii="宋体" w:hAnsi="宋体" w:cs="宋体"/>
          <w:kern w:val="0"/>
          <w:sz w:val="24"/>
        </w:rPr>
        <w:drawing>
          <wp:inline distT="0" distB="0" distL="114300" distR="114300">
            <wp:extent cx="5508625" cy="2944495"/>
            <wp:effectExtent l="0" t="0" r="8255" b="12065"/>
            <wp:docPr id="5"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true"/>
                    </pic:cNvPicPr>
                  </pic:nvPicPr>
                  <pic:blipFill>
                    <a:blip r:embed="rId7"/>
                    <a:stretch>
                      <a:fillRect/>
                    </a:stretch>
                  </pic:blipFill>
                  <pic:spPr>
                    <a:xfrm>
                      <a:off x="0" y="0"/>
                      <a:ext cx="5508625" cy="2944495"/>
                    </a:xfrm>
                    <a:prstGeom prst="rect">
                      <a:avLst/>
                    </a:prstGeom>
                    <a:noFill/>
                    <a:ln w="9525">
                      <a:noFill/>
                    </a:ln>
                  </pic:spPr>
                </pic:pic>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2"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（文字说明，并列图表）</w:t>
      </w:r>
    </w:p>
    <w:p>
      <w:pPr>
        <w:widowControl/>
        <w:ind w:firstLine="640" w:firstLineChars="200"/>
        <w:jc w:val="left"/>
      </w:pPr>
      <w:r>
        <w:rPr>
          <w:rFonts w:hint="eastAsia" w:ascii="仿宋_GB2312" w:hAnsi="宋体" w:eastAsia="仿宋_GB2312" w:cs="仿宋_GB2312"/>
          <w:color w:val="000000"/>
          <w:kern w:val="0"/>
          <w:sz w:val="32"/>
          <w:szCs w:val="32"/>
        </w:rPr>
        <w:t>示例：</w:t>
      </w: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 xml:space="preserve">万元，占本年支出合 </w:t>
      </w:r>
    </w:p>
    <w:p>
      <w:pPr>
        <w:widowControl/>
        <w:jc w:val="left"/>
        <w:rPr>
          <w:rFonts w:ascii="仿宋_GB2312" w:hAnsi="仿宋" w:eastAsia="仿宋_GB2312"/>
          <w:sz w:val="32"/>
          <w:szCs w:val="32"/>
        </w:rPr>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10.69</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w:t>
      </w:r>
      <w:r>
        <w:rPr>
          <w:rFonts w:hint="eastAsia" w:ascii="仿宋_GB2312" w:hAnsi="仿宋" w:eastAsia="仿宋_GB2312"/>
          <w:sz w:val="32"/>
          <w:szCs w:val="32"/>
        </w:rPr>
        <w:t>主要原因是职工工资晋升及各种配套费增加导致的增长。</w:t>
      </w:r>
    </w:p>
    <w:p>
      <w:pPr>
        <w:widowControl/>
        <w:jc w:val="left"/>
      </w:pPr>
    </w:p>
    <w:p>
      <w:pPr>
        <w:spacing w:line="360" w:lineRule="auto"/>
        <w:ind w:firstLine="642"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 w:eastAsia="仿宋_GB2312"/>
          <w:sz w:val="32"/>
          <w:szCs w:val="32"/>
        </w:rPr>
        <w:t>（</w:t>
      </w: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2"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357.73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357.73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numPr>
          <w:ilvl w:val="0"/>
          <w:numId w:val="1"/>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社会保障和就业支出年初预算为35.55，支出决算为35.55万元，决算数与预算数持平。</w:t>
      </w:r>
    </w:p>
    <w:p>
      <w:pPr>
        <w:widowControl/>
        <w:numPr>
          <w:ilvl w:val="0"/>
          <w:numId w:val="1"/>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行政单位医疗费年初预算10.72万元，决算支出10.72万元，决算数与预算数持平。</w:t>
      </w:r>
    </w:p>
    <w:p>
      <w:pPr>
        <w:widowControl/>
        <w:numPr>
          <w:ilvl w:val="0"/>
          <w:numId w:val="1"/>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住房保障支出年初预算10.77万元，决算支出10.77万元，决算数与预算数持平。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308.27</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265.27</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43</w:t>
      </w:r>
      <w:r>
        <w:rPr>
          <w:rFonts w:ascii="仿宋_GB2312" w:hAnsi="仿宋_GB2312" w:eastAsia="仿宋_GB2312" w:cs="仿宋_GB2312"/>
          <w:color w:val="000000"/>
          <w:kern w:val="0"/>
          <w:sz w:val="31"/>
          <w:szCs w:val="31"/>
        </w:rPr>
        <w:t>万元。</w:t>
      </w:r>
    </w:p>
    <w:p>
      <w:pPr>
        <w:widowControl/>
        <w:ind w:firstLine="642"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265.27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106.71万元，津贴补贴70.35万元，奖金17.96万元，机关事业单位基本养老保险缴费33.92万元，职业年金缴费1.64万元，</w:t>
      </w:r>
      <w:r>
        <w:rPr>
          <w:rFonts w:ascii="仿宋_GB2312" w:hAnsi="宋体" w:eastAsia="仿宋_GB2312" w:cs="仿宋_GB2312"/>
          <w:color w:val="000000"/>
          <w:kern w:val="0"/>
          <w:sz w:val="32"/>
          <w:szCs w:val="32"/>
        </w:rPr>
        <w:t>住房公积金</w:t>
      </w:r>
      <w:r>
        <w:rPr>
          <w:rFonts w:hint="eastAsia" w:ascii="仿宋_GB2312" w:hAnsi="宋体" w:eastAsia="仿宋_GB2312" w:cs="仿宋_GB2312"/>
          <w:color w:val="000000"/>
          <w:kern w:val="0"/>
          <w:sz w:val="32"/>
          <w:szCs w:val="32"/>
        </w:rPr>
        <w:t>23.97万元，职工基本医疗保险缴费10.72万元。</w:t>
      </w:r>
    </w:p>
    <w:p>
      <w:pPr>
        <w:widowControl/>
        <w:ind w:firstLine="642"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43</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10.20万元，印刷费6万元，邮电费0.8万元，差旅费5万元，劳务费6万元，其他交通费用15万元。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2"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eastAsia="仿宋_GB231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30.55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30.45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99.67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严格执行中央八项规定要求，压缩公务接待标准。</w:t>
      </w:r>
    </w:p>
    <w:p>
      <w:pPr>
        <w:spacing w:line="360" w:lineRule="auto"/>
        <w:ind w:firstLine="642"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w:t>
      </w:r>
      <w:r>
        <w:rPr>
          <w:rFonts w:hint="eastAsia" w:ascii="仿宋_GB2312" w:hAnsi="宋体" w:eastAsia="仿宋_GB2312" w:cs="仿宋_GB2312"/>
          <w:color w:val="000000"/>
          <w:kern w:val="0"/>
          <w:sz w:val="32"/>
          <w:szCs w:val="32"/>
        </w:rPr>
        <w:t>零</w:t>
      </w:r>
      <w:r>
        <w:rPr>
          <w:rFonts w:ascii="仿宋_GB2312" w:hAnsi="宋体" w:eastAsia="仿宋_GB2312" w:cs="仿宋_GB2312"/>
          <w:color w:val="000000"/>
          <w:kern w:val="0"/>
          <w:sz w:val="32"/>
          <w:szCs w:val="32"/>
        </w:rPr>
        <w:t>支出，</w:t>
      </w:r>
      <w:r>
        <w:rPr>
          <w:rFonts w:hint="eastAsia" w:ascii="仿宋_GB2312" w:hAnsi="宋体" w:eastAsia="仿宋_GB2312" w:cs="仿宋_GB2312"/>
          <w:color w:val="000000"/>
          <w:kern w:val="0"/>
          <w:sz w:val="32"/>
          <w:szCs w:val="32"/>
        </w:rPr>
        <w:t>原因是2019年没有产生此项业务活动费用</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费支出16.55万元，占54.35</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29.56</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4.9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16.09</w:t>
      </w:r>
      <w:r>
        <w:rPr>
          <w:rFonts w:ascii="仿宋_GB2312" w:hAnsi="宋体" w:eastAsia="仿宋_GB2312" w:cs="仿宋_GB2312"/>
          <w:color w:val="000000"/>
          <w:kern w:val="0"/>
          <w:sz w:val="32"/>
          <w:szCs w:val="32"/>
        </w:rPr>
        <w:t>%。具体情况如下：</w:t>
      </w:r>
    </w:p>
    <w:p>
      <w:pPr>
        <w:ind w:firstLine="642" w:firstLineChars="200"/>
        <w:rPr>
          <w:rFonts w:ascii="仿宋_GB2312" w:hAnsi="仿宋" w:eastAsia="楷体_GB2312"/>
          <w:b/>
          <w:bCs/>
          <w:sz w:val="32"/>
          <w:szCs w:val="32"/>
        </w:rPr>
      </w:pPr>
      <w:r>
        <w:rPr>
          <w:rFonts w:hint="eastAsia" w:ascii="仿宋_GB2312" w:hAnsi="仿宋" w:eastAsia="仿宋_GB2312"/>
          <w:b/>
          <w:bCs/>
          <w:sz w:val="32"/>
          <w:szCs w:val="32"/>
        </w:rPr>
        <w:t>1.公务用车购置费用支出情况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一台，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16.55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16.55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2" w:firstLineChars="200"/>
        <w:rPr>
          <w:rFonts w:ascii="仿宋_GB2312" w:hAnsi="仿宋" w:eastAsia="楷体_GB2312"/>
          <w:b/>
          <w:bCs/>
          <w:sz w:val="32"/>
          <w:szCs w:val="32"/>
        </w:rPr>
      </w:pPr>
      <w:r>
        <w:rPr>
          <w:rFonts w:hint="eastAsia" w:ascii="仿宋_GB2312" w:hAnsi="仿宋" w:eastAsia="仿宋_GB2312"/>
          <w:b/>
          <w:bCs/>
          <w:sz w:val="32"/>
          <w:szCs w:val="32"/>
        </w:rPr>
        <w:t>2.公务用车运行维护费用支出情况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numPr>
          <w:ilvl w:val="0"/>
          <w:numId w:val="2"/>
        </w:numPr>
        <w:ind w:firstLine="642" w:firstLineChars="200"/>
        <w:jc w:val="left"/>
        <w:rPr>
          <w:rFonts w:ascii="仿宋_GB2312" w:hAnsi="仿宋" w:eastAsia="仿宋_GB2312"/>
          <w:b/>
          <w:bCs/>
          <w:sz w:val="32"/>
          <w:szCs w:val="32"/>
        </w:rPr>
      </w:pPr>
      <w:r>
        <w:rPr>
          <w:rFonts w:hint="eastAsia" w:ascii="仿宋_GB2312" w:hAnsi="仿宋" w:eastAsia="仿宋_GB2312"/>
          <w:b/>
          <w:bCs/>
          <w:sz w:val="32"/>
          <w:szCs w:val="32"/>
        </w:rPr>
        <w:t>会议费支出情况说明：</w:t>
      </w:r>
    </w:p>
    <w:p>
      <w:pPr>
        <w:widowControl/>
        <w:ind w:firstLine="640" w:firstLineChars="200"/>
        <w:jc w:val="left"/>
        <w:rPr>
          <w:rFonts w:eastAsia="仿宋_GB231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36.50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71%%，决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减少10.5万元，原因是会议印刷费支出在2020年2月份，没有核算在2019年会议费之内。</w:t>
      </w:r>
    </w:p>
    <w:p>
      <w:pPr>
        <w:widowControl/>
        <w:numPr>
          <w:ilvl w:val="0"/>
          <w:numId w:val="2"/>
        </w:numPr>
        <w:ind w:firstLine="642" w:firstLineChars="200"/>
        <w:jc w:val="left"/>
        <w:rPr>
          <w:rFonts w:ascii="仿宋_GB2312" w:hAnsi="仿宋" w:eastAsia="仿宋_GB2312"/>
          <w:b/>
          <w:bCs/>
          <w:sz w:val="32"/>
          <w:szCs w:val="32"/>
        </w:rPr>
      </w:pPr>
      <w:r>
        <w:rPr>
          <w:rFonts w:hint="eastAsia" w:ascii="仿宋_GB2312" w:hAnsi="仿宋" w:eastAsia="仿宋_GB2312"/>
          <w:b/>
          <w:bCs/>
          <w:sz w:val="32"/>
          <w:szCs w:val="32"/>
        </w:rPr>
        <w:t>培训费支出情况说明：</w:t>
      </w:r>
    </w:p>
    <w:p>
      <w:pPr>
        <w:widowControl/>
        <w:ind w:firstLine="642" w:firstLineChars="200"/>
        <w:jc w:val="left"/>
        <w:rPr>
          <w:rFonts w:eastAsia="仿宋_GB2312"/>
        </w:rPr>
      </w:pPr>
      <w:r>
        <w:rPr>
          <w:rFonts w:hint="eastAsia" w:ascii="仿宋_GB2312" w:hAnsi="仿宋" w:eastAsia="仿宋_GB2312"/>
          <w:b/>
          <w:bCs/>
          <w:sz w:val="32"/>
          <w:szCs w:val="32"/>
        </w:rPr>
        <w:t>2019年培训费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持平,主要用于宝鸡市委党校举办的3期县级领导集中学习培训和省政协举办的社情民意信息培训活动。</w:t>
      </w:r>
    </w:p>
    <w:p>
      <w:pPr>
        <w:ind w:firstLine="642" w:firstLineChars="200"/>
        <w:rPr>
          <w:rFonts w:ascii="仿宋_GB2312" w:hAnsi="仿宋" w:eastAsia="仿宋_GB2312"/>
          <w:sz w:val="32"/>
          <w:szCs w:val="32"/>
        </w:rPr>
      </w:pPr>
      <w:r>
        <w:rPr>
          <w:rFonts w:hint="eastAsia" w:ascii="仿宋_GB2312" w:hAnsi="仿宋" w:eastAsia="仿宋_GB2312"/>
          <w:b/>
          <w:bCs/>
          <w:sz w:val="32"/>
          <w:szCs w:val="32"/>
        </w:rPr>
        <w:t>5.公务接待费支出情况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19批次，312人次，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4.9</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98%，决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严格执行中央八项规定要求，压缩公务接待标准。</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0" w:leftChars="304" w:hanging="642"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根据预算绩效管理要求，2019年本部门主要通过以下几个方面开展了绩效管理：</w:t>
      </w:r>
      <w:r>
        <w:rPr>
          <w:rFonts w:hint="eastAsia" w:ascii="仿宋_GB2312" w:hAnsi="仿宋_GB2312" w:eastAsia="仿宋_GB2312" w:cs="仿宋_GB2312"/>
          <w:kern w:val="0"/>
          <w:sz w:val="32"/>
          <w:szCs w:val="32"/>
        </w:rPr>
        <w:t>1.进一步强化预算管理，</w:t>
      </w:r>
      <w:r>
        <w:rPr>
          <w:rFonts w:hint="eastAsia" w:ascii="仿宋_GB2312" w:eastAsia="仿宋_GB2312"/>
          <w:sz w:val="32"/>
          <w:szCs w:val="32"/>
        </w:rPr>
        <w:t>年初科学编制了办公室经费预算，按照财经纪律，规范了经费支出和票据计开管理，</w:t>
      </w:r>
      <w:r>
        <w:rPr>
          <w:rFonts w:hint="eastAsia" w:ascii="仿宋_GB2312" w:hAnsi="仿宋_GB2312" w:eastAsia="仿宋_GB2312" w:cs="仿宋_GB2312"/>
          <w:kern w:val="0"/>
          <w:sz w:val="32"/>
          <w:szCs w:val="32"/>
        </w:rPr>
        <w:t>重大支出项目做到有计划、有监督、有评估，做到支出有据可依。2.进一步健全财务管理制度及内控管理制度，不断更新管理思路，新方法，改进完善财务管理方法。3.按照财政局绩效管理的要求，建立科学的财政资金效益考核体系，牢固树立行政成本意识，不断提高财政资金使用管理的水平和效益，力求做到财政资金使用效率最大化，让每一分钱都用在刀刃上。</w:t>
      </w:r>
    </w:p>
    <w:p>
      <w:pPr>
        <w:widowControl/>
        <w:ind w:firstLine="640" w:firstLineChars="200"/>
        <w:jc w:val="left"/>
      </w:pPr>
      <w:r>
        <w:rPr>
          <w:rFonts w:hint="eastAsia" w:ascii="仿宋_GB2312" w:hAnsi="仿宋_GB2312" w:eastAsia="仿宋_GB2312" w:cs="仿宋_GB2312"/>
          <w:sz w:val="32"/>
          <w:szCs w:val="32"/>
        </w:rPr>
        <w:t>本部门无政府性基金预算项目。</w:t>
      </w:r>
    </w:p>
    <w:p>
      <w:pPr>
        <w:widowControl/>
        <w:jc w:val="left"/>
        <w:rPr>
          <w:rFonts w:ascii="楷体" w:hAnsi="楷体" w:eastAsia="楷体" w:cs="楷体"/>
          <w:sz w:val="32"/>
          <w:szCs w:val="32"/>
        </w:rPr>
        <w:sectPr>
          <w:footerReference r:id="rId3" w:type="default"/>
          <w:pgSz w:w="11906" w:h="16838"/>
          <w:pgMar w:top="1531" w:right="1588" w:bottom="1587"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69.9pt;width:465.75pt;" o:ole="t" filled="f" o:preferrelative="t" stroked="f" coordsize="21600,21600">
            <v:path/>
            <v:fill on="f" focussize="0,0"/>
            <v:stroke on="f" joinstyle="miter"/>
            <v:imagedata r:id="rId11" o:title=""/>
            <o:lock v:ext="edit" aspectratio="t"/>
            <w10:wrap type="none"/>
            <w10:anchorlock/>
          </v:shape>
          <o:OLEObject Type="Embed" ProgID="Excel.Sheet.8" ShapeID="_x0000_i1025" DrawAspect="Content" ObjectID="_1468075726" r:id="rId10">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277.45pt;width:631.5pt;" o:ole="t" filled="f" o:preferrelative="t" stroked="f" coordsize="21600,21600">
            <v:path/>
            <v:fill on="f" focussize="0,0"/>
            <v:stroke on="f" joinstyle="miter"/>
            <v:imagedata r:id="rId13" o:title=""/>
            <o:lock v:ext="edit" aspectratio="t"/>
            <w10:wrap type="none"/>
            <w10:anchorlock/>
          </v:shape>
          <o:OLEObject Type="Embed" ProgID="Excel.Sheet.8" ShapeID="_x0000_i1026" DrawAspect="Content" ObjectID="_1468075727" r:id="rId12">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455.65pt;width:584.8pt;" o:ole="t" filled="f" o:preferrelative="t" stroked="f" coordsize="21600,21600">
            <v:path/>
            <v:fill on="f" focussize="0,0"/>
            <v:stroke on="f" joinstyle="miter"/>
            <v:imagedata r:id="rId15" o:title=""/>
            <o:lock v:ext="edit" aspectratio="t"/>
            <w10:wrap type="none"/>
            <w10:anchorlock/>
          </v:shape>
          <o:OLEObject Type="Embed" ProgID="Excel.Sheet.8" ShapeID="_x0000_i1027" DrawAspect="Content" ObjectID="_1468075728" r:id="rId14">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48.2pt;width:582.65pt;" o:ole="t" filled="f" o:preferrelative="t" stroked="f" coordsize="21600,21600">
            <v:path/>
            <v:fill on="f" focussize="0,0"/>
            <v:stroke on="f" joinstyle="miter"/>
            <v:imagedata r:id="rId17" o:title=""/>
            <o:lock v:ext="edit" aspectratio="t"/>
            <w10:wrap type="none"/>
            <w10:anchorlock/>
          </v:shape>
          <o:OLEObject Type="Embed" ProgID="Excel.Sheet.8" ShapeID="_x0000_i1028" DrawAspect="Content" ObjectID="_1468075729" r:id="rId16">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2"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414.77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2"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2"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截至2019年末，本部门共有车辆一辆，系201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p>
    <w:p>
      <w:pPr>
        <w:widowControl/>
        <w:jc w:val="left"/>
        <w:rPr>
          <w:rFonts w:ascii="黑体" w:hAnsi="宋体" w:eastAsia="黑体"/>
          <w:color w:val="000000"/>
          <w:kern w:val="0"/>
          <w:sz w:val="32"/>
          <w:szCs w:val="32"/>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0000000000000000000"/>
    <w:charset w:val="86"/>
    <w:family w:val="auto"/>
    <w:pitch w:val="default"/>
    <w:sig w:usb0="00000000" w:usb1="00000000" w:usb2="00000000" w:usb3="00000000" w:csb0="0004009F" w:csb1="DFD70000"/>
  </w:font>
  <w:font w:name="??_GB2312">
    <w:altName w:val="DejaVu Math TeX Gyre"/>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u5d9AAAAACAQAADwAAAAAAAAABACAAAAA4AAAAZHJzL2Rvd25yZXYueG1sUEsBAhQA&#10;FAAAAAgAh07iQP8bLbTkAQAAvwMAAA4AAAAAAAAAAQAgAAAANQEAAGRycy9lMm9Eb2MueG1sUEsF&#10;BgAAAAAGAAYAWQEAAIs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FB38F"/>
    <w:multiLevelType w:val="singleLevel"/>
    <w:tmpl w:val="591FB38F"/>
    <w:lvl w:ilvl="0" w:tentative="0">
      <w:start w:val="3"/>
      <w:numFmt w:val="decimal"/>
      <w:lvlText w:val="%1."/>
      <w:lvlJc w:val="left"/>
      <w:pPr>
        <w:tabs>
          <w:tab w:val="left" w:pos="312"/>
        </w:tabs>
      </w:pPr>
    </w:lvl>
  </w:abstractNum>
  <w:abstractNum w:abstractNumId="1">
    <w:nsid w:val="6FDECDB9"/>
    <w:multiLevelType w:val="singleLevel"/>
    <w:tmpl w:val="6FDECDB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315"/>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5C36CD"/>
    <w:rsid w:val="00602A0C"/>
    <w:rsid w:val="00642D57"/>
    <w:rsid w:val="006614AE"/>
    <w:rsid w:val="00674B6A"/>
    <w:rsid w:val="006F01C7"/>
    <w:rsid w:val="0076179D"/>
    <w:rsid w:val="007E2125"/>
    <w:rsid w:val="007F5D23"/>
    <w:rsid w:val="00813F4A"/>
    <w:rsid w:val="008A797A"/>
    <w:rsid w:val="00B7276D"/>
    <w:rsid w:val="00B80654"/>
    <w:rsid w:val="00BE5A8F"/>
    <w:rsid w:val="00CB5EF5"/>
    <w:rsid w:val="00CB7771"/>
    <w:rsid w:val="00CC1BFD"/>
    <w:rsid w:val="00CE7F71"/>
    <w:rsid w:val="00D2119A"/>
    <w:rsid w:val="00D32994"/>
    <w:rsid w:val="00D62E84"/>
    <w:rsid w:val="00D82161"/>
    <w:rsid w:val="00DC6A7B"/>
    <w:rsid w:val="00E569EB"/>
    <w:rsid w:val="00E8111E"/>
    <w:rsid w:val="00F9628B"/>
    <w:rsid w:val="013B79AC"/>
    <w:rsid w:val="01BF69DD"/>
    <w:rsid w:val="02C64DB4"/>
    <w:rsid w:val="02CB6E37"/>
    <w:rsid w:val="06E5320E"/>
    <w:rsid w:val="085C0B70"/>
    <w:rsid w:val="09093180"/>
    <w:rsid w:val="0A987E82"/>
    <w:rsid w:val="0ED917FC"/>
    <w:rsid w:val="0FB355C8"/>
    <w:rsid w:val="100D3842"/>
    <w:rsid w:val="12496815"/>
    <w:rsid w:val="125E2600"/>
    <w:rsid w:val="126B02CC"/>
    <w:rsid w:val="12FE2F1E"/>
    <w:rsid w:val="132E46A0"/>
    <w:rsid w:val="13376B66"/>
    <w:rsid w:val="14411117"/>
    <w:rsid w:val="144E2ACC"/>
    <w:rsid w:val="1586116E"/>
    <w:rsid w:val="15E33047"/>
    <w:rsid w:val="18A86526"/>
    <w:rsid w:val="18BB4AD7"/>
    <w:rsid w:val="19956C7B"/>
    <w:rsid w:val="1AE15347"/>
    <w:rsid w:val="1B4A3FDA"/>
    <w:rsid w:val="1B524C98"/>
    <w:rsid w:val="1C5E2F73"/>
    <w:rsid w:val="1D6E0C0D"/>
    <w:rsid w:val="1ED21C9A"/>
    <w:rsid w:val="1F211093"/>
    <w:rsid w:val="1FCE4AF2"/>
    <w:rsid w:val="205A5702"/>
    <w:rsid w:val="20A53506"/>
    <w:rsid w:val="221C15BB"/>
    <w:rsid w:val="23427E80"/>
    <w:rsid w:val="259D1DB5"/>
    <w:rsid w:val="26E171D5"/>
    <w:rsid w:val="27716E53"/>
    <w:rsid w:val="29785A6B"/>
    <w:rsid w:val="2D1A249C"/>
    <w:rsid w:val="2D1F3974"/>
    <w:rsid w:val="2D4B4F7F"/>
    <w:rsid w:val="2DD50E1F"/>
    <w:rsid w:val="2FE76310"/>
    <w:rsid w:val="30582A75"/>
    <w:rsid w:val="31AA6038"/>
    <w:rsid w:val="31C0442F"/>
    <w:rsid w:val="33887EE3"/>
    <w:rsid w:val="34677C61"/>
    <w:rsid w:val="35772F3C"/>
    <w:rsid w:val="36A50FA7"/>
    <w:rsid w:val="37D17623"/>
    <w:rsid w:val="39D529F7"/>
    <w:rsid w:val="3B121AD1"/>
    <w:rsid w:val="3CFD0D2E"/>
    <w:rsid w:val="3D026CD6"/>
    <w:rsid w:val="3DD80009"/>
    <w:rsid w:val="3E95615D"/>
    <w:rsid w:val="41603979"/>
    <w:rsid w:val="43443EF5"/>
    <w:rsid w:val="44ED7F7C"/>
    <w:rsid w:val="4619368A"/>
    <w:rsid w:val="480B5E33"/>
    <w:rsid w:val="49631571"/>
    <w:rsid w:val="4AE12759"/>
    <w:rsid w:val="4CE8536F"/>
    <w:rsid w:val="4D6E0FDF"/>
    <w:rsid w:val="4ED44DF9"/>
    <w:rsid w:val="4EE4307A"/>
    <w:rsid w:val="4F0266E4"/>
    <w:rsid w:val="5153143F"/>
    <w:rsid w:val="544E2DF3"/>
    <w:rsid w:val="54F12DEE"/>
    <w:rsid w:val="552435B5"/>
    <w:rsid w:val="573F48D8"/>
    <w:rsid w:val="5ACD7028"/>
    <w:rsid w:val="5C871585"/>
    <w:rsid w:val="5E4A4893"/>
    <w:rsid w:val="5F5230E9"/>
    <w:rsid w:val="627D2660"/>
    <w:rsid w:val="63A41EAB"/>
    <w:rsid w:val="640E38C6"/>
    <w:rsid w:val="65653C31"/>
    <w:rsid w:val="69EA7B43"/>
    <w:rsid w:val="6ADF6709"/>
    <w:rsid w:val="6D0D70D1"/>
    <w:rsid w:val="6D48556E"/>
    <w:rsid w:val="6D5F3EF7"/>
    <w:rsid w:val="6DDB56A9"/>
    <w:rsid w:val="6F790903"/>
    <w:rsid w:val="73D77E7B"/>
    <w:rsid w:val="74157271"/>
    <w:rsid w:val="75C31473"/>
    <w:rsid w:val="77FF0645"/>
    <w:rsid w:val="7967364D"/>
    <w:rsid w:val="79F75343"/>
    <w:rsid w:val="7C3E5E46"/>
    <w:rsid w:val="7CEF73E5"/>
    <w:rsid w:val="7CFF3FBC"/>
    <w:rsid w:val="7FDD11A1"/>
    <w:rsid w:val="7FFF07A7"/>
    <w:rsid w:val="DF7C5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emf"/><Relationship Id="rId16" Type="http://schemas.openxmlformats.org/officeDocument/2006/relationships/oleObject" Target="embeddings/oleObject5.bin"/><Relationship Id="rId15" Type="http://schemas.openxmlformats.org/officeDocument/2006/relationships/image" Target="media/image7.emf"/><Relationship Id="rId14" Type="http://schemas.openxmlformats.org/officeDocument/2006/relationships/oleObject" Target="embeddings/oleObject4.bin"/><Relationship Id="rId13" Type="http://schemas.openxmlformats.org/officeDocument/2006/relationships/image" Target="media/image6.emf"/><Relationship Id="rId12" Type="http://schemas.openxmlformats.org/officeDocument/2006/relationships/oleObject" Target="embeddings/oleObject3.bin"/><Relationship Id="rId11" Type="http://schemas.openxmlformats.org/officeDocument/2006/relationships/image" Target="media/image5.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28</Pages>
  <Words>1498</Words>
  <Characters>8539</Characters>
  <Lines>71</Lines>
  <Paragraphs>20</Paragraphs>
  <TotalTime>4</TotalTime>
  <ScaleCrop>false</ScaleCrop>
  <LinksUpToDate>false</LinksUpToDate>
  <CharactersWithSpaces>10017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2021-07-13T17:53:00Z</dcterms:created>
  <dc:creator>Administrator</dc:creator>
  <cp:lastModifiedBy>guest</cp:lastModifiedBy>
  <cp:lastPrinted>2020-10-09T09:09:00Z</cp:lastPrinted>
  <dcterms:modified xsi:type="dcterms:W3CDTF">2023-05-04T17:26:32Z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