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hint="default"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val="en-US" w:eastAsia="zh-CN"/>
        </w:rPr>
        <w:t xml:space="preserve">民族宗教事务局 </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（一）贯彻执行国家民族宗教工作方面的法律法规和政策规定；拟定有关规范性文件；拟定民族、宗教工作规划和年度计划，并负责组织实施和监督检查。</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（二）协调全县民族关系，负责进行民族团结教育活动，促进各民族间的平等团结、互助合作；依法履行宗教事务管理职责，保护公民宗教信仰自由，维护宗教界的合法权利，促进宗教关系和谐。</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拟定少数民族经济社会相关领域的发展规划，提出少数民族经济社会相关领域发展中有关问题的特殊政策建议；做好外来少数民族人员服务管理及清真食品安全监管工作，协同有关部门做好少数民族教育、文化、科技、卫生、体育、新闻出版等方面的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（四）依法管理民族宗教方面的有关事项，指导宗教团体依法依章开展活动，支持宗教团体加强自身建设，办理宗教团体需协助或协调的事务；指导镇街开展民族宗教管理工作。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（五）引导宗教在法律、法规和政策范围内活动，防范利用宗教进行非法、违法活动，抵御境外利用宗教进行渗透活动，促进民族宗教和谐稳定。协助处理民族、宗教方面的突发事件和影响社会的问题。</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（六）负责组织全县民族宗教干部队伍和有关人员的培训工作；协助有关部门做好少数民族干部的培养和使用工作。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（七）协调民族、宗教方面的对外交流与合作，开展民族宗教国际往来，接待国外、海外少数民族和宗教界访问团体，协助办理参观、考察、访问事宜。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（八）完成县委、县政府交办的其他任务。</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（一）政秘股。（二）民族宗教股。</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w:t>
      </w:r>
      <w:r>
        <w:rPr>
          <w:rFonts w:hint="eastAsia" w:ascii="仿宋_GB2312" w:hAnsi="仿宋_GB2312" w:eastAsia="仿宋_GB2312" w:cs="仿宋_GB2312"/>
          <w:sz w:val="32"/>
          <w:szCs w:val="32"/>
          <w:lang w:val="en-US" w:eastAsia="zh-CN"/>
        </w:rPr>
        <w:t>只包括本机（机关）1</w:t>
      </w:r>
      <w:r>
        <w:rPr>
          <w:rFonts w:hint="eastAsia" w:ascii="仿宋_GB2312" w:hAnsi="仿宋_GB2312" w:eastAsia="仿宋_GB2312" w:cs="仿宋_GB2312"/>
          <w:sz w:val="32"/>
          <w:szCs w:val="32"/>
        </w:rPr>
        <w:t>个单位：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眉县民族宗教事务局</w:t>
            </w:r>
            <w:r>
              <w:rPr>
                <w:rFonts w:hint="eastAsia" w:ascii="仿宋_GB2312" w:hAnsi="仿宋_GB2312" w:eastAsia="仿宋_GB2312" w:cs="仿宋_GB2312"/>
                <w:sz w:val="32"/>
                <w:szCs w:val="32"/>
              </w:rPr>
              <w:t>部门本级（机关）</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w:t>
      </w:r>
      <w:r>
        <w:rPr>
          <w:rFonts w:hint="eastAsia" w:ascii="仿宋_GB2312" w:hAnsi="仿宋_GB2312" w:eastAsia="仿宋_GB2312" w:cs="仿宋_GB2312"/>
          <w:sz w:val="32"/>
          <w:szCs w:val="32"/>
          <w:lang w:val="en-US" w:eastAsia="zh-CN"/>
        </w:rPr>
        <w:t>编制5</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pPr>
        <w:widowControl/>
        <w:jc w:val="center"/>
        <w:rPr>
          <w:rFonts w:hint="eastAsia" w:ascii="黑体" w:hAnsi="宋体" w:eastAsia="黑体"/>
          <w:color w:val="000000"/>
          <w:kern w:val="0"/>
          <w:sz w:val="44"/>
          <w:szCs w:val="44"/>
          <w:lang w:eastAsia="zh-CN"/>
        </w:rPr>
      </w:pPr>
      <w:r>
        <w:rPr>
          <w:rFonts w:hint="eastAsia" w:ascii="黑体" w:hAnsi="宋体" w:eastAsia="黑体"/>
          <w:color w:val="000000"/>
          <w:kern w:val="0"/>
          <w:sz w:val="44"/>
          <w:szCs w:val="44"/>
          <w:lang w:eastAsia="zh-CN"/>
        </w:rPr>
        <w:drawing>
          <wp:inline distT="0" distB="0" distL="114300" distR="114300">
            <wp:extent cx="3695700" cy="3114675"/>
            <wp:effectExtent l="0" t="0" r="0" b="9525"/>
            <wp:docPr id="1" name="图片 1" descr="2019100918250674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1009182506744001"/>
                    <pic:cNvPicPr>
                      <a:picLocks noChangeAspect="1"/>
                    </pic:cNvPicPr>
                  </pic:nvPicPr>
                  <pic:blipFill>
                    <a:blip r:embed="rId6"/>
                    <a:stretch>
                      <a:fillRect/>
                    </a:stretch>
                  </pic:blipFill>
                  <pic:spPr>
                    <a:xfrm>
                      <a:off x="0" y="0"/>
                      <a:ext cx="3695700" cy="3114675"/>
                    </a:xfrm>
                    <a:prstGeom prst="rect">
                      <a:avLst/>
                    </a:prstGeom>
                  </pic:spPr>
                </pic:pic>
              </a:graphicData>
            </a:graphic>
          </wp:inline>
        </w:drawing>
      </w: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我单位不涉及政府性基金收支</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76.47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2.62</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88.24</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color w:val="000000"/>
                <w:szCs w:val="21"/>
              </w:rPr>
            </w:pPr>
            <w:r>
              <w:rPr>
                <w:rFonts w:hint="eastAsia" w:ascii="宋体" w:hAnsi="宋体" w:cs="宋体"/>
                <w:b w:val="0"/>
                <w:bCs/>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88.25</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1625"/>
        <w:gridCol w:w="834"/>
        <w:gridCol w:w="933"/>
        <w:gridCol w:w="600"/>
        <w:gridCol w:w="933"/>
        <w:gridCol w:w="917"/>
        <w:gridCol w:w="767"/>
        <w:gridCol w:w="521"/>
        <w:gridCol w:w="810"/>
      </w:tblGrid>
      <w:tr>
        <w:tblPrEx>
          <w:tblCellMar>
            <w:top w:w="15" w:type="dxa"/>
            <w:left w:w="15" w:type="dxa"/>
            <w:bottom w:w="15" w:type="dxa"/>
            <w:right w:w="15" w:type="dxa"/>
          </w:tblCellMar>
        </w:tblPrEx>
        <w:trPr>
          <w:trHeight w:val="439" w:hRule="atLeast"/>
        </w:trPr>
        <w:tc>
          <w:tcPr>
            <w:tcW w:w="25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62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其中：教育收费</w:t>
            </w: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5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民族事务</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2012301</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69.47</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69.47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2012304</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民族工作专项</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2012399</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2222"/>
        <w:gridCol w:w="1050"/>
        <w:gridCol w:w="1033"/>
        <w:gridCol w:w="900"/>
        <w:gridCol w:w="784"/>
        <w:gridCol w:w="565"/>
        <w:gridCol w:w="1345"/>
      </w:tblGrid>
      <w:tr>
        <w:tblPrEx>
          <w:tblCellMar>
            <w:top w:w="15" w:type="dxa"/>
            <w:left w:w="15" w:type="dxa"/>
            <w:bottom w:w="15" w:type="dxa"/>
            <w:right w:w="15" w:type="dxa"/>
          </w:tblCellMar>
        </w:tblPrEx>
        <w:trPr>
          <w:trHeight w:val="372" w:hRule="atLeast"/>
        </w:trPr>
        <w:tc>
          <w:tcPr>
            <w:tcW w:w="32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32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民族事务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2012301</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69.47</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69.47</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2012304</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民族工作专项</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2012399</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3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76.47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76.47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88.24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88.24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88.24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88.24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88.24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749"/>
        <w:gridCol w:w="794"/>
        <w:gridCol w:w="1020"/>
        <w:gridCol w:w="935"/>
        <w:gridCol w:w="1039"/>
        <w:gridCol w:w="1020"/>
        <w:gridCol w:w="1050"/>
      </w:tblGrid>
      <w:tr>
        <w:tblPrEx>
          <w:tblCellMar>
            <w:top w:w="15" w:type="dxa"/>
            <w:left w:w="15" w:type="dxa"/>
            <w:bottom w:w="15" w:type="dxa"/>
            <w:right w:w="15" w:type="dxa"/>
          </w:tblCellMar>
        </w:tblPrEx>
        <w:trPr>
          <w:trHeight w:val="414" w:hRule="atLeast"/>
        </w:trPr>
        <w:tc>
          <w:tcPr>
            <w:tcW w:w="29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9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88.24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24.24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7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76.47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76.47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52.22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24.24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民族事务</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76.47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52.22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24.24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2012301</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69.47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69.47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50.22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19.24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2012304</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民族工作专项</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2012399</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88.24</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64.00</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24.24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23.11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0.05</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24.24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0.96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福利费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0.65</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30229</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5.79</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30239</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1.04</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30299</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30305</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救济费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30306</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医疗费补助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30307</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30399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30399</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0.10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0.10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0.10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0.10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一般预算财政拨款收入</w:t>
      </w:r>
      <w:r>
        <w:rPr>
          <w:rFonts w:hint="eastAsia" w:ascii="仿宋_GB2312" w:hAnsi="仿宋_GB2312" w:eastAsia="仿宋_GB2312" w:cs="仿宋_GB2312"/>
          <w:sz w:val="32"/>
          <w:szCs w:val="32"/>
          <w:lang w:val="en-US" w:eastAsia="zh-CN"/>
        </w:rPr>
        <w:t>88.24</w:t>
      </w:r>
      <w:r>
        <w:rPr>
          <w:rFonts w:hint="eastAsia" w:ascii="仿宋_GB2312" w:hAnsi="仿宋_GB2312" w:eastAsia="仿宋_GB2312" w:cs="仿宋_GB2312"/>
          <w:sz w:val="32"/>
          <w:szCs w:val="32"/>
        </w:rPr>
        <w:t>万元，上年</w:t>
      </w:r>
      <w:r>
        <w:rPr>
          <w:rFonts w:hint="eastAsia" w:ascii="仿宋_GB2312" w:hAnsi="仿宋_GB2312" w:eastAsia="仿宋_GB2312" w:cs="仿宋_GB2312"/>
          <w:sz w:val="32"/>
          <w:szCs w:val="32"/>
          <w:lang w:val="en-US" w:eastAsia="zh-CN"/>
        </w:rPr>
        <w:t>63.83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收入总体情况</w:t>
      </w:r>
      <w:r>
        <w:rPr>
          <w:rFonts w:hint="eastAsia" w:ascii="仿宋_GB2312" w:hAnsi="仿宋_GB2312" w:eastAsia="仿宋_GB2312" w:cs="仿宋_GB2312"/>
          <w:sz w:val="32"/>
          <w:szCs w:val="32"/>
        </w:rPr>
        <w:t>比上年增加</w:t>
      </w:r>
      <w:r>
        <w:rPr>
          <w:rFonts w:hint="eastAsia" w:ascii="仿宋_GB2312" w:hAnsi="仿宋_GB2312" w:eastAsia="仿宋_GB2312" w:cs="仿宋_GB2312"/>
          <w:sz w:val="32"/>
          <w:szCs w:val="32"/>
          <w:lang w:val="en-US" w:eastAsia="zh-CN"/>
        </w:rPr>
        <w:t>24.41</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部门职能强化，</w:t>
      </w:r>
      <w:r>
        <w:rPr>
          <w:rFonts w:hint="eastAsia" w:ascii="仿宋_GB2312" w:hAnsi="仿宋_GB2312" w:eastAsia="仿宋_GB2312" w:cs="仿宋_GB2312"/>
          <w:sz w:val="32"/>
          <w:szCs w:val="32"/>
        </w:rPr>
        <w:t>单位运行经费增加。</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2019年支出88.24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上年支出63.83万元，</w:t>
      </w:r>
      <w:r>
        <w:rPr>
          <w:rFonts w:hint="eastAsia" w:ascii="仿宋_GB2312" w:hAnsi="仿宋" w:eastAsia="仿宋_GB2312"/>
          <w:sz w:val="32"/>
          <w:szCs w:val="32"/>
        </w:rPr>
        <w:t>支出总体情况及比上年增</w:t>
      </w:r>
      <w:r>
        <w:rPr>
          <w:rFonts w:hint="eastAsia" w:ascii="仿宋_GB2312" w:hAnsi="仿宋" w:eastAsia="仿宋_GB2312"/>
          <w:sz w:val="32"/>
          <w:szCs w:val="32"/>
          <w:lang w:val="en-US" w:eastAsia="zh-CN"/>
        </w:rPr>
        <w:t>加24.41万元</w:t>
      </w:r>
      <w:r>
        <w:rPr>
          <w:rFonts w:hint="eastAsia" w:ascii="仿宋_GB2312" w:hAnsi="仿宋" w:eastAsia="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部门职能强化，业务量及运行费用</w:t>
      </w:r>
      <w:r>
        <w:rPr>
          <w:rFonts w:hint="eastAsia" w:ascii="仿宋_GB2312" w:hAnsi="仿宋_GB2312" w:eastAsia="仿宋_GB2312" w:cs="仿宋_GB2312"/>
          <w:sz w:val="32"/>
          <w:szCs w:val="32"/>
        </w:rPr>
        <w:t>增加。</w:t>
      </w:r>
    </w:p>
    <w:p>
      <w:pPr>
        <w:widowControl/>
        <w:ind w:firstLine="420" w:firstLineChars="200"/>
        <w:jc w:val="left"/>
      </w:pPr>
      <w:r>
        <w:drawing>
          <wp:inline distT="0" distB="0" distL="114300" distR="114300">
            <wp:extent cx="4679950" cy="3096260"/>
            <wp:effectExtent l="4445" t="4445" r="20955" b="234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r>
        <w:drawing>
          <wp:inline distT="0" distB="0" distL="114300" distR="114300">
            <wp:extent cx="4679950" cy="3096260"/>
            <wp:effectExtent l="4445" t="4445" r="20955" b="23495"/>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420" w:firstLineChars="200"/>
        <w:jc w:val="left"/>
      </w:pPr>
    </w:p>
    <w:p>
      <w:pPr>
        <w:widowControl/>
        <w:ind w:firstLine="420" w:firstLineChars="200"/>
        <w:jc w:val="left"/>
        <w:rPr>
          <w:rFonts w:hint="eastAsia"/>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88.24</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88.24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rPr>
          <w:rFonts w:hint="eastAsia" w:ascii="仿宋_GB2312" w:hAnsi="宋体" w:eastAsia="仿宋_GB2312" w:cs="仿宋_GB2312"/>
          <w:color w:val="000000"/>
          <w:kern w:val="0"/>
          <w:sz w:val="32"/>
          <w:szCs w:val="32"/>
        </w:rPr>
      </w:pPr>
      <w:r>
        <w:drawing>
          <wp:inline distT="0" distB="0" distL="114300" distR="114300">
            <wp:extent cx="3857625" cy="2057400"/>
            <wp:effectExtent l="4445" t="4445" r="5080"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88.24</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88.24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drawing>
          <wp:inline distT="0" distB="0" distL="114300" distR="114300">
            <wp:extent cx="3857625" cy="2057400"/>
            <wp:effectExtent l="4445" t="4445" r="5080" b="14605"/>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收入总体情况及比上年增长</w:t>
      </w:r>
      <w:r>
        <w:rPr>
          <w:rFonts w:hint="eastAsia" w:ascii="仿宋_GB2312" w:hAnsi="仿宋" w:eastAsia="仿宋_GB2312"/>
          <w:sz w:val="32"/>
          <w:szCs w:val="32"/>
          <w:lang w:val="en-US" w:eastAsia="zh-CN"/>
        </w:rPr>
        <w:t>24.41万元</w:t>
      </w:r>
      <w:r>
        <w:rPr>
          <w:rFonts w:hint="eastAsia" w:ascii="仿宋_GB2312" w:hAnsi="仿宋" w:eastAsia="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部门职能强化，</w:t>
      </w:r>
      <w:r>
        <w:rPr>
          <w:rFonts w:hint="eastAsia" w:ascii="仿宋_GB2312" w:hAnsi="仿宋_GB2312" w:eastAsia="仿宋_GB2312" w:cs="仿宋_GB2312"/>
          <w:sz w:val="32"/>
          <w:szCs w:val="32"/>
        </w:rPr>
        <w:t>单位运行经费增加。</w:t>
      </w:r>
    </w:p>
    <w:p>
      <w:pPr>
        <w:widowControl/>
        <w:ind w:firstLine="420" w:firstLineChars="200"/>
        <w:jc w:val="left"/>
        <w:rPr>
          <w:rFonts w:hint="eastAsia" w:ascii="仿宋_GB2312" w:hAnsi="仿宋_GB2312" w:eastAsia="仿宋_GB2312" w:cs="仿宋_GB2312"/>
          <w:sz w:val="32"/>
          <w:szCs w:val="32"/>
        </w:rPr>
      </w:pPr>
      <w:r>
        <w:rPr>
          <w:sz w:val="21"/>
        </w:rPr>
        <w:pict>
          <v:shape id="_x0000_s1028" o:spid="_x0000_s1028" o:spt="202" type="#_x0000_t202" style="position:absolute;left:0pt;margin-left:118.6pt;margin-top:25.8pt;height:21pt;width:52.5pt;z-index:251659264;mso-width-relative:page;mso-height-relative:page;" fillcolor="#FFFFFF" filled="t" stroked="t" coordsize="21600,21600">
            <v:path/>
            <v:fill on="t" focussize="0,0"/>
            <v:stroke color="#000000"/>
            <v:imagedata o:title=""/>
            <o:lock v:ext="edit" aspectratio="f"/>
            <v:textbox>
              <w:txbxContent>
                <w:p>
                  <w:pPr>
                    <w:rPr>
                      <w:rFonts w:hint="default" w:eastAsia="宋体"/>
                      <w:lang w:val="en-US" w:eastAsia="zh-CN"/>
                    </w:rPr>
                  </w:pPr>
                  <w:r>
                    <w:rPr>
                      <w:rFonts w:hint="eastAsia"/>
                      <w:lang w:eastAsia="zh-CN"/>
                    </w:rPr>
                    <w:t>↑</w:t>
                  </w:r>
                  <w:r>
                    <w:rPr>
                      <w:rFonts w:hint="eastAsia"/>
                      <w:lang w:val="en-US" w:eastAsia="zh-CN"/>
                    </w:rPr>
                    <w:t>24.41</w:t>
                  </w:r>
                </w:p>
              </w:txbxContent>
            </v:textbox>
          </v:shape>
        </w:pict>
      </w:r>
      <w:r>
        <w:rPr>
          <w:sz w:val="21"/>
        </w:rPr>
        <w:pict>
          <v:line id="_x0000_s1026" o:spid="_x0000_s1026" o:spt="20" style="position:absolute;left:0pt;flip:x y;margin-left:141.85pt;margin-top:47.55pt;height:25.5pt;width:10.5pt;z-index:251658240;mso-width-relative:page;mso-height-relative:page;" filled="f" stroked="t" coordsize="21600,21600">
            <v:path arrowok="t"/>
            <v:fill on="f" focussize="0,0"/>
            <v:stroke color="#000000" endarrow="open"/>
            <v:imagedata o:title=""/>
            <o:lock v:ext="edit" aspectratio="f"/>
          </v:line>
        </w:pict>
      </w:r>
      <w:r>
        <w:drawing>
          <wp:inline distT="0" distB="0" distL="114300" distR="114300">
            <wp:extent cx="4480560" cy="2925445"/>
            <wp:effectExtent l="4445" t="5080" r="10795" b="22225"/>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支出总体情况及比上年增长</w:t>
      </w:r>
      <w:r>
        <w:rPr>
          <w:rFonts w:hint="eastAsia" w:ascii="仿宋_GB2312" w:hAnsi="仿宋" w:eastAsia="仿宋_GB2312"/>
          <w:sz w:val="32"/>
          <w:szCs w:val="32"/>
          <w:lang w:val="en-US" w:eastAsia="zh-CN"/>
        </w:rPr>
        <w:t>24.41万元</w:t>
      </w:r>
      <w:r>
        <w:rPr>
          <w:rFonts w:hint="eastAsia" w:ascii="仿宋_GB2312" w:hAnsi="仿宋" w:eastAsia="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部门职能强化，</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业务量及运行费用</w:t>
      </w:r>
      <w:r>
        <w:rPr>
          <w:rFonts w:hint="eastAsia" w:ascii="仿宋_GB2312" w:hAnsi="仿宋_GB2312" w:eastAsia="仿宋_GB2312" w:cs="仿宋_GB2312"/>
          <w:sz w:val="32"/>
          <w:szCs w:val="32"/>
        </w:rPr>
        <w:t>增加。</w:t>
      </w:r>
    </w:p>
    <w:p>
      <w:pPr>
        <w:widowControl/>
        <w:ind w:firstLine="420" w:firstLineChars="200"/>
        <w:jc w:val="left"/>
        <w:rPr>
          <w:rFonts w:hint="eastAsia" w:ascii="仿宋_GB2312" w:hAnsi="仿宋_GB2312" w:eastAsia="仿宋_GB2312" w:cs="仿宋_GB2312"/>
          <w:sz w:val="32"/>
          <w:szCs w:val="32"/>
        </w:rPr>
      </w:pPr>
      <w:r>
        <w:rPr>
          <w:sz w:val="21"/>
        </w:rPr>
        <w:pict>
          <v:line id="_x0000_s1030" o:spid="_x0000_s1030" o:spt="20" style="position:absolute;left:0pt;flip:x y;margin-left:146.35pt;margin-top:48.25pt;height:27pt;width:4.5pt;z-index:251662336;mso-width-relative:page;mso-height-relative:page;" filled="f" stroked="t" coordsize="21600,21600">
            <v:path arrowok="t"/>
            <v:fill on="f" focussize="0,0"/>
            <v:stroke color="#000000" endarrow="open"/>
            <v:imagedata o:title=""/>
            <o:lock v:ext="edit" aspectratio="f"/>
          </v:line>
        </w:pict>
      </w:r>
      <w:r>
        <w:rPr>
          <w:sz w:val="21"/>
        </w:rPr>
        <w:pict>
          <v:shape id="_x0000_s1029" o:spid="_x0000_s1029" o:spt="202" type="#_x0000_t202" style="position:absolute;left:0pt;margin-left:114.85pt;margin-top:27.75pt;height:21pt;width:52.5pt;z-index:251661312;mso-width-relative:page;mso-height-relative:page;" fillcolor="#FFFFFF" filled="t" stroked="t" coordsize="21600,21600">
            <v:path/>
            <v:fill on="t" focussize="0,0"/>
            <v:stroke color="#000000"/>
            <v:imagedata o:title=""/>
            <o:lock v:ext="edit" aspectratio="f"/>
            <v:textbox>
              <w:txbxContent>
                <w:p>
                  <w:pPr>
                    <w:rPr>
                      <w:rFonts w:hint="default" w:eastAsia="宋体"/>
                      <w:lang w:val="en-US" w:eastAsia="zh-CN"/>
                    </w:rPr>
                  </w:pPr>
                  <w:r>
                    <w:rPr>
                      <w:rFonts w:hint="eastAsia"/>
                      <w:lang w:eastAsia="zh-CN"/>
                    </w:rPr>
                    <w:t>↑</w:t>
                  </w:r>
                  <w:r>
                    <w:rPr>
                      <w:rFonts w:hint="eastAsia"/>
                      <w:lang w:val="en-US" w:eastAsia="zh-CN"/>
                    </w:rPr>
                    <w:t>24.41</w:t>
                  </w:r>
                </w:p>
              </w:txbxContent>
            </v:textbox>
          </v:shape>
        </w:pict>
      </w:r>
      <w:r>
        <w:drawing>
          <wp:inline distT="0" distB="0" distL="114300" distR="114300">
            <wp:extent cx="4090035" cy="2725420"/>
            <wp:effectExtent l="4445" t="4445" r="20320" b="13335"/>
            <wp:docPr id="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ascii="仿宋_GB2312" w:hAnsi="仿宋_GB2312" w:eastAsia="仿宋_GB2312" w:cs="仿宋_GB2312"/>
          <w:sz w:val="32"/>
          <w:szCs w:val="32"/>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88.24</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lang w:val="en-US" w:eastAsia="zh-CN"/>
        </w:rPr>
        <w:t>24.41</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lang w:val="en-US" w:eastAsia="zh-CN"/>
        </w:rPr>
        <w:t>38</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_GB2312" w:eastAsia="仿宋_GB2312" w:cs="仿宋_GB2312"/>
          <w:sz w:val="32"/>
          <w:szCs w:val="32"/>
          <w:lang w:val="en-US" w:eastAsia="zh-CN"/>
        </w:rPr>
        <w:t>部门职能强化，</w:t>
      </w:r>
      <w:r>
        <w:rPr>
          <w:rFonts w:hint="eastAsia" w:ascii="仿宋_GB2312" w:hAnsi="仿宋_GB2312" w:eastAsia="仿宋_GB2312" w:cs="仿宋_GB2312"/>
          <w:sz w:val="32"/>
          <w:szCs w:val="32"/>
        </w:rPr>
        <w:t>单位运行经费增加。</w:t>
      </w:r>
    </w:p>
    <w:p>
      <w:pPr>
        <w:widowControl/>
        <w:ind w:firstLine="420" w:firstLineChars="200"/>
        <w:jc w:val="left"/>
        <w:rPr>
          <w:rFonts w:hint="eastAsia" w:ascii="仿宋_GB2312" w:hAnsi="仿宋_GB2312" w:eastAsia="仿宋_GB2312" w:cs="仿宋_GB2312"/>
          <w:sz w:val="32"/>
          <w:szCs w:val="32"/>
        </w:rPr>
      </w:pPr>
      <w:r>
        <w:rPr>
          <w:sz w:val="21"/>
        </w:rPr>
        <w:pict>
          <v:line id="_x0000_s1035" o:spid="_x0000_s1035" o:spt="20" style="position:absolute;left:0pt;flip:x y;margin-left:273.1pt;margin-top:43.35pt;height:20.25pt;width:9pt;z-index:251664384;mso-width-relative:page;mso-height-relative:page;" filled="f" stroked="t" coordsize="21600,21600">
            <v:path arrowok="t"/>
            <v:fill on="f" focussize="0,0"/>
            <v:stroke color="#000000" endarrow="open"/>
            <v:imagedata o:title=""/>
            <o:lock v:ext="edit" aspectratio="f"/>
          </v:line>
        </w:pict>
      </w:r>
      <w:r>
        <w:rPr>
          <w:sz w:val="21"/>
        </w:rPr>
        <w:pict>
          <v:shape id="_x0000_s1032" o:spid="_x0000_s1032" o:spt="202" type="#_x0000_t202" style="position:absolute;left:0pt;margin-left:240.1pt;margin-top:21.65pt;height:21.7pt;width:71.2pt;z-index:251663360;mso-width-relative:page;mso-height-relative:page;" fillcolor="#FFFFFF" filled="t" stroked="t" coordsize="21600,21600">
            <v:path/>
            <v:fill on="t" focussize="0,0"/>
            <v:stroke color="#000000"/>
            <v:imagedata o:title=""/>
            <o:lock v:ext="edit" aspectratio="f"/>
            <v:textbox>
              <w:txbxContent>
                <w:p>
                  <w:pPr>
                    <w:rPr>
                      <w:rFonts w:hint="default" w:eastAsia="宋体"/>
                      <w:lang w:val="en-US" w:eastAsia="zh-CN"/>
                    </w:rPr>
                  </w:pPr>
                  <w:r>
                    <w:rPr>
                      <w:rFonts w:hint="eastAsia"/>
                      <w:lang w:val="en-US" w:eastAsia="zh-CN"/>
                    </w:rPr>
                    <w:t>↑24.41,38%</w:t>
                  </w:r>
                </w:p>
              </w:txbxContent>
            </v:textbox>
          </v:shape>
        </w:pict>
      </w:r>
      <w:r>
        <w:drawing>
          <wp:inline distT="0" distB="0" distL="114300" distR="114300">
            <wp:extent cx="2190750" cy="1971675"/>
            <wp:effectExtent l="4445" t="4445" r="14605" b="5080"/>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drawing>
          <wp:inline distT="0" distB="0" distL="114300" distR="114300">
            <wp:extent cx="2834005" cy="1953895"/>
            <wp:effectExtent l="4445" t="4445" r="19050" b="22860"/>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55.21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88.24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超出</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33.03万元</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rPr>
          <w:b w:val="0"/>
          <w:bCs/>
        </w:rPr>
      </w:pPr>
      <w:r>
        <w:rPr>
          <w:rFonts w:ascii="仿宋_GB2312" w:hAnsi="宋体" w:eastAsia="仿宋_GB2312" w:cs="仿宋_GB2312"/>
          <w:b/>
          <w:color w:val="000000"/>
          <w:kern w:val="0"/>
          <w:sz w:val="32"/>
          <w:szCs w:val="32"/>
        </w:rPr>
        <w:t>1.</w:t>
      </w:r>
      <w:r>
        <w:rPr>
          <w:rFonts w:ascii="仿宋_GB2312" w:hAnsi="宋体" w:eastAsia="仿宋_GB2312" w:cs="仿宋_GB2312"/>
          <w:b w:val="0"/>
          <w:bCs/>
          <w:color w:val="000000"/>
          <w:kern w:val="0"/>
          <w:sz w:val="32"/>
          <w:szCs w:val="32"/>
        </w:rPr>
        <w:t>一般公共服务支出（类）</w:t>
      </w:r>
      <w:r>
        <w:rPr>
          <w:rFonts w:hint="eastAsia" w:ascii="仿宋_GB2312" w:hAnsi="宋体" w:eastAsia="仿宋_GB2312" w:cs="仿宋_GB2312"/>
          <w:b w:val="0"/>
          <w:bCs/>
          <w:color w:val="000000"/>
          <w:kern w:val="0"/>
          <w:sz w:val="32"/>
          <w:szCs w:val="32"/>
          <w:lang w:val="en-US" w:eastAsia="zh-CN"/>
        </w:rPr>
        <w:t>民族事务</w:t>
      </w:r>
      <w:r>
        <w:rPr>
          <w:rFonts w:ascii="仿宋_GB2312" w:hAnsi="宋体" w:eastAsia="仿宋_GB2312" w:cs="仿宋_GB2312"/>
          <w:b w:val="0"/>
          <w:bCs/>
          <w:color w:val="000000"/>
          <w:kern w:val="0"/>
          <w:sz w:val="32"/>
          <w:szCs w:val="32"/>
        </w:rPr>
        <w:t xml:space="preserve">（款）行政运行（项） </w:t>
      </w:r>
    </w:p>
    <w:p>
      <w:pPr>
        <w:widowControl/>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34.13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一般行政管理事务（项）为10.00万元，民族工作专项（项）2.00万元，</w:t>
      </w:r>
      <w:r>
        <w:rPr>
          <w:rFonts w:ascii="仿宋_GB2312" w:hAnsi="宋体" w:eastAsia="仿宋_GB2312" w:cs="仿宋_GB2312"/>
          <w:color w:val="000000"/>
          <w:kern w:val="0"/>
          <w:sz w:val="32"/>
          <w:szCs w:val="32"/>
        </w:rPr>
        <w:t>支出决算</w:t>
      </w:r>
      <w:r>
        <w:rPr>
          <w:rFonts w:ascii="仿宋_GB2312" w:hAnsi="宋体" w:eastAsia="仿宋_GB2312" w:cs="仿宋_GB2312"/>
          <w:b w:val="0"/>
          <w:bCs/>
          <w:color w:val="000000"/>
          <w:kern w:val="0"/>
          <w:sz w:val="32"/>
          <w:szCs w:val="32"/>
        </w:rPr>
        <w:t xml:space="preserve">行政运行（项） </w:t>
      </w:r>
      <w:r>
        <w:rPr>
          <w:rFonts w:hint="eastAsia" w:ascii="仿宋_GB2312" w:hAnsi="宋体" w:eastAsia="仿宋_GB2312" w:cs="仿宋_GB2312"/>
          <w:color w:val="000000"/>
          <w:kern w:val="0"/>
          <w:sz w:val="32"/>
          <w:szCs w:val="32"/>
          <w:lang w:val="en-US" w:eastAsia="zh-CN"/>
        </w:rPr>
        <w:t>为69.47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民族工作专项（项）2.00万元、其他民族事务支出（项）5.00万元</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超过</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30.34万元，超支</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val="en-US" w:eastAsia="zh-CN"/>
        </w:rPr>
        <w:t>2019年3月机构改革，眉县民族宗教事务局为政府独立组成部门，单位职能变动及人员变动引起的运行经费增加</w:t>
      </w:r>
      <w:r>
        <w:rPr>
          <w:rFonts w:hint="eastAsia" w:ascii="仿宋_GB2312" w:hAnsi="宋体" w:eastAsia="仿宋_GB2312" w:cs="仿宋_GB2312"/>
          <w:color w:val="000000"/>
          <w:kern w:val="0"/>
          <w:sz w:val="32"/>
          <w:szCs w:val="32"/>
        </w:rPr>
        <w:t>。</w:t>
      </w:r>
    </w:p>
    <w:p>
      <w:pPr>
        <w:widowControl/>
        <w:numPr>
          <w:ilvl w:val="0"/>
          <w:numId w:val="0"/>
        </w:numPr>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2.社会保障和就业支出（类）行政事业单位离退休（款）机关事业单位基本养老保险缴费支出（项）5.27万元，机关事业单位职业年金缴费支出（项）2.11万元，支出决算机关事业单位基本养老保险缴费支出（项）6.56万元，超过年初预算1.29万元，</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机构改革，单位人数增加</w:t>
      </w:r>
      <w:r>
        <w:rPr>
          <w:rFonts w:hint="eastAsia" w:ascii="仿宋_GB2312" w:hAnsi="宋体" w:eastAsia="仿宋_GB2312" w:cs="仿宋_GB2312"/>
          <w:color w:val="000000"/>
          <w:kern w:val="0"/>
          <w:sz w:val="32"/>
          <w:szCs w:val="32"/>
        </w:rPr>
        <w:t>。</w:t>
      </w:r>
    </w:p>
    <w:p>
      <w:pPr>
        <w:widowControl/>
        <w:numPr>
          <w:ilvl w:val="0"/>
          <w:numId w:val="0"/>
        </w:numPr>
        <w:ind w:firstLine="320" w:firstLineChars="100"/>
        <w:jc w:val="lef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 xml:space="preserve">  3.住房保障支出（类）住房改革支出（款）住房公积金（项）年初预算为1.7万元，支出决算为2.62万元，超过年初预算0.92万元，</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机构改革，单位人数增加</w:t>
      </w:r>
      <w:r>
        <w:rPr>
          <w:rFonts w:hint="eastAsia" w:ascii="仿宋_GB2312" w:hAnsi="宋体" w:eastAsia="仿宋_GB2312" w:cs="仿宋_GB2312"/>
          <w:color w:val="000000"/>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88.24</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64.00</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24.24</w:t>
      </w:r>
      <w:r>
        <w:rPr>
          <w:rFonts w:ascii="仿宋_GB2312" w:hAnsi="仿宋_GB2312" w:eastAsia="仿宋_GB2312" w:cs="仿宋_GB2312"/>
          <w:color w:val="000000"/>
          <w:kern w:val="0"/>
          <w:sz w:val="31"/>
          <w:szCs w:val="31"/>
        </w:rPr>
        <w:t>万元。</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b w:val="0"/>
          <w:bCs w:val="0"/>
          <w:color w:val="000000"/>
          <w:kern w:val="0"/>
          <w:sz w:val="32"/>
          <w:szCs w:val="32"/>
        </w:rPr>
        <w:t>人员经费</w:t>
      </w:r>
      <w:r>
        <w:rPr>
          <w:rFonts w:hint="eastAsia" w:ascii="仿宋_GB2312" w:hAnsi="宋体" w:eastAsia="仿宋_GB2312" w:cs="仿宋_GB2312"/>
          <w:color w:val="000000"/>
          <w:kern w:val="0"/>
          <w:sz w:val="32"/>
          <w:szCs w:val="32"/>
          <w:lang w:val="en-US" w:eastAsia="zh-CN"/>
        </w:rPr>
        <w:t>64.00</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lang w:val="en-US" w:eastAsia="zh-CN"/>
        </w:rPr>
        <w:t>基本工资25.05万元、津贴补贴23.11</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奖金1.69万元、基本养老保险缴费6.56万元、基本医疗保险缴费2.59万元、其他社会保障缴费0.05万元、住房公积金2.62万元、生活补助0.1万元、救济费0.1万元、医疗费补助2.0万元、其他对个人和家庭补助0.12万元。</w:t>
      </w:r>
    </w:p>
    <w:p>
      <w:pPr>
        <w:widowControl/>
        <w:ind w:firstLine="640" w:firstLineChars="200"/>
        <w:jc w:val="left"/>
      </w:pPr>
      <w:r>
        <w:rPr>
          <w:rFonts w:ascii="仿宋_GB2312" w:hAnsi="宋体" w:eastAsia="仿宋_GB2312" w:cs="仿宋_GB2312"/>
          <w:b w:val="0"/>
          <w:bCs w:val="0"/>
          <w:color w:val="000000"/>
          <w:kern w:val="0"/>
          <w:sz w:val="32"/>
          <w:szCs w:val="32"/>
        </w:rPr>
        <w:t>公用经费</w:t>
      </w:r>
      <w:r>
        <w:rPr>
          <w:rFonts w:hint="eastAsia" w:ascii="仿宋_GB2312" w:hAnsi="宋体" w:eastAsia="仿宋_GB2312" w:cs="仿宋_GB2312"/>
          <w:b w:val="0"/>
          <w:bCs w:val="0"/>
          <w:color w:val="000000"/>
          <w:kern w:val="0"/>
          <w:sz w:val="32"/>
          <w:szCs w:val="32"/>
          <w:lang w:val="en-US" w:eastAsia="zh-CN"/>
        </w:rPr>
        <w:t>24.24</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lang w:val="en-US" w:eastAsia="zh-CN"/>
        </w:rPr>
        <w:t>8.08</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印刷费0.96万元、手续费0.03万元、水费0.5万元、电费1.59万元、邮电费1.39万元、差旅费2.25万元、维修费0.14万元、公务接待费0.1万元、劳务费1.72万元、福利费0.65万元、其他交通费用5.79万元、其他商品和服务支出1.04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持平</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 w:eastAsia="仿宋_GB2312"/>
          <w:sz w:val="32"/>
          <w:szCs w:val="32"/>
        </w:rPr>
        <w:t>具体说明因公出国（境）团组情况、公务用车购置情况、公务用车运行情况、公务接待情况等</w:t>
      </w:r>
      <w:r>
        <w:rPr>
          <w:rFonts w:hint="eastAsia" w:ascii="仿宋_GB2312" w:hAnsi="仿宋_GB2312" w:eastAsia="仿宋_GB2312" w:cs="仿宋_GB2312"/>
          <w:sz w:val="32"/>
          <w:szCs w:val="32"/>
        </w:rPr>
        <w:t>，并列图表）</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万元；公务接待费支出决算</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w:t>
      </w:r>
      <w:r>
        <w:rPr>
          <w:rFonts w:hint="eastAsia" w:ascii="仿宋_GB2312" w:hAnsi="仿宋" w:eastAsia="仿宋_GB2312"/>
          <w:sz w:val="32"/>
          <w:szCs w:val="32"/>
          <w:lang w:val="en-US" w:eastAsia="zh-CN"/>
        </w:rPr>
        <w:t>无</w:t>
      </w:r>
      <w:r>
        <w:rPr>
          <w:rFonts w:hint="eastAsia" w:ascii="仿宋_GB2312" w:hAnsi="仿宋" w:eastAsia="仿宋_GB2312"/>
          <w:sz w:val="32"/>
          <w:szCs w:val="32"/>
        </w:rPr>
        <w:t>因公出国（境）</w:t>
      </w:r>
      <w:r>
        <w:rPr>
          <w:rFonts w:hint="eastAsia" w:ascii="仿宋_GB2312" w:hAnsi="仿宋" w:eastAsia="仿宋_GB2312"/>
          <w:sz w:val="32"/>
          <w:szCs w:val="32"/>
          <w:lang w:val="en-US" w:eastAsia="zh-CN"/>
        </w:rPr>
        <w:t>情况，</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w:t>
      </w:r>
      <w:r>
        <w:rPr>
          <w:rFonts w:hint="eastAsia" w:ascii="仿宋_GB2312" w:hAnsi="仿宋" w:eastAsia="仿宋_GB2312"/>
          <w:sz w:val="32"/>
          <w:szCs w:val="32"/>
          <w:lang w:val="en-US" w:eastAsia="zh-CN"/>
        </w:rPr>
        <w:t>单位未</w:t>
      </w:r>
      <w:r>
        <w:rPr>
          <w:rFonts w:hint="eastAsia" w:ascii="仿宋_GB2312" w:hAnsi="仿宋" w:eastAsia="仿宋_GB2312"/>
          <w:sz w:val="32"/>
          <w:szCs w:val="32"/>
        </w:rPr>
        <w:t>购置车辆</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3</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lang w:val="en-US" w:eastAsia="zh-CN"/>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持平</w:t>
      </w:r>
      <w:r>
        <w:rPr>
          <w:rFonts w:hint="eastAsia" w:ascii="仿宋_GB2312" w:hAnsi="宋体" w:eastAsia="仿宋_GB2312" w:cs="仿宋_GB2312"/>
          <w:color w:val="000000"/>
          <w:kern w:val="0"/>
          <w:sz w:val="32"/>
          <w:szCs w:val="32"/>
        </w:rPr>
        <w:t>。</w:t>
      </w:r>
    </w:p>
    <w:p>
      <w:pPr>
        <w:numPr>
          <w:ilvl w:val="0"/>
          <w:numId w:val="1"/>
        </w:numPr>
        <w:ind w:firstLine="643" w:firstLineChars="200"/>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培训费支出情况说明。</w:t>
      </w:r>
    </w:p>
    <w:p>
      <w:pPr>
        <w:numPr>
          <w:ilvl w:val="0"/>
          <w:numId w:val="0"/>
        </w:numPr>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12</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21.7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宗教工作及宗教团体工作经费、困难教职人员合疗及养老保险专项</w:t>
      </w:r>
      <w:r>
        <w:rPr>
          <w:rFonts w:ascii="仿宋_GB2312" w:hAnsi="仿宋_GB2312" w:eastAsia="仿宋_GB2312" w:cs="仿宋_GB2312"/>
          <w:color w:val="000000"/>
          <w:kern w:val="0"/>
          <w:sz w:val="31"/>
          <w:szCs w:val="31"/>
        </w:rPr>
        <w:t>项目绩效自评综述：根据年初设定的绩效目标，项目自评得分</w:t>
      </w:r>
      <w:bookmarkStart w:id="0" w:name="_GoBack"/>
      <w:bookmarkEnd w:id="0"/>
      <w:r>
        <w:rPr>
          <w:rFonts w:hint="eastAsia" w:ascii="仿宋_GB2312" w:hAnsi="仿宋_GB2312" w:eastAsia="仿宋_GB2312" w:cs="仿宋_GB2312"/>
          <w:color w:val="000000"/>
          <w:kern w:val="0"/>
          <w:sz w:val="31"/>
          <w:szCs w:val="31"/>
          <w:lang w:val="en-US" w:eastAsia="zh-CN"/>
        </w:rPr>
        <w:t>93</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12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val="en-US" w:eastAsia="zh-CN"/>
        </w:rPr>
        <w:t>全县民族宗教事务正常开展，维护了社会和谐稳定</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下一步</w:t>
      </w:r>
      <w:r>
        <w:rPr>
          <w:rFonts w:hint="eastAsia" w:ascii="仿宋_GB2312" w:hAnsi="仿宋_GB2312" w:eastAsia="仿宋_GB2312" w:cs="仿宋_GB2312"/>
          <w:color w:val="000000"/>
          <w:kern w:val="0"/>
          <w:sz w:val="31"/>
          <w:szCs w:val="31"/>
          <w:lang w:val="en-US" w:eastAsia="zh-CN"/>
        </w:rPr>
        <w:t>我们将按照项目绩效管理工作要求，完善相关制度，细化管理措施，高质量完成目标任务</w:t>
      </w:r>
      <w:r>
        <w:rPr>
          <w:rFonts w:hint="eastAsia" w:ascii="仿宋_GB2312" w:hAnsi="仿宋_GB2312" w:eastAsia="仿宋_GB2312" w:cs="仿宋_GB2312"/>
          <w:color w:val="000000"/>
          <w:kern w:val="0"/>
          <w:sz w:val="31"/>
          <w:szCs w:val="31"/>
        </w:rPr>
        <w:t>。</w:t>
      </w:r>
    </w:p>
    <w:p>
      <w:pPr>
        <w:widowControl/>
        <w:ind w:firstLine="620" w:firstLineChars="200"/>
        <w:jc w:val="left"/>
        <w:rPr>
          <w:rFonts w:hint="eastAsia" w:ascii="仿宋_GB2312" w:hAnsi="仿宋_GB2312" w:eastAsia="仿宋_GB2312" w:cs="仿宋_GB2312"/>
          <w:color w:val="000000"/>
          <w:kern w:val="0"/>
          <w:sz w:val="31"/>
          <w:szCs w:val="31"/>
        </w:rPr>
      </w:pPr>
    </w:p>
    <w:p>
      <w:pPr>
        <w:widowControl/>
        <w:ind w:firstLine="620" w:firstLineChars="200"/>
        <w:jc w:val="left"/>
        <w:rPr>
          <w:rFonts w:hint="eastAsia" w:ascii="仿宋_GB2312" w:hAnsi="仿宋_GB2312" w:eastAsia="仿宋_GB2312" w:cs="仿宋_GB2312"/>
          <w:color w:val="000000"/>
          <w:kern w:val="0"/>
          <w:sz w:val="31"/>
          <w:szCs w:val="31"/>
        </w:rPr>
      </w:pPr>
    </w:p>
    <w:tbl>
      <w:tblPr>
        <w:tblStyle w:val="7"/>
        <w:tblW w:w="9703" w:type="dxa"/>
        <w:tblInd w:w="0" w:type="dxa"/>
        <w:shd w:val="clear" w:color="auto" w:fill="auto"/>
        <w:tblLayout w:type="autofit"/>
        <w:tblCellMar>
          <w:top w:w="0" w:type="dxa"/>
          <w:left w:w="0" w:type="dxa"/>
          <w:bottom w:w="0" w:type="dxa"/>
          <w:right w:w="0" w:type="dxa"/>
        </w:tblCellMar>
      </w:tblPr>
      <w:tblGrid>
        <w:gridCol w:w="555"/>
        <w:gridCol w:w="555"/>
        <w:gridCol w:w="1035"/>
        <w:gridCol w:w="1980"/>
        <w:gridCol w:w="975"/>
        <w:gridCol w:w="2025"/>
        <w:gridCol w:w="1320"/>
        <w:gridCol w:w="1258"/>
      </w:tblGrid>
      <w:tr>
        <w:tblPrEx>
          <w:shd w:val="clear" w:color="auto" w:fill="auto"/>
          <w:tblCellMar>
            <w:top w:w="0" w:type="dxa"/>
            <w:left w:w="0" w:type="dxa"/>
            <w:bottom w:w="0" w:type="dxa"/>
            <w:right w:w="0" w:type="dxa"/>
          </w:tblCellMar>
        </w:tblPrEx>
        <w:trPr>
          <w:trHeight w:val="330" w:hRule="atLeast"/>
        </w:trPr>
        <w:tc>
          <w:tcPr>
            <w:tcW w:w="555" w:type="dxa"/>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2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9703"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县级预算（项目）绩效目标自评表</w:t>
            </w:r>
            <w:r>
              <w:rPr>
                <w:rStyle w:val="14"/>
                <w:lang w:val="en-US" w:eastAsia="zh-CN" w:bidi="ar"/>
              </w:rPr>
              <w:t xml:space="preserve"> </w:t>
            </w:r>
          </w:p>
        </w:tc>
      </w:tr>
      <w:tr>
        <w:tblPrEx>
          <w:shd w:val="clear" w:color="auto" w:fill="auto"/>
          <w:tblCellMar>
            <w:top w:w="0" w:type="dxa"/>
            <w:left w:w="0" w:type="dxa"/>
            <w:bottom w:w="0" w:type="dxa"/>
            <w:right w:w="0" w:type="dxa"/>
          </w:tblCellMar>
        </w:tblPrEx>
        <w:trPr>
          <w:trHeight w:val="432" w:hRule="atLeast"/>
        </w:trPr>
        <w:tc>
          <w:tcPr>
            <w:tcW w:w="9703" w:type="dxa"/>
            <w:gridSpan w:val="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shd w:val="clear" w:color="auto" w:fill="auto"/>
          <w:tblCellMar>
            <w:top w:w="0" w:type="dxa"/>
            <w:left w:w="0" w:type="dxa"/>
            <w:bottom w:w="0" w:type="dxa"/>
            <w:right w:w="0" w:type="dxa"/>
          </w:tblCellMar>
        </w:tblPrEx>
        <w:trPr>
          <w:trHeight w:val="319" w:hRule="atLeast"/>
        </w:trPr>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专项（项目）名称</w:t>
            </w:r>
          </w:p>
        </w:tc>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宗教工作及宗教团体工作经费、困难教职人员合疗及养老保险专项</w:t>
            </w:r>
          </w:p>
        </w:tc>
      </w:tr>
      <w:tr>
        <w:tblPrEx>
          <w:shd w:val="clear" w:color="auto" w:fill="auto"/>
          <w:tblCellMar>
            <w:top w:w="0" w:type="dxa"/>
            <w:left w:w="0" w:type="dxa"/>
            <w:bottom w:w="0" w:type="dxa"/>
            <w:right w:w="0" w:type="dxa"/>
          </w:tblCellMar>
        </w:tblPrEx>
        <w:trPr>
          <w:trHeight w:val="319" w:hRule="atLeast"/>
        </w:trPr>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w:t>
            </w:r>
          </w:p>
        </w:tc>
        <w:tc>
          <w:tcPr>
            <w:tcW w:w="29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眉县民族宗教事务局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眉县民族宗教事务局</w:t>
            </w:r>
          </w:p>
        </w:tc>
      </w:tr>
      <w:tr>
        <w:tblPrEx>
          <w:shd w:val="clear" w:color="auto" w:fill="auto"/>
          <w:tblCellMar>
            <w:top w:w="0" w:type="dxa"/>
            <w:left w:w="0" w:type="dxa"/>
            <w:bottom w:w="0" w:type="dxa"/>
            <w:right w:w="0" w:type="dxa"/>
          </w:tblCellMar>
        </w:tblPrEx>
        <w:trPr>
          <w:trHeight w:val="660" w:hRule="atLeast"/>
        </w:trPr>
        <w:tc>
          <w:tcPr>
            <w:tcW w:w="21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r>
      <w:tr>
        <w:tblPrEx>
          <w:shd w:val="clear" w:color="auto" w:fill="auto"/>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5"/>
                <w:lang w:val="en-US" w:eastAsia="zh-CN" w:bidi="ar"/>
              </w:rPr>
              <w:t>其中：财政资金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Style w:val="15"/>
                <w:lang w:val="en-US" w:eastAsia="zh-CN" w:bidi="ar"/>
              </w:rPr>
              <w:t xml:space="preserve">  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9" w:hRule="atLeast"/>
        </w:trPr>
        <w:tc>
          <w:tcPr>
            <w:tcW w:w="21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45"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保障全县民族宗教事务及4个宗教团体正常开展工作，确保困难宗教教职人员享受基本生活保障，民族宗教界和谐稳定。 </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全县民族宗教事务及4个宗教团体工作正常开展，确保困难宗教教职人员享受基本生活保障，维护了民族宗教界和谐稳定。</w:t>
            </w:r>
          </w:p>
        </w:tc>
      </w:tr>
      <w:tr>
        <w:tblPrEx>
          <w:shd w:val="clear" w:color="auto" w:fill="auto"/>
          <w:tblCellMar>
            <w:top w:w="0" w:type="dxa"/>
            <w:left w:w="0" w:type="dxa"/>
            <w:bottom w:w="0" w:type="dxa"/>
            <w:right w:w="0" w:type="dxa"/>
          </w:tblCellMar>
        </w:tblPrEx>
        <w:trPr>
          <w:trHeight w:val="52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全年完成值</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民族宗教工作正常运行费用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困难教职人员合疗及养老保险费用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依法管理宗教团体，保障民族宗教工作开展</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确保民族宗教界和谐稳定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资金及时下达，确保宗教团体正常运转</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党和政府的凝聚力，对宗教团体爱国爱教影响力</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持续加强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宗教团体、宗教教职人员、群众</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满意度≥90％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91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shd w:val="clear" w:color="auto" w:fill="auto"/>
          <w:tblCellMar>
            <w:top w:w="0" w:type="dxa"/>
            <w:left w:w="0" w:type="dxa"/>
            <w:bottom w:w="0" w:type="dxa"/>
            <w:right w:w="0" w:type="dxa"/>
          </w:tblCellMar>
        </w:tblPrEx>
        <w:trPr>
          <w:trHeight w:val="570" w:hRule="atLeast"/>
        </w:trPr>
        <w:tc>
          <w:tcPr>
            <w:tcW w:w="970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shd w:val="clear" w:color="auto" w:fill="auto"/>
          <w:tblCellMar>
            <w:top w:w="0" w:type="dxa"/>
            <w:left w:w="0" w:type="dxa"/>
            <w:bottom w:w="0" w:type="dxa"/>
            <w:right w:w="0" w:type="dxa"/>
          </w:tblCellMar>
        </w:tblPrEx>
        <w:trPr>
          <w:trHeight w:val="540" w:hRule="atLeast"/>
        </w:trPr>
        <w:tc>
          <w:tcPr>
            <w:tcW w:w="970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shd w:val="clear" w:color="auto" w:fill="auto"/>
          <w:tblCellMar>
            <w:top w:w="0" w:type="dxa"/>
            <w:left w:w="0" w:type="dxa"/>
            <w:bottom w:w="0" w:type="dxa"/>
            <w:right w:w="0" w:type="dxa"/>
          </w:tblCellMar>
        </w:tblPrEx>
        <w:trPr>
          <w:trHeight w:val="510" w:hRule="atLeast"/>
        </w:trPr>
        <w:tc>
          <w:tcPr>
            <w:tcW w:w="970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widowControl/>
        <w:jc w:val="left"/>
        <w:rPr>
          <w:rFonts w:ascii="楷体" w:hAnsi="楷体" w:eastAsia="楷体" w:cs="楷体"/>
          <w:sz w:val="32"/>
          <w:szCs w:val="32"/>
        </w:rPr>
        <w:sectPr>
          <w:headerReference r:id="rId3" w:type="default"/>
          <w:footerReference r:id="rId4" w:type="default"/>
          <w:pgSz w:w="11906" w:h="16838"/>
          <w:pgMar w:top="1985" w:right="1588" w:bottom="2098" w:left="1474" w:header="851" w:footer="992" w:gutter="0"/>
          <w:cols w:space="0" w:num="1"/>
          <w:docGrid w:type="lines" w:linePitch="315" w:charSpace="0"/>
        </w:sectPr>
      </w:pPr>
    </w:p>
    <w:p>
      <w:pPr>
        <w:widowControl/>
        <w:jc w:val="left"/>
        <w:rPr>
          <w:rFonts w:ascii="楷体" w:hAnsi="楷体" w:eastAsia="楷体" w:cs="楷体"/>
          <w:sz w:val="32"/>
          <w:szCs w:val="32"/>
        </w:rPr>
      </w:pPr>
      <w:r>
        <w:rPr>
          <w:rFonts w:hint="eastAsia" w:ascii="楷体" w:hAnsi="楷体" w:eastAsia="楷体" w:cs="楷体"/>
          <w:sz w:val="32"/>
          <w:szCs w:val="32"/>
        </w:rPr>
        <w:object>
          <v:shape id="_x0000_i1025" o:spt="75" type="#_x0000_t75" style="height:1311pt;width:631.5pt;" o:ole="t" filled="f" o:preferrelative="t" stroked="f" coordsize="21600,21600">
            <v:path/>
            <v:fill on="f" focussize="0,0"/>
            <v:stroke on="f"/>
            <v:imagedata r:id="rId16" o:title=""/>
            <o:lock v:ext="edit" aspectratio="t"/>
            <w10:wrap type="none"/>
            <w10:anchorlock/>
          </v:shape>
          <o:OLEObject Type="Embed" ProgID="Excel.Sheet.8" ShapeID="_x0000_i1025" DrawAspect="Content" ObjectID="_1468075725" r:id="rId15">
            <o:LockedField>false</o:LockedField>
          </o:OLEObject>
        </w:object>
      </w:r>
    </w:p>
    <w:tbl>
      <w:tblPr>
        <w:tblStyle w:val="7"/>
        <w:tblpPr w:leftFromText="180" w:rightFromText="180" w:vertAnchor="text" w:horzAnchor="page" w:tblpX="1048" w:tblpY="393"/>
        <w:tblOverlap w:val="never"/>
        <w:tblW w:w="13879" w:type="dxa"/>
        <w:tblInd w:w="0" w:type="dxa"/>
        <w:shd w:val="clear" w:color="auto" w:fill="auto"/>
        <w:tblLayout w:type="fixed"/>
        <w:tblCellMar>
          <w:top w:w="0" w:type="dxa"/>
          <w:left w:w="0" w:type="dxa"/>
          <w:bottom w:w="0" w:type="dxa"/>
          <w:right w:w="0" w:type="dxa"/>
        </w:tblCellMar>
      </w:tblPr>
      <w:tblGrid>
        <w:gridCol w:w="517"/>
        <w:gridCol w:w="517"/>
        <w:gridCol w:w="517"/>
        <w:gridCol w:w="349"/>
        <w:gridCol w:w="3862"/>
        <w:gridCol w:w="2600"/>
        <w:gridCol w:w="1080"/>
        <w:gridCol w:w="741"/>
        <w:gridCol w:w="741"/>
        <w:gridCol w:w="629"/>
        <w:gridCol w:w="1392"/>
        <w:gridCol w:w="934"/>
      </w:tblGrid>
      <w:tr>
        <w:tblPrEx>
          <w:shd w:val="clear" w:color="auto" w:fill="auto"/>
          <w:tblCellMar>
            <w:top w:w="0" w:type="dxa"/>
            <w:left w:w="0" w:type="dxa"/>
            <w:bottom w:w="0" w:type="dxa"/>
            <w:right w:w="0"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一级</w:t>
            </w:r>
            <w:r>
              <w:rPr>
                <w:rFonts w:hint="default" w:ascii="楷体_GB2312" w:hAnsi="宋体" w:eastAsia="楷体_GB2312" w:cs="楷体_GB2312"/>
                <w:b/>
                <w:i w:val="0"/>
                <w:color w:val="000000"/>
                <w:kern w:val="0"/>
                <w:sz w:val="20"/>
                <w:szCs w:val="20"/>
                <w:u w:val="none"/>
                <w:lang w:val="en-US" w:eastAsia="zh-CN" w:bidi="ar"/>
              </w:rPr>
              <w:br w:type="textWrapping"/>
            </w:r>
            <w:r>
              <w:rPr>
                <w:rFonts w:hint="default" w:ascii="楷体_GB2312" w:hAnsi="宋体" w:eastAsia="楷体_GB2312" w:cs="楷体_GB2312"/>
                <w:b/>
                <w:i w:val="0"/>
                <w:color w:val="000000"/>
                <w:kern w:val="0"/>
                <w:sz w:val="20"/>
                <w:szCs w:val="20"/>
                <w:u w:val="none"/>
                <w:lang w:val="en-US" w:eastAsia="zh-CN" w:bidi="ar"/>
              </w:rPr>
              <w:t>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二级</w:t>
            </w:r>
            <w:r>
              <w:rPr>
                <w:rFonts w:hint="default" w:ascii="楷体_GB2312" w:hAnsi="宋体" w:eastAsia="楷体_GB2312" w:cs="楷体_GB2312"/>
                <w:b/>
                <w:i w:val="0"/>
                <w:color w:val="000000"/>
                <w:kern w:val="0"/>
                <w:sz w:val="20"/>
                <w:szCs w:val="20"/>
                <w:u w:val="none"/>
                <w:lang w:val="en-US" w:eastAsia="zh-CN" w:bidi="ar"/>
              </w:rPr>
              <w:br w:type="textWrapping"/>
            </w:r>
            <w:r>
              <w:rPr>
                <w:rFonts w:hint="default" w:ascii="楷体_GB2312" w:hAnsi="宋体" w:eastAsia="楷体_GB2312" w:cs="楷体_GB2312"/>
                <w:b/>
                <w:i w:val="0"/>
                <w:color w:val="000000"/>
                <w:kern w:val="0"/>
                <w:sz w:val="20"/>
                <w:szCs w:val="20"/>
                <w:u w:val="none"/>
                <w:lang w:val="en-US" w:eastAsia="zh-CN" w:bidi="ar"/>
              </w:rPr>
              <w:t>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三级指标</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分值</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指标说明</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评分标准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指标值计算公式和数据获取方式</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年初目标值</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实际完成值</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得分</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未完成原因分析与改进措施</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绩效指标分析与建议</w:t>
            </w:r>
          </w:p>
        </w:tc>
      </w:tr>
      <w:tr>
        <w:tblPrEx>
          <w:shd w:val="clear" w:color="auto" w:fill="auto"/>
          <w:tblCellMar>
            <w:top w:w="0" w:type="dxa"/>
            <w:left w:w="0" w:type="dxa"/>
            <w:bottom w:w="0" w:type="dxa"/>
            <w:right w:w="0"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投入</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预算执行（25分）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支出进度率</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（5分）</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半年进度：进度率≥45%，得2分；进度率在40%（含）和45%之间，得1分；进度率＜40%，得0分。</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前三季度进度：进度率≥75%，得3分；进度率在60%（含）和75%之间，得2分；进度率＜60%，得0分。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159.80%</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55.21</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88.24</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1262"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预算编制准确率（5分）</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预算编制准确率≤20%，得5分。</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预算编制准确率在20%和40%（含）之间，得3分。</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预算编制准确率＞40%，得0分。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0</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0</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0</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过程</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预算管理（15分）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“三公经费”控制率</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（5分）</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100%</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0.1</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0.1</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资产管理规范性</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（5分）</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3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1.新增资产配置按预算执行。</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2.资产有偿使用、处置按规定程序审批。</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3.资产收益及时、足额上缴财政。</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全部符合5分，有1项不符扣2分,扣完为止。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rFonts w:ascii="楷体" w:hAnsi="楷体" w:eastAsia="楷体" w:cs="楷体"/>
          <w:sz w:val="32"/>
          <w:szCs w:val="32"/>
        </w:rPr>
      </w:pPr>
    </w:p>
    <w:p>
      <w:pPr>
        <w:rPr>
          <w:rFonts w:ascii="楷体" w:hAnsi="楷体" w:eastAsia="楷体" w:cs="楷体"/>
          <w:sz w:val="32"/>
          <w:szCs w:val="32"/>
        </w:rPr>
      </w:pPr>
    </w:p>
    <w:tbl>
      <w:tblPr>
        <w:tblStyle w:val="7"/>
        <w:tblW w:w="13032" w:type="dxa"/>
        <w:tblInd w:w="0" w:type="dxa"/>
        <w:shd w:val="clear" w:color="auto" w:fill="auto"/>
        <w:tblLayout w:type="autofit"/>
        <w:tblCellMar>
          <w:top w:w="0" w:type="dxa"/>
          <w:left w:w="0" w:type="dxa"/>
          <w:bottom w:w="0" w:type="dxa"/>
          <w:right w:w="0" w:type="dxa"/>
        </w:tblCellMar>
      </w:tblPr>
      <w:tblGrid>
        <w:gridCol w:w="458"/>
        <w:gridCol w:w="492"/>
        <w:gridCol w:w="492"/>
        <w:gridCol w:w="309"/>
        <w:gridCol w:w="3114"/>
        <w:gridCol w:w="2479"/>
        <w:gridCol w:w="1046"/>
        <w:gridCol w:w="653"/>
        <w:gridCol w:w="653"/>
        <w:gridCol w:w="554"/>
        <w:gridCol w:w="1440"/>
        <w:gridCol w:w="1342"/>
      </w:tblGrid>
      <w:tr>
        <w:tblPrEx>
          <w:shd w:val="clear" w:color="auto" w:fill="auto"/>
          <w:tblCellMar>
            <w:top w:w="0" w:type="dxa"/>
            <w:left w:w="0" w:type="dxa"/>
            <w:bottom w:w="0" w:type="dxa"/>
            <w:right w:w="0" w:type="dxa"/>
          </w:tblCellMar>
        </w:tblPrEx>
        <w:trPr>
          <w:trHeight w:val="1259"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一级</w:t>
            </w:r>
            <w:r>
              <w:rPr>
                <w:rFonts w:hint="default" w:ascii="楷体_GB2312" w:hAnsi="宋体" w:eastAsia="楷体_GB2312" w:cs="楷体_GB2312"/>
                <w:b/>
                <w:i w:val="0"/>
                <w:color w:val="000000"/>
                <w:kern w:val="0"/>
                <w:sz w:val="20"/>
                <w:szCs w:val="20"/>
                <w:u w:val="none"/>
                <w:lang w:val="en-US" w:eastAsia="zh-CN" w:bidi="ar"/>
              </w:rPr>
              <w:br w:type="textWrapping"/>
            </w:r>
            <w:r>
              <w:rPr>
                <w:rFonts w:hint="default" w:ascii="楷体_GB2312" w:hAnsi="宋体" w:eastAsia="楷体_GB2312" w:cs="楷体_GB2312"/>
                <w:b/>
                <w:i w:val="0"/>
                <w:color w:val="000000"/>
                <w:kern w:val="0"/>
                <w:sz w:val="20"/>
                <w:szCs w:val="20"/>
                <w:u w:val="none"/>
                <w:lang w:val="en-US" w:eastAsia="zh-CN" w:bidi="ar"/>
              </w:rPr>
              <w:t>指标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二级</w:t>
            </w:r>
            <w:r>
              <w:rPr>
                <w:rFonts w:hint="default" w:ascii="楷体_GB2312" w:hAnsi="宋体" w:eastAsia="楷体_GB2312" w:cs="楷体_GB2312"/>
                <w:b/>
                <w:i w:val="0"/>
                <w:color w:val="000000"/>
                <w:kern w:val="0"/>
                <w:sz w:val="20"/>
                <w:szCs w:val="20"/>
                <w:u w:val="none"/>
                <w:lang w:val="en-US" w:eastAsia="zh-CN" w:bidi="ar"/>
              </w:rPr>
              <w:br w:type="textWrapping"/>
            </w:r>
            <w:r>
              <w:rPr>
                <w:rFonts w:hint="default" w:ascii="楷体_GB2312" w:hAnsi="宋体" w:eastAsia="楷体_GB2312" w:cs="楷体_GB2312"/>
                <w:b/>
                <w:i w:val="0"/>
                <w:color w:val="000000"/>
                <w:kern w:val="0"/>
                <w:sz w:val="20"/>
                <w:szCs w:val="20"/>
                <w:u w:val="none"/>
                <w:lang w:val="en-US" w:eastAsia="zh-CN" w:bidi="ar"/>
              </w:rPr>
              <w:t>指标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三级指标</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分值</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指标说明</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评分标准</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指标值计算公式和数据获取方式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年初目标值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实际完成值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得分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未完成原因分析与改进措施</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绩效指标分析与建议</w:t>
            </w:r>
          </w:p>
        </w:tc>
      </w:tr>
      <w:tr>
        <w:tblPrEx>
          <w:shd w:val="clear" w:color="auto" w:fill="auto"/>
          <w:tblCellMar>
            <w:top w:w="0" w:type="dxa"/>
            <w:left w:w="0" w:type="dxa"/>
            <w:bottom w:w="0" w:type="dxa"/>
            <w:right w:w="0" w:type="dxa"/>
          </w:tblCellMar>
        </w:tblPrEx>
        <w:trPr>
          <w:trHeight w:val="4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过程</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预算管理（15分）</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资金使用合规性</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（5分）</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2.资金的拨付有完整的审批程序和手续；</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3.重大项目开支经过评估论证；</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4.符合部门预算批复的用途；</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5.不存在截留、挤占、挪用、虚列支出等情况。</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全部符合5分,有1项不符扣2分。</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效果</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履职尽责（60分）</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项目产出</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（40分）</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40</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1.若为定性指标，根据“三档”原则分别按照指标分值的100-80%（含）、80-50%（含）、50-10%来记分；</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3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项目效益</w:t>
            </w:r>
            <w:r>
              <w:rPr>
                <w:rFonts w:hint="default" w:ascii="楷体_GB2312" w:hAnsi="宋体" w:eastAsia="楷体_GB2312" w:cs="楷体_GB2312"/>
                <w:i w:val="0"/>
                <w:color w:val="000000"/>
                <w:kern w:val="0"/>
                <w:sz w:val="20"/>
                <w:szCs w:val="20"/>
                <w:u w:val="none"/>
                <w:lang w:val="en-US" w:eastAsia="zh-CN" w:bidi="ar"/>
              </w:rPr>
              <w:br w:type="textWrapping"/>
            </w:r>
            <w:r>
              <w:rPr>
                <w:rFonts w:hint="default" w:ascii="楷体_GB2312" w:hAnsi="宋体" w:eastAsia="楷体_GB2312" w:cs="楷体_GB2312"/>
                <w:i w:val="0"/>
                <w:color w:val="000000"/>
                <w:kern w:val="0"/>
                <w:sz w:val="20"/>
                <w:szCs w:val="20"/>
                <w:u w:val="none"/>
                <w:lang w:val="en-US" w:eastAsia="zh-CN" w:bidi="ar"/>
              </w:rPr>
              <w:t>（20分）</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20</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68" w:hRule="atLeast"/>
        </w:trPr>
        <w:tc>
          <w:tcPr>
            <w:tcW w:w="1303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1.“项目产出”和“项目效果”直接细化成部门年初绩效目标中的指标，并根据重要程度赋权。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14.36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24.24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w:t>
      </w:r>
      <w:r>
        <w:rPr>
          <w:rFonts w:hint="eastAsia" w:ascii="仿宋_GB2312" w:hAnsi="宋体" w:eastAsia="仿宋_GB2312" w:cs="仿宋_GB2312"/>
          <w:color w:val="000000"/>
          <w:kern w:val="0"/>
          <w:sz w:val="32"/>
          <w:szCs w:val="32"/>
          <w:lang w:val="en-US" w:eastAsia="zh-CN"/>
        </w:rPr>
        <w:t>9.88</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机构改革，部门职能变化，业务量增加，机关运行经费增加</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购置车辆；</w:t>
      </w:r>
      <w:r>
        <w:rPr>
          <w:rFonts w:hint="eastAsia" w:ascii="仿宋_GB2312" w:hAnsi="仿宋_GB2312" w:eastAsia="仿宋_GB2312" w:cs="仿宋_GB2312"/>
          <w:sz w:val="32"/>
          <w:szCs w:val="32"/>
          <w:lang w:val="en-US" w:eastAsia="zh-CN"/>
        </w:rPr>
        <w:t>未购置</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购置单价100万元以上的专用设备。</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A73E8"/>
    <w:multiLevelType w:val="singleLevel"/>
    <w:tmpl w:val="C0FA73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B535D"/>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6EB5D5C"/>
    <w:rsid w:val="0A156D20"/>
    <w:rsid w:val="0BF36286"/>
    <w:rsid w:val="0C6241B8"/>
    <w:rsid w:val="0C8676B0"/>
    <w:rsid w:val="0E031770"/>
    <w:rsid w:val="0E2A5DCE"/>
    <w:rsid w:val="0E313067"/>
    <w:rsid w:val="125E2600"/>
    <w:rsid w:val="12685CD2"/>
    <w:rsid w:val="132E46A0"/>
    <w:rsid w:val="14411117"/>
    <w:rsid w:val="146C28C8"/>
    <w:rsid w:val="1586116E"/>
    <w:rsid w:val="18A511D1"/>
    <w:rsid w:val="18BB4AD7"/>
    <w:rsid w:val="19FA6B5B"/>
    <w:rsid w:val="1B4A3FDA"/>
    <w:rsid w:val="1B524C98"/>
    <w:rsid w:val="1B8675E5"/>
    <w:rsid w:val="1C5E2F73"/>
    <w:rsid w:val="1D3462C2"/>
    <w:rsid w:val="1D6E0C0D"/>
    <w:rsid w:val="1DE5728E"/>
    <w:rsid w:val="1EB44AE6"/>
    <w:rsid w:val="221C15BB"/>
    <w:rsid w:val="24212B05"/>
    <w:rsid w:val="24BE6DE4"/>
    <w:rsid w:val="24ED638C"/>
    <w:rsid w:val="2956068A"/>
    <w:rsid w:val="29785A6B"/>
    <w:rsid w:val="2D1F3974"/>
    <w:rsid w:val="2D8E1F4D"/>
    <w:rsid w:val="2DE063A0"/>
    <w:rsid w:val="2FA138DD"/>
    <w:rsid w:val="2FFF1785"/>
    <w:rsid w:val="31AA6038"/>
    <w:rsid w:val="32F84C2B"/>
    <w:rsid w:val="33887EE3"/>
    <w:rsid w:val="34677C61"/>
    <w:rsid w:val="354F2D32"/>
    <w:rsid w:val="3B121AD1"/>
    <w:rsid w:val="3BA036F9"/>
    <w:rsid w:val="3CA51195"/>
    <w:rsid w:val="3CFD0D2E"/>
    <w:rsid w:val="3D4E7B9A"/>
    <w:rsid w:val="3F1129EC"/>
    <w:rsid w:val="3F1E6A0B"/>
    <w:rsid w:val="41603979"/>
    <w:rsid w:val="44983108"/>
    <w:rsid w:val="4619368A"/>
    <w:rsid w:val="4A752E4C"/>
    <w:rsid w:val="4B703368"/>
    <w:rsid w:val="4B7A451D"/>
    <w:rsid w:val="4D3C5180"/>
    <w:rsid w:val="4D6E0FDF"/>
    <w:rsid w:val="4EE4307A"/>
    <w:rsid w:val="4FE048E5"/>
    <w:rsid w:val="50B37683"/>
    <w:rsid w:val="513F66F6"/>
    <w:rsid w:val="5153143F"/>
    <w:rsid w:val="53E05A10"/>
    <w:rsid w:val="54F12DEE"/>
    <w:rsid w:val="5BEA4BE0"/>
    <w:rsid w:val="5C4D2A13"/>
    <w:rsid w:val="5D3938DC"/>
    <w:rsid w:val="601E7CBB"/>
    <w:rsid w:val="63D76416"/>
    <w:rsid w:val="64085F26"/>
    <w:rsid w:val="640A0B0D"/>
    <w:rsid w:val="66BA6FA5"/>
    <w:rsid w:val="66F51E3E"/>
    <w:rsid w:val="680146D6"/>
    <w:rsid w:val="693E42B4"/>
    <w:rsid w:val="6A5C5A15"/>
    <w:rsid w:val="6B4D7B1F"/>
    <w:rsid w:val="6F931528"/>
    <w:rsid w:val="74651FEC"/>
    <w:rsid w:val="75000F42"/>
    <w:rsid w:val="75C31473"/>
    <w:rsid w:val="778C57CB"/>
    <w:rsid w:val="7B443916"/>
    <w:rsid w:val="7C3E5E46"/>
    <w:rsid w:val="7CB910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 w:type="character" w:customStyle="1" w:styleId="14">
    <w:name w:val="font71"/>
    <w:basedOn w:val="9"/>
    <w:uiPriority w:val="0"/>
    <w:rPr>
      <w:rFonts w:hint="eastAsia" w:ascii="宋体" w:hAnsi="宋体" w:eastAsia="宋体" w:cs="宋体"/>
      <w:color w:val="000000"/>
      <w:sz w:val="32"/>
      <w:szCs w:val="32"/>
      <w:u w:val="none"/>
    </w:rPr>
  </w:style>
  <w:style w:type="character" w:customStyle="1" w:styleId="15">
    <w:name w:val="font0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a:t>
            </a:r>
          </a:p>
        </c:rich>
      </c:tx>
      <c:layout/>
      <c:overlay val="0"/>
      <c:spPr>
        <a:noFill/>
        <a:ln>
          <a:noFill/>
        </a:ln>
        <a:effectLst/>
      </c:spPr>
    </c:title>
    <c:autoTitleDeleted val="0"/>
    <c:plotArea>
      <c:layout/>
      <c:barChart>
        <c:barDir val="col"/>
        <c:grouping val="clustered"/>
        <c:varyColors val="0"/>
        <c:ser>
          <c:idx val="0"/>
          <c:order val="0"/>
          <c:tx>
            <c:strRef>
              <c:f>'[新建 XLS 工作表.xls]Sheet1'!$F$7</c:f>
              <c:strCache>
                <c:ptCount val="1"/>
                <c:pt idx="0">
                  <c:v>眉县民宗局</c:v>
                </c:pt>
              </c:strCache>
            </c:strRef>
          </c:tx>
          <c:spPr>
            <a:gradFill>
              <a:gsLst>
                <a:gs pos="0">
                  <a:srgbClr val="FBFB11"/>
                </a:gs>
                <a:gs pos="100000">
                  <a:srgbClr val="838309"/>
                </a:gs>
              </a:gsLst>
              <a:lin ang="5400000" scaled="0"/>
            </a:gradFill>
            <a:ln>
              <a:noFill/>
            </a:ln>
            <a:effectLst/>
          </c:spPr>
          <c:invertIfNegative val="0"/>
          <c:dPt>
            <c:idx val="0"/>
            <c:invertIfNegative val="0"/>
            <c:bubble3D val="0"/>
            <c:spPr>
              <a:gradFill>
                <a:gsLst>
                  <a:gs pos="0">
                    <a:srgbClr val="FE4444"/>
                  </a:gs>
                  <a:gs pos="100000">
                    <a:srgbClr val="832B2B"/>
                  </a:gs>
                </a:gsLst>
                <a:lin ang="54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63.83万元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88.24万元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工作表.xls]Sheet1'!$G$6:$H$6</c:f>
              <c:strCache>
                <c:ptCount val="2"/>
                <c:pt idx="0">
                  <c:v>2018年</c:v>
                </c:pt>
                <c:pt idx="1">
                  <c:v>2019年</c:v>
                </c:pt>
              </c:strCache>
            </c:strRef>
          </c:cat>
          <c:val>
            <c:numRef>
              <c:f>'[新建 XLS 工作表.xls]Sheet1'!$G$7:$H$7</c:f>
              <c:numCache>
                <c:formatCode>0.00_);[Red]\(0.00\)</c:formatCode>
                <c:ptCount val="2"/>
                <c:pt idx="0">
                  <c:v>63.83</c:v>
                </c:pt>
                <c:pt idx="1">
                  <c:v>88.24</c:v>
                </c:pt>
              </c:numCache>
            </c:numRef>
          </c:val>
        </c:ser>
        <c:dLbls>
          <c:showLegendKey val="0"/>
          <c:showVal val="1"/>
          <c:showCatName val="0"/>
          <c:showSerName val="0"/>
          <c:showPercent val="0"/>
          <c:showBubbleSize val="0"/>
        </c:dLbls>
        <c:gapWidth val="82"/>
        <c:overlap val="0"/>
        <c:axId val="383544748"/>
        <c:axId val="425279270"/>
      </c:barChart>
      <c:catAx>
        <c:axId val="3835447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279270"/>
        <c:crosses val="autoZero"/>
        <c:auto val="1"/>
        <c:lblAlgn val="ctr"/>
        <c:lblOffset val="100"/>
        <c:noMultiLvlLbl val="0"/>
      </c:catAx>
      <c:valAx>
        <c:axId val="425279270"/>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4474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a:t>
            </a:r>
          </a:p>
        </c:rich>
      </c:tx>
      <c:layout/>
      <c:overlay val="0"/>
      <c:spPr>
        <a:noFill/>
        <a:ln>
          <a:noFill/>
        </a:ln>
        <a:effectLst/>
      </c:spPr>
    </c:title>
    <c:autoTitleDeleted val="0"/>
    <c:plotArea>
      <c:layout/>
      <c:barChart>
        <c:barDir val="col"/>
        <c:grouping val="clustered"/>
        <c:varyColors val="0"/>
        <c:ser>
          <c:idx val="0"/>
          <c:order val="0"/>
          <c:tx>
            <c:strRef>
              <c:f>'[新建 XLS 工作表.xls]Sheet1'!$F$7</c:f>
              <c:strCache>
                <c:ptCount val="1"/>
                <c:pt idx="0">
                  <c:v>眉县民宗局</c:v>
                </c:pt>
              </c:strCache>
            </c:strRef>
          </c:tx>
          <c:spPr>
            <a:gradFill>
              <a:gsLst>
                <a:gs pos="0">
                  <a:srgbClr val="FBFB11"/>
                </a:gs>
                <a:gs pos="100000">
                  <a:srgbClr val="838309"/>
                </a:gs>
              </a:gsLst>
              <a:lin ang="5400000" scaled="0"/>
            </a:gradFill>
            <a:ln>
              <a:noFill/>
            </a:ln>
            <a:effectLst/>
          </c:spPr>
          <c:invertIfNegative val="0"/>
          <c:dPt>
            <c:idx val="0"/>
            <c:invertIfNegative val="0"/>
            <c:bubble3D val="0"/>
            <c:spPr>
              <a:gradFill>
                <a:gsLst>
                  <a:gs pos="0">
                    <a:srgbClr val="FE4444"/>
                  </a:gs>
                  <a:gs pos="100000">
                    <a:srgbClr val="832B2B"/>
                  </a:gs>
                </a:gsLst>
                <a:lin ang="54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63.83万元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88.24万元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工作表.xls]Sheet1'!$G$6:$H$6</c:f>
              <c:strCache>
                <c:ptCount val="2"/>
                <c:pt idx="0">
                  <c:v>2018年</c:v>
                </c:pt>
                <c:pt idx="1">
                  <c:v>2019年</c:v>
                </c:pt>
              </c:strCache>
            </c:strRef>
          </c:cat>
          <c:val>
            <c:numRef>
              <c:f>'[新建 XLS 工作表.xls]Sheet1'!$G$7:$H$7</c:f>
              <c:numCache>
                <c:formatCode>0.00_);[Red]\(0.00\)</c:formatCode>
                <c:ptCount val="2"/>
                <c:pt idx="0">
                  <c:v>63.83</c:v>
                </c:pt>
                <c:pt idx="1">
                  <c:v>88.24</c:v>
                </c:pt>
              </c:numCache>
            </c:numRef>
          </c:val>
        </c:ser>
        <c:dLbls>
          <c:showLegendKey val="0"/>
          <c:showVal val="1"/>
          <c:showCatName val="0"/>
          <c:showSerName val="0"/>
          <c:showPercent val="0"/>
          <c:showBubbleSize val="0"/>
        </c:dLbls>
        <c:gapWidth val="82"/>
        <c:overlap val="0"/>
        <c:axId val="383544748"/>
        <c:axId val="425279270"/>
      </c:barChart>
      <c:catAx>
        <c:axId val="3835447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279270"/>
        <c:crosses val="autoZero"/>
        <c:auto val="1"/>
        <c:lblAlgn val="ctr"/>
        <c:lblOffset val="100"/>
        <c:noMultiLvlLbl val="0"/>
      </c:catAx>
      <c:valAx>
        <c:axId val="425279270"/>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4474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2019年收入合计占比</a:t>
            </a:r>
          </a:p>
        </c:rich>
      </c:tx>
      <c:layout/>
      <c:overlay val="0"/>
      <c:spPr>
        <a:noFill/>
        <a:ln>
          <a:noFill/>
        </a:ln>
        <a:effectLst/>
      </c:spPr>
    </c:title>
    <c:autoTitleDeleted val="0"/>
    <c:plotArea>
      <c:layout/>
      <c:pieChart>
        <c:varyColors val="1"/>
        <c:ser>
          <c:idx val="0"/>
          <c:order val="0"/>
          <c:tx>
            <c:strRef>
              <c:f>'[新建 XLS 工作表.xls]Sheet1'!$H$6</c:f>
              <c:strCache>
                <c:ptCount val="1"/>
                <c:pt idx="0">
                  <c:v>2019年</c:v>
                </c:pt>
              </c:strCache>
            </c:strRef>
          </c:tx>
          <c:spPr/>
          <c:explosion val="0"/>
          <c:dPt>
            <c:idx val="0"/>
            <c:bubble3D val="0"/>
            <c:spPr>
              <a:solidFill>
                <a:schemeClr val="accent1"/>
              </a:solidFill>
              <a:ln w="19050">
                <a:solidFill>
                  <a:schemeClr val="lt1"/>
                </a:solidFill>
              </a:ln>
              <a:effectLst/>
            </c:spPr>
          </c:dPt>
          <c:dLbls>
            <c:dLbl>
              <c:idx val="0"/>
              <c:layout>
                <c:manualLayout>
                  <c:x val="0.00378033756202934"/>
                  <c:y val="-0.291018518517452"/>
                </c:manualLayout>
              </c:layout>
              <c:tx>
                <c:rich>
                  <a:bodyPr rot="0" spcFirstLastPara="0" vertOverflow="ellipsis" vert="horz" wrap="square" lIns="71755" tIns="19050" rIns="38100" bIns="19050" anchor="ctr" anchorCtr="1"/>
                  <a:lstStyle/>
                  <a:p>
                    <a:pPr defTabSz="914400">
                      <a:defRPr lang="zh-CN" sz="1600" b="0" i="0" u="none" strike="noStrike" kern="1200" baseline="0">
                        <a:solidFill>
                          <a:schemeClr val="tx1">
                            <a:lumMod val="75000"/>
                            <a:lumOff val="25000"/>
                          </a:schemeClr>
                        </a:solidFill>
                        <a:latin typeface="+mn-lt"/>
                        <a:ea typeface="+mn-ea"/>
                        <a:cs typeface="+mn-cs"/>
                      </a:defRPr>
                    </a:pPr>
                    <a:r>
                      <a:rPr lang="en-US" altLang="zh-CN"/>
                      <a:t>   </a:t>
                    </a:r>
                    <a:r>
                      <a:t>88.24</a:t>
                    </a:r>
                  </a:p>
                  <a:p>
                    <a:pPr defTabSz="914400">
                      <a:defRPr lang="zh-CN" sz="1600" b="0" i="0" u="none" strike="noStrike" kern="1200" baseline="0">
                        <a:solidFill>
                          <a:schemeClr val="tx1">
                            <a:lumMod val="75000"/>
                            <a:lumOff val="25000"/>
                          </a:schemeClr>
                        </a:solidFill>
                        <a:latin typeface="+mn-lt"/>
                        <a:ea typeface="+mn-ea"/>
                        <a:cs typeface="+mn-cs"/>
                      </a:defRPr>
                    </a:pPr>
                    <a:r>
                      <a:rPr lang="en-US" altLang="zh-CN"/>
                      <a:t>100%</a:t>
                    </a:r>
                    <a:r>
                      <a:t> </a:t>
                    </a:r>
                  </a:p>
                </c:rich>
              </c:tx>
              <c:numFmt formatCode="General" sourceLinked="1"/>
              <c:spPr>
                <a:noFill/>
                <a:ln>
                  <a:noFill/>
                </a:ln>
                <a:effectLst/>
              </c:spPr>
              <c:txPr>
                <a:bodyPr rot="0" spcFirstLastPara="0" vertOverflow="ellipsis" vert="horz" wrap="square" lIns="71755"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71755"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'[新建 XLS 工作表.xls]Sheet1'!$H$7</c:f>
              <c:numCache>
                <c:formatCode>0.00_);[Red]\(0.00\)</c:formatCode>
                <c:ptCount val="1"/>
                <c:pt idx="0">
                  <c:v>88.24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2019年支出合计</a:t>
            </a:r>
          </a:p>
        </c:rich>
      </c:tx>
      <c:layout/>
      <c:overlay val="0"/>
      <c:spPr>
        <a:noFill/>
        <a:ln>
          <a:noFill/>
        </a:ln>
        <a:effectLst/>
      </c:spPr>
    </c:title>
    <c:autoTitleDeleted val="0"/>
    <c:plotArea>
      <c:layout/>
      <c:pieChart>
        <c:varyColors val="1"/>
        <c:ser>
          <c:idx val="0"/>
          <c:order val="0"/>
          <c:tx>
            <c:strRef>
              <c:f>'[新建 XLS 工作表.xls]Sheet1'!$H$6</c:f>
              <c:strCache>
                <c:ptCount val="1"/>
                <c:pt idx="0">
                  <c:v>2019年</c:v>
                </c:pt>
              </c:strCache>
            </c:strRef>
          </c:tx>
          <c:spPr/>
          <c:explosion val="0"/>
          <c:dPt>
            <c:idx val="0"/>
            <c:bubble3D val="0"/>
            <c:spPr>
              <a:solidFill>
                <a:schemeClr val="accent1"/>
              </a:solidFill>
              <a:ln w="19050">
                <a:solidFill>
                  <a:schemeClr val="lt1"/>
                </a:solidFill>
              </a:ln>
              <a:effectLst/>
            </c:spPr>
          </c:dPt>
          <c:dLbls>
            <c:dLbl>
              <c:idx val="0"/>
              <c:layout>
                <c:manualLayout>
                  <c:x val="0.00378033756202934"/>
                  <c:y val="-0.30490740740634"/>
                </c:manualLayout>
              </c:layout>
              <c:tx>
                <c:rich>
                  <a:bodyPr rot="0" spcFirstLastPara="0" vertOverflow="ellipsis" vert="horz" wrap="square" lIns="71755" tIns="19050" rIns="38100" bIns="19050" anchor="ctr" anchorCtr="1"/>
                  <a:lstStyle/>
                  <a:p>
                    <a:pPr defTabSz="914400">
                      <a:defRPr lang="zh-CN" sz="1600" b="0" i="0" u="none" strike="noStrike" kern="1200" baseline="0">
                        <a:solidFill>
                          <a:schemeClr val="tx1">
                            <a:lumMod val="75000"/>
                            <a:lumOff val="25000"/>
                          </a:schemeClr>
                        </a:solidFill>
                        <a:latin typeface="+mn-lt"/>
                        <a:ea typeface="+mn-ea"/>
                        <a:cs typeface="+mn-cs"/>
                      </a:defRPr>
                    </a:pPr>
                    <a:r>
                      <a:rPr lang="en-US" altLang="zh-CN"/>
                      <a:t>   </a:t>
                    </a:r>
                    <a:r>
                      <a:t>88.24，</a:t>
                    </a:r>
                    <a:r>
                      <a:rPr lang="en-US" altLang="zh-CN"/>
                      <a:t>100%</a:t>
                    </a:r>
                    <a:r>
                      <a:t> </a:t>
                    </a:r>
                  </a:p>
                </c:rich>
              </c:tx>
              <c:numFmt formatCode="General" sourceLinked="1"/>
              <c:spPr>
                <a:noFill/>
                <a:ln>
                  <a:noFill/>
                </a:ln>
                <a:effectLst/>
              </c:spPr>
              <c:txPr>
                <a:bodyPr rot="0" spcFirstLastPara="0" vertOverflow="ellipsis" vert="horz" wrap="square" lIns="71755"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71755"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'[新建 XLS 工作表.xls]Sheet1'!$H$7</c:f>
              <c:numCache>
                <c:formatCode>0.00_);[Red]\(0.00\)</c:formatCode>
                <c:ptCount val="1"/>
                <c:pt idx="0">
                  <c:v>88.24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a:t>
            </a:r>
          </a:p>
        </c:rich>
      </c:tx>
      <c:layout/>
      <c:overlay val="0"/>
      <c:spPr>
        <a:noFill/>
        <a:ln>
          <a:noFill/>
        </a:ln>
        <a:effectLst/>
      </c:spPr>
    </c:title>
    <c:autoTitleDeleted val="0"/>
    <c:plotArea>
      <c:layout/>
      <c:barChart>
        <c:barDir val="col"/>
        <c:grouping val="clustered"/>
        <c:varyColors val="0"/>
        <c:ser>
          <c:idx val="0"/>
          <c:order val="0"/>
          <c:tx>
            <c:strRef>
              <c:f>'[新建 XLS 工作表.xls]Sheet1'!$F$7</c:f>
              <c:strCache>
                <c:ptCount val="1"/>
                <c:pt idx="0">
                  <c:v>眉县民宗局</c:v>
                </c:pt>
              </c:strCache>
            </c:strRef>
          </c:tx>
          <c:spPr>
            <a:gradFill>
              <a:gsLst>
                <a:gs pos="0">
                  <a:srgbClr val="FBFB11"/>
                </a:gs>
                <a:gs pos="100000">
                  <a:srgbClr val="838309"/>
                </a:gs>
              </a:gsLst>
              <a:lin ang="5400000" scaled="0"/>
            </a:gradFill>
            <a:ln>
              <a:noFill/>
            </a:ln>
            <a:effectLst/>
          </c:spPr>
          <c:invertIfNegative val="0"/>
          <c:dPt>
            <c:idx val="0"/>
            <c:invertIfNegative val="0"/>
            <c:bubble3D val="0"/>
            <c:spPr>
              <a:gradFill>
                <a:gsLst>
                  <a:gs pos="0">
                    <a:srgbClr val="FE4444"/>
                  </a:gs>
                  <a:gs pos="100000">
                    <a:srgbClr val="832B2B"/>
                  </a:gs>
                </a:gsLst>
                <a:lin ang="54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63.83万元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88.24万元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'[新建 XLS 工作表.xls]Sheet1'!$G$6:$H$6</c:f>
              <c:strCache>
                <c:ptCount val="2"/>
                <c:pt idx="0">
                  <c:v>2018年</c:v>
                </c:pt>
                <c:pt idx="1">
                  <c:v>2019年</c:v>
                </c:pt>
              </c:strCache>
            </c:strRef>
          </c:cat>
          <c:val>
            <c:numRef>
              <c:f>'[新建 XLS 工作表.xls]Sheet1'!$G$7:$H$7</c:f>
              <c:numCache>
                <c:formatCode>0.00_);[Red]\(0.00\)</c:formatCode>
                <c:ptCount val="2"/>
                <c:pt idx="0">
                  <c:v>63.83</c:v>
                </c:pt>
                <c:pt idx="1">
                  <c:v>88.24</c:v>
                </c:pt>
              </c:numCache>
            </c:numRef>
          </c:val>
        </c:ser>
        <c:dLbls>
          <c:showLegendKey val="0"/>
          <c:showVal val="1"/>
          <c:showCatName val="0"/>
          <c:showSerName val="0"/>
          <c:showPercent val="0"/>
          <c:showBubbleSize val="0"/>
        </c:dLbls>
        <c:gapWidth val="82"/>
        <c:overlap val="0"/>
        <c:axId val="383544748"/>
        <c:axId val="425279270"/>
      </c:barChart>
      <c:catAx>
        <c:axId val="3835447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279270"/>
        <c:crosses val="autoZero"/>
        <c:auto val="1"/>
        <c:lblAlgn val="ctr"/>
        <c:lblOffset val="100"/>
        <c:noMultiLvlLbl val="0"/>
      </c:catAx>
      <c:valAx>
        <c:axId val="425279270"/>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4474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a:t>
            </a:r>
          </a:p>
        </c:rich>
      </c:tx>
      <c:layout/>
      <c:overlay val="0"/>
      <c:spPr>
        <a:noFill/>
        <a:ln>
          <a:noFill/>
        </a:ln>
        <a:effectLst/>
      </c:spPr>
    </c:title>
    <c:autoTitleDeleted val="0"/>
    <c:plotArea>
      <c:layout/>
      <c:barChart>
        <c:barDir val="col"/>
        <c:grouping val="clustered"/>
        <c:varyColors val="0"/>
        <c:ser>
          <c:idx val="0"/>
          <c:order val="0"/>
          <c:tx>
            <c:strRef>
              <c:f>'[新建 XLS 工作表.xls]Sheet1'!$F$7</c:f>
              <c:strCache>
                <c:ptCount val="1"/>
                <c:pt idx="0">
                  <c:v>眉县民宗局</c:v>
                </c:pt>
              </c:strCache>
            </c:strRef>
          </c:tx>
          <c:spPr>
            <a:gradFill>
              <a:gsLst>
                <a:gs pos="0">
                  <a:srgbClr val="FBFB11"/>
                </a:gs>
                <a:gs pos="100000">
                  <a:srgbClr val="838309"/>
                </a:gs>
              </a:gsLst>
              <a:lin ang="5400000" scaled="0"/>
            </a:gradFill>
            <a:ln>
              <a:noFill/>
            </a:ln>
            <a:effectLst/>
          </c:spPr>
          <c:invertIfNegative val="0"/>
          <c:dPt>
            <c:idx val="0"/>
            <c:invertIfNegative val="0"/>
            <c:bubble3D val="0"/>
            <c:spPr>
              <a:gradFill>
                <a:gsLst>
                  <a:gs pos="0">
                    <a:srgbClr val="FE4444"/>
                  </a:gs>
                  <a:gs pos="100000">
                    <a:srgbClr val="832B2B"/>
                  </a:gs>
                </a:gsLst>
                <a:lin ang="54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63.83万元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88.24万元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'[新建 XLS 工作表.xls]Sheet1'!$G$6:$H$6</c:f>
              <c:strCache>
                <c:ptCount val="2"/>
                <c:pt idx="0">
                  <c:v>2018年</c:v>
                </c:pt>
                <c:pt idx="1">
                  <c:v>2019年</c:v>
                </c:pt>
              </c:strCache>
            </c:strRef>
          </c:cat>
          <c:val>
            <c:numRef>
              <c:f>'[新建 XLS 工作表.xls]Sheet1'!$G$7:$H$7</c:f>
              <c:numCache>
                <c:formatCode>0.00_);[Red]\(0.00\)</c:formatCode>
                <c:ptCount val="2"/>
                <c:pt idx="0">
                  <c:v>63.83</c:v>
                </c:pt>
                <c:pt idx="1">
                  <c:v>88.24</c:v>
                </c:pt>
              </c:numCache>
            </c:numRef>
          </c:val>
        </c:ser>
        <c:dLbls>
          <c:showLegendKey val="0"/>
          <c:showVal val="1"/>
          <c:showCatName val="0"/>
          <c:showSerName val="0"/>
          <c:showPercent val="0"/>
          <c:showBubbleSize val="0"/>
        </c:dLbls>
        <c:gapWidth val="82"/>
        <c:overlap val="0"/>
        <c:axId val="383544748"/>
        <c:axId val="425279270"/>
      </c:barChart>
      <c:catAx>
        <c:axId val="3835447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279270"/>
        <c:crosses val="autoZero"/>
        <c:auto val="1"/>
        <c:lblAlgn val="ctr"/>
        <c:lblOffset val="100"/>
        <c:noMultiLvlLbl val="0"/>
      </c:catAx>
      <c:valAx>
        <c:axId val="425279270"/>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4474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1"/>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2019年支出</a:t>
            </a:r>
          </a:p>
        </c:rich>
      </c:tx>
      <c:layout/>
      <c:overlay val="0"/>
      <c:spPr>
        <a:noFill/>
        <a:ln>
          <a:noFill/>
        </a:ln>
        <a:effectLst/>
      </c:spPr>
    </c:title>
    <c:autoTitleDeleted val="0"/>
    <c:plotArea>
      <c:layout/>
      <c:pieChart>
        <c:varyColors val="1"/>
        <c:ser>
          <c:idx val="0"/>
          <c:order val="0"/>
          <c:tx>
            <c:strRef>
              <c:f>'[新建 XLS 工作表.xls]Sheet1'!$H$6</c:f>
              <c:strCache>
                <c:ptCount val="1"/>
                <c:pt idx="0">
                  <c:v>2019年</c:v>
                </c:pt>
              </c:strCache>
            </c:strRef>
          </c:tx>
          <c:spPr/>
          <c:explosion val="0"/>
          <c:dPt>
            <c:idx val="0"/>
            <c:bubble3D val="0"/>
            <c:spPr>
              <a:solidFill>
                <a:schemeClr val="accent1"/>
              </a:solidFill>
              <a:ln w="19050">
                <a:solidFill>
                  <a:schemeClr val="lt1"/>
                </a:solidFill>
              </a:ln>
              <a:effectLst/>
            </c:spPr>
          </c:dPt>
          <c:dLbls>
            <c:dLbl>
              <c:idx val="0"/>
              <c:layout>
                <c:manualLayout>
                  <c:x val="0.00812816364898586"/>
                  <c:y val="-0.126163446053683"/>
                </c:manualLayout>
              </c:layout>
              <c:tx>
                <c:rich>
                  <a:bodyPr rot="0" spcFirstLastPara="0" vertOverflow="ellipsis" vert="horz" wrap="square" lIns="71755" tIns="19050" rIns="38100" bIns="19050" anchor="ctr" anchorCtr="1"/>
                  <a:lstStyle/>
                  <a:p>
                    <a:pPr defTabSz="914400">
                      <a:defRPr lang="zh-CN" sz="1600" b="0" i="0" u="none" strike="noStrike" kern="1200" baseline="0">
                        <a:solidFill>
                          <a:schemeClr val="tx1">
                            <a:lumMod val="75000"/>
                            <a:lumOff val="25000"/>
                          </a:schemeClr>
                        </a:solidFill>
                        <a:latin typeface="+mn-lt"/>
                        <a:ea typeface="+mn-ea"/>
                        <a:cs typeface="+mn-cs"/>
                      </a:defRPr>
                    </a:pPr>
                    <a:r>
                      <a:rPr lang="en-US" altLang="zh-CN"/>
                      <a:t>   </a:t>
                    </a:r>
                    <a:r>
                      <a:t>88.24</a:t>
                    </a:r>
                    <a:r>
                      <a:rPr lang="en-US" altLang="zh-CN"/>
                      <a:t>100%</a:t>
                    </a:r>
                    <a:r>
                      <a:t> </a:t>
                    </a:r>
                  </a:p>
                </c:rich>
              </c:tx>
              <c:numFmt formatCode="General" sourceLinked="1"/>
              <c:spPr>
                <a:noFill/>
                <a:ln>
                  <a:noFill/>
                </a:ln>
                <a:effectLst/>
              </c:spPr>
              <c:txPr>
                <a:bodyPr rot="0" spcFirstLastPara="0" vertOverflow="ellipsis" vert="horz" wrap="square" lIns="71755"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75942028985507"/>
                      <c:h val="0.656038647342995"/>
                    </c:manualLayout>
                  </c15:layout>
                </c:ext>
              </c:extLst>
            </c:dLbl>
            <c:spPr>
              <a:noFill/>
              <a:ln>
                <a:noFill/>
              </a:ln>
              <a:effectLst/>
            </c:spPr>
            <c:txPr>
              <a:bodyPr rot="0" spcFirstLastPara="0" vertOverflow="ellipsis" vert="horz" wrap="square" lIns="71755"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'[新建 XLS 工作表.xls]Sheet1'!$H$7</c:f>
              <c:numCache>
                <c:formatCode>0.00_);[Red]\(0.00\)</c:formatCode>
                <c:ptCount val="1"/>
                <c:pt idx="0">
                  <c:v>88.24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a:t>
            </a:r>
          </a:p>
        </c:rich>
      </c:tx>
      <c:layout/>
      <c:overlay val="0"/>
      <c:spPr>
        <a:noFill/>
        <a:ln>
          <a:noFill/>
        </a:ln>
        <a:effectLst/>
      </c:spPr>
    </c:title>
    <c:autoTitleDeleted val="0"/>
    <c:plotArea>
      <c:layout/>
      <c:barChart>
        <c:barDir val="col"/>
        <c:grouping val="clustered"/>
        <c:varyColors val="0"/>
        <c:ser>
          <c:idx val="0"/>
          <c:order val="0"/>
          <c:tx>
            <c:strRef>
              <c:f>'[新建 XLS 工作表.xls]Sheet1'!$F$7</c:f>
              <c:strCache>
                <c:ptCount val="1"/>
                <c:pt idx="0">
                  <c:v>眉县民宗局</c:v>
                </c:pt>
              </c:strCache>
            </c:strRef>
          </c:tx>
          <c:spPr>
            <a:gradFill>
              <a:gsLst>
                <a:gs pos="0">
                  <a:srgbClr val="FBFB11"/>
                </a:gs>
                <a:gs pos="100000">
                  <a:srgbClr val="838309"/>
                </a:gs>
              </a:gsLst>
              <a:lin ang="5400000" scaled="0"/>
            </a:gradFill>
            <a:ln>
              <a:noFill/>
            </a:ln>
            <a:effectLst/>
          </c:spPr>
          <c:invertIfNegative val="0"/>
          <c:dPt>
            <c:idx val="0"/>
            <c:invertIfNegative val="0"/>
            <c:bubble3D val="0"/>
            <c:spPr>
              <a:gradFill>
                <a:gsLst>
                  <a:gs pos="0">
                    <a:srgbClr val="FE4444"/>
                  </a:gs>
                  <a:gs pos="100000">
                    <a:srgbClr val="832B2B"/>
                  </a:gs>
                </a:gsLst>
                <a:lin ang="54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63.83万元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r>
                      <a:rPr>
                        <a:ln w="12700" cmpd="sng">
                          <a:solidFill>
                            <a:schemeClr val="tx1"/>
                          </a:solidFill>
                          <a:prstDash val="solid"/>
                        </a:ln>
                        <a:solidFill>
                          <a:schemeClr val="tx1">
                            <a:lumMod val="85000"/>
                            <a:lumOff val="15000"/>
                          </a:schemeClr>
                        </a:solidFill>
                      </a:rPr>
                      <a:t>88.24万元 </a:t>
                    </a:r>
                    <a:endParaRPr>
                      <a:ln w="12700" cmpd="sng">
                        <a:solidFill>
                          <a:schemeClr val="tx1"/>
                        </a:solidFill>
                        <a:prstDash val="solid"/>
                      </a:ln>
                      <a:solidFill>
                        <a:schemeClr val="tx1">
                          <a:lumMod val="85000"/>
                          <a:lumOff val="15000"/>
                        </a:schemeClr>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ln w="12700" cmpd="sng">
                      <a:solidFill>
                        <a:schemeClr val="tx1"/>
                      </a:solidFill>
                      <a:prstDash val="solid"/>
                    </a:ln>
                    <a:solidFill>
                      <a:schemeClr val="tx1">
                        <a:lumMod val="85000"/>
                        <a:lumOff val="1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'[新建 XLS 工作表.xls]Sheet1'!$G$6:$H$6</c:f>
              <c:strCache>
                <c:ptCount val="2"/>
                <c:pt idx="0">
                  <c:v>2018年</c:v>
                </c:pt>
                <c:pt idx="1">
                  <c:v>2019年</c:v>
                </c:pt>
              </c:strCache>
            </c:strRef>
          </c:cat>
          <c:val>
            <c:numRef>
              <c:f>'[新建 XLS 工作表.xls]Sheet1'!$G$7:$H$7</c:f>
              <c:numCache>
                <c:formatCode>0.00_);[Red]\(0.00\)</c:formatCode>
                <c:ptCount val="2"/>
                <c:pt idx="0">
                  <c:v>63.83</c:v>
                </c:pt>
                <c:pt idx="1">
                  <c:v>88.24</c:v>
                </c:pt>
              </c:numCache>
            </c:numRef>
          </c:val>
        </c:ser>
        <c:dLbls>
          <c:showLegendKey val="0"/>
          <c:showVal val="1"/>
          <c:showCatName val="0"/>
          <c:showSerName val="0"/>
          <c:showPercent val="0"/>
          <c:showBubbleSize val="0"/>
        </c:dLbls>
        <c:gapWidth val="82"/>
        <c:overlap val="0"/>
        <c:axId val="383544748"/>
        <c:axId val="425279270"/>
      </c:barChart>
      <c:catAx>
        <c:axId val="3835447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279270"/>
        <c:crosses val="autoZero"/>
        <c:auto val="1"/>
        <c:lblAlgn val="ctr"/>
        <c:lblOffset val="100"/>
        <c:noMultiLvlLbl val="0"/>
      </c:catAx>
      <c:valAx>
        <c:axId val="425279270"/>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4474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Info spid="_x0000_s1030"/>
    <customShpInfo spid="_x0000_s1029"/>
    <customShpInfo spid="_x0000_s1035"/>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3</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阳光下的温暖</cp:lastModifiedBy>
  <cp:lastPrinted>2020-07-28T02:12:00Z</cp:lastPrinted>
  <dcterms:modified xsi:type="dcterms:W3CDTF">2020-09-24T07:25:12Z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