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名 词 解 释</w:t>
      </w:r>
    </w:p>
    <w:p>
      <w:pPr>
        <w:widowControl/>
        <w:shd w:val="clear" w:color="auto" w:fill="FFFFFF"/>
        <w:spacing w:line="480" w:lineRule="auto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1.政府支出功能分类</w:t>
      </w:r>
      <w:r>
        <w:rPr>
          <w:rFonts w:hint="eastAsia" w:ascii="仿宋" w:hAnsi="仿宋" w:eastAsia="仿宋" w:cs="宋体"/>
          <w:kern w:val="0"/>
          <w:sz w:val="32"/>
          <w:szCs w:val="32"/>
        </w:rPr>
        <w:t>:</w:t>
      </w:r>
      <w:r>
        <w:rPr>
          <w:rFonts w:hint="eastAsia" w:ascii="仿宋" w:hAnsi="仿宋" w:eastAsia="仿宋"/>
          <w:color w:val="26214A"/>
          <w:sz w:val="32"/>
          <w:szCs w:val="32"/>
          <w:shd w:val="clear" w:color="auto" w:fill="F8F8F8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反映政府的各项职能活动的支出，我国政府支出功能分类设置一般公共服务、外交、国防、公共安全、教育等大类，类下再分款、项两级,如一般公共服务类下分人大事务、发展与改革事务等款支出,通常由财政总预算会计按财政支出的功能详细列示,以反映政府用于各项事务的总括支出。以“教育”为例，类、款、项三级结构对应为“教育”—“普通教育”—“小学教育”，反映出政府为完成教育职能在“普通教育”中用于“小学教育”这个具体方面的支出费用多少。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color w:val="26214A"/>
          <w:sz w:val="32"/>
          <w:szCs w:val="32"/>
          <w:shd w:val="clear" w:color="auto" w:fill="F8F8F8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政府支出经济分类: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主要反映政府支出的经济性质和具体用途,通常由使用财政拨款的单位在执行预算执行时具体列示。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支出经济分类设类、款两级，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比如教育经费中分别有多少用于教师工资、房屋建设、教学设备、修缮等，这种分类更能一目了然地分清“钱花到哪儿去了”。</w:t>
      </w:r>
    </w:p>
    <w:p>
      <w:pPr>
        <w:widowControl/>
        <w:shd w:val="clear" w:color="auto" w:fill="FFFFFF"/>
        <w:spacing w:line="480" w:lineRule="auto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3.“三公”经费：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是指用财政拨款安排的因公出国（境）费、公务用车购置及运行费和公务接待费。其中:因公出国（境）费反映单位公务出国（境）的国际旅费、国外城市间交通费、住宿费、伙食费、培训费、公杂费等支出；公务用车购置及运行费反映单位公务用车车辆购置支出（含车辆购置税、牌照费）及按规定保留的公务用车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4.机关运行经费：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为保障行政单位（包括参照公务员法管理的事业单位）运行用于购买货物和服务的各项公用经费，包括办公费、印刷费、邮电费、差旅费、会议费、福利费、日常维修费、专用材料及办公用房水电费、办公用房取暖费、办公用房物业管理费、公务用车运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宋体"/>
          <w:kern w:val="0"/>
          <w:sz w:val="32"/>
          <w:szCs w:val="32"/>
        </w:rPr>
        <w:t>维护费以及其他费用。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2018-04-03T03:51:27Z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