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hAnsi="宋体" w:cs="宋体"/>
          <w:b/>
          <w:bCs/>
          <w:sz w:val="44"/>
          <w:szCs w:val="44"/>
        </w:rPr>
      </w:pPr>
    </w:p>
    <w:p>
      <w:pPr>
        <w:spacing w:line="560" w:lineRule="exact"/>
        <w:jc w:val="center"/>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眉县</w:t>
      </w:r>
      <w:r>
        <w:rPr>
          <w:rFonts w:hint="eastAsia" w:ascii="方正小标宋简体" w:hAnsi="方正小标宋简体" w:eastAsia="方正小标宋简体" w:cs="方正小标宋简体"/>
          <w:b w:val="0"/>
          <w:bCs w:val="0"/>
          <w:sz w:val="48"/>
          <w:szCs w:val="48"/>
          <w:lang w:eastAsia="zh-CN"/>
        </w:rPr>
        <w:t>司法</w:t>
      </w:r>
      <w:r>
        <w:rPr>
          <w:rFonts w:hint="eastAsia" w:ascii="方正小标宋简体" w:hAnsi="方正小标宋简体" w:eastAsia="方正小标宋简体" w:cs="方正小标宋简体"/>
          <w:b w:val="0"/>
          <w:bCs w:val="0"/>
          <w:sz w:val="48"/>
          <w:szCs w:val="48"/>
        </w:rPr>
        <w:t>局</w:t>
      </w:r>
    </w:p>
    <w:p>
      <w:pPr>
        <w:spacing w:line="560" w:lineRule="exact"/>
        <w:jc w:val="center"/>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60" w:firstLineChars="800"/>
        <w:rPr>
          <w:rFonts w:hint="eastAsia" w:ascii="方正小标宋简体" w:hAnsi="方正小标宋简体" w:eastAsia="方正小标宋简体" w:cs="方正小标宋简体"/>
          <w:b w:val="0"/>
          <w:bCs w:val="0"/>
          <w:sz w:val="32"/>
          <w:szCs w:val="32"/>
        </w:rPr>
      </w:pPr>
    </w:p>
    <w:p>
      <w:pPr>
        <w:spacing w:line="400" w:lineRule="exact"/>
        <w:ind w:firstLine="2080" w:firstLineChars="650"/>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rPr>
        <w:t>保密审查情况：</w:t>
      </w:r>
      <w:r>
        <w:rPr>
          <w:rFonts w:hint="eastAsia" w:ascii="方正小标宋简体" w:hAnsi="方正小标宋简体" w:eastAsia="方正小标宋简体" w:cs="方正小标宋简体"/>
          <w:b w:val="0"/>
          <w:bCs w:val="0"/>
          <w:sz w:val="32"/>
          <w:szCs w:val="32"/>
          <w:lang w:eastAsia="zh-CN"/>
        </w:rPr>
        <w:t>已审查</w:t>
      </w:r>
    </w:p>
    <w:p>
      <w:pPr>
        <w:spacing w:line="400" w:lineRule="exact"/>
        <w:jc w:val="center"/>
        <w:rPr>
          <w:rFonts w:hint="eastAsia" w:ascii="方正小标宋简体" w:hAnsi="方正小标宋简体" w:eastAsia="方正小标宋简体" w:cs="方正小标宋简体"/>
          <w:b w:val="0"/>
          <w:bCs w:val="0"/>
          <w:sz w:val="32"/>
          <w:szCs w:val="32"/>
        </w:rPr>
      </w:pPr>
    </w:p>
    <w:p>
      <w:pPr>
        <w:spacing w:line="400" w:lineRule="exact"/>
        <w:ind w:firstLine="2080" w:firstLineChars="650"/>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rPr>
        <w:t>部门主要负责人审签情况：</w:t>
      </w:r>
      <w:r>
        <w:rPr>
          <w:rFonts w:hint="eastAsia" w:ascii="方正小标宋简体" w:hAnsi="方正小标宋简体" w:eastAsia="方正小标宋简体" w:cs="方正小标宋简体"/>
          <w:b w:val="0"/>
          <w:bCs w:val="0"/>
          <w:sz w:val="32"/>
          <w:szCs w:val="32"/>
          <w:lang w:eastAsia="zh-CN"/>
        </w:rPr>
        <w:t>已审签</w:t>
      </w:r>
    </w:p>
    <w:p>
      <w:pPr>
        <w:spacing w:line="400" w:lineRule="exact"/>
        <w:rPr>
          <w:rFonts w:hint="eastAsia" w:ascii="方正小标宋简体" w:hAnsi="方正小标宋简体" w:eastAsia="方正小标宋简体" w:cs="方正小标宋简体"/>
          <w:b w:val="0"/>
          <w:bCs w:val="0"/>
          <w:sz w:val="32"/>
          <w:szCs w:val="32"/>
        </w:rPr>
      </w:pPr>
    </w:p>
    <w:p>
      <w:pPr>
        <w:spacing w:line="400" w:lineRule="exact"/>
        <w:rPr>
          <w:rFonts w:ascii="宋体" w:hAnsi="宋体" w:cs="宋体"/>
          <w:b/>
          <w:bCs/>
          <w:sz w:val="32"/>
          <w:szCs w:val="32"/>
        </w:rPr>
      </w:pP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ascii="黑体" w:hAnsi="宋体" w:eastAsia="黑体"/>
          <w:bCs/>
          <w:color w:val="000000"/>
          <w:kern w:val="0"/>
          <w:sz w:val="36"/>
          <w:szCs w:val="36"/>
        </w:rPr>
        <w:t>目录</w:t>
      </w:r>
    </w:p>
    <w:p>
      <w:pPr>
        <w:widowControl/>
        <w:jc w:val="center"/>
      </w:pPr>
      <w:r>
        <w:rPr>
          <w:rFonts w:hint="eastAsia" w:ascii="黑体" w:hAnsi="宋体" w:eastAsia="黑体"/>
          <w:color w:val="000000"/>
          <w:kern w:val="0"/>
          <w:sz w:val="32"/>
          <w:szCs w:val="32"/>
        </w:rPr>
        <w:t>第一部分 部门概况</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一、部门主要职责及内设机构</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二、部门决算单位构成</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三、部门人员情况</w:t>
      </w:r>
    </w:p>
    <w:p>
      <w:pPr>
        <w:widowControl/>
        <w:jc w:val="center"/>
      </w:pPr>
      <w:r>
        <w:rPr>
          <w:rFonts w:hint="eastAsia" w:ascii="黑体" w:hAnsi="宋体" w:eastAsia="黑体"/>
          <w:color w:val="000000"/>
          <w:kern w:val="0"/>
          <w:sz w:val="32"/>
          <w:szCs w:val="32"/>
        </w:rPr>
        <w:t>第二部分  2019年部门决算表</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一、收入支出决算总表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二、收入决算表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三、支出决算表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四、财政拨款收入支出决算总表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五、一般公共预算财政拨款支出决算表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六、一般公共预算财政拨款基本支出决算表    </w:t>
      </w:r>
    </w:p>
    <w:p>
      <w:pPr>
        <w:widowControl/>
        <w:ind w:left="640" w:hanging="640" w:hanging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七、一般公共预算财政拨款“三公”经费及会议费、培训费支出决算表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第三部分 2019年部门决算情况说明</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一、收入支出决算总体情况说明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二、收入决算情况说明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三、支出决算情况说明    </w:t>
      </w:r>
    </w:p>
    <w:p>
      <w:pPr>
        <w:widowControl/>
        <w:jc w:val="left"/>
        <w:rPr>
          <w:rFonts w:hint="eastAsia" w:ascii="仿宋_GB2312" w:hAnsi="仿宋_GB2312" w:eastAsia="仿宋_GB2312" w:cs="仿宋_GB2312"/>
        </w:rPr>
      </w:pPr>
      <w:r>
        <w:rPr>
          <w:rFonts w:hint="eastAsia" w:ascii="仿宋_GB2312" w:hAnsi="仿宋_GB2312" w:eastAsia="仿宋_GB2312" w:cs="仿宋_GB2312"/>
          <w:color w:val="000000"/>
          <w:kern w:val="0"/>
          <w:sz w:val="32"/>
          <w:szCs w:val="32"/>
        </w:rPr>
        <w:t xml:space="preserve">四、财政拨款收入支出决算总体情况说明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五、一般公共预算财政拨款支出决算情况说明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（一）财政拨款支出决算总体情况说明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（二）财政拨款支出决算具体情况说明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六、一般公共预算财政拨款基本支出决算情况说明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七、一般公共预算财政拨款“三公”经费及会议费、培训费支出决算情况说明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（一）“三公”经费财政拨款支出决算总体情况说明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（二）“三公”经费财政拨款支出决算具体情况说明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（三）培训费支出情况说明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（四）会议费支出情况说明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八、政府性基金预算财政拨款收入支出情况说明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九、国有资本经营财政拨款收入支出情况说明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十、预算绩效情况说明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（一）预算绩效管理工作开展情况说明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（二）部门决算中项目绩效自评结果</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十一、其他重要事项说明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（一）机关运行经费支出情况说明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（二）政府采购支出情况说明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（三）国有资产占</w:t>
      </w:r>
      <w:bookmarkStart w:id="0" w:name="_GoBack"/>
      <w:bookmarkEnd w:id="0"/>
      <w:r>
        <w:rPr>
          <w:rFonts w:hint="eastAsia" w:ascii="仿宋_GB2312" w:hAnsi="仿宋_GB2312" w:eastAsia="仿宋_GB2312" w:cs="仿宋_GB2312"/>
          <w:color w:val="000000"/>
          <w:kern w:val="0"/>
          <w:sz w:val="32"/>
          <w:szCs w:val="32"/>
        </w:rPr>
        <w:t xml:space="preserve">用及购置情况说明 </w:t>
      </w:r>
    </w:p>
    <w:p>
      <w:pPr>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仿宋_GB2312" w:hAnsi="仿宋_GB2312" w:eastAsia="仿宋_GB2312" w:cs="仿宋_GB2312"/>
          <w:sz w:val="32"/>
          <w:szCs w:val="32"/>
        </w:rPr>
      </w:pPr>
      <w:r>
        <w:rPr>
          <w:rFonts w:hint="eastAsia" w:ascii="楷体" w:hAnsi="楷体" w:eastAsia="楷体" w:cs="楷体"/>
          <w:b/>
          <w:bCs/>
          <w:color w:val="000000"/>
          <w:kern w:val="0"/>
          <w:sz w:val="32"/>
          <w:szCs w:val="32"/>
        </w:rPr>
        <w:t>（一）主要职责</w:t>
      </w:r>
      <w:r>
        <w:rPr>
          <w:rFonts w:ascii="宋体" w:hAnsi="宋体" w:eastAsia="宋体" w:cs="宋体"/>
          <w:sz w:val="32"/>
          <w:szCs w:val="32"/>
        </w:rPr>
        <w:br w:type="textWrapping"/>
      </w:r>
      <w:r>
        <w:rPr>
          <w:rFonts w:ascii="宋体" w:hAnsi="宋体" w:eastAsia="宋体" w:cs="宋体"/>
          <w:sz w:val="32"/>
          <w:szCs w:val="32"/>
        </w:rPr>
        <w:t xml:space="preserve">    </w:t>
      </w:r>
      <w:r>
        <w:rPr>
          <w:rFonts w:hint="eastAsia" w:ascii="仿宋_GB2312" w:hAnsi="仿宋" w:eastAsia="仿宋_GB2312"/>
          <w:sz w:val="32"/>
          <w:szCs w:val="32"/>
          <w:lang w:val="en-US" w:eastAsia="zh-CN"/>
        </w:rPr>
        <w:t>1、承担全面依法治县重大问题的政策研究，协调有关方面提出全面依法治县中长期规划建议，负责有关重大决策部署的法治督察工作。</w:t>
      </w:r>
      <w:r>
        <w:rPr>
          <w:rFonts w:hint="eastAsia" w:ascii="仿宋_GB2312" w:hAnsi="仿宋" w:eastAsia="仿宋_GB2312"/>
          <w:sz w:val="32"/>
          <w:szCs w:val="32"/>
          <w:lang w:val="en-US" w:eastAsia="zh-CN"/>
        </w:rPr>
        <w:br w:type="textWrapping"/>
      </w:r>
      <w:r>
        <w:rPr>
          <w:rFonts w:hint="eastAsia" w:ascii="仿宋_GB2312" w:hAnsi="仿宋" w:eastAsia="仿宋_GB2312"/>
          <w:sz w:val="32"/>
          <w:szCs w:val="32"/>
          <w:lang w:val="en-US" w:eastAsia="zh-CN"/>
        </w:rPr>
        <w:t xml:space="preserve">    2、负责县政府及各部门规范性文件的审核备案工作；负责县政府行政复议工作和承办县政府行政应诉案件；负责行政执法证件的发放、管理工作。</w:t>
      </w:r>
      <w:r>
        <w:rPr>
          <w:rFonts w:hint="eastAsia" w:ascii="仿宋_GB2312" w:hAnsi="仿宋" w:eastAsia="仿宋_GB2312"/>
          <w:sz w:val="32"/>
          <w:szCs w:val="32"/>
          <w:lang w:val="en-US" w:eastAsia="zh-CN"/>
        </w:rPr>
        <w:br w:type="textWrapping"/>
      </w:r>
      <w:r>
        <w:rPr>
          <w:rFonts w:hint="eastAsia" w:ascii="仿宋_GB2312" w:hAnsi="仿宋" w:eastAsia="仿宋_GB2312"/>
          <w:sz w:val="32"/>
          <w:szCs w:val="32"/>
          <w:lang w:val="en-US" w:eastAsia="zh-CN"/>
        </w:rPr>
        <w:t xml:space="preserve">    3、负责指导、监督全县依法行政工作；承担综合协调和指导监督行政执法工作，推进严格规范文明执法工作；承担组织协调和监督推进全县行政执法体制改革有关工作。</w:t>
      </w:r>
      <w:r>
        <w:rPr>
          <w:rFonts w:hint="eastAsia" w:ascii="仿宋_GB2312" w:hAnsi="仿宋" w:eastAsia="仿宋_GB2312"/>
          <w:sz w:val="32"/>
          <w:szCs w:val="32"/>
          <w:lang w:val="en-US" w:eastAsia="zh-CN"/>
        </w:rPr>
        <w:br w:type="textWrapping"/>
      </w:r>
      <w:r>
        <w:rPr>
          <w:rFonts w:hint="eastAsia" w:ascii="仿宋_GB2312" w:hAnsi="仿宋" w:eastAsia="仿宋_GB2312"/>
          <w:sz w:val="32"/>
          <w:szCs w:val="32"/>
          <w:lang w:val="en-US" w:eastAsia="zh-CN"/>
        </w:rPr>
        <w:t xml:space="preserve">    4、负责拟订全县法治宣传教育规划，组织实施全县普法宣传工作；指导各镇街、各部门、各行业法治宣传、依法治理和法治创建工作。</w:t>
      </w:r>
      <w:r>
        <w:rPr>
          <w:rFonts w:hint="eastAsia" w:ascii="仿宋_GB2312" w:hAnsi="仿宋" w:eastAsia="仿宋_GB2312"/>
          <w:sz w:val="32"/>
          <w:szCs w:val="32"/>
          <w:lang w:val="en-US" w:eastAsia="zh-CN"/>
        </w:rPr>
        <w:br w:type="textWrapping"/>
      </w:r>
      <w:r>
        <w:rPr>
          <w:rFonts w:hint="eastAsia" w:ascii="仿宋_GB2312" w:hAnsi="仿宋" w:eastAsia="仿宋_GB2312"/>
          <w:sz w:val="32"/>
          <w:szCs w:val="32"/>
          <w:lang w:val="en-US" w:eastAsia="zh-CN"/>
        </w:rPr>
        <w:t xml:space="preserve">    5、指导全县社区矫正工作和刑满释放人员安置帮教工作；指导全县人民调解工作和人民陪审员、人民监督员选任管理工作；推进司法所建设。</w:t>
      </w:r>
      <w:r>
        <w:rPr>
          <w:rFonts w:hint="eastAsia" w:ascii="仿宋_GB2312" w:hAnsi="仿宋" w:eastAsia="仿宋_GB2312"/>
          <w:sz w:val="32"/>
          <w:szCs w:val="32"/>
          <w:lang w:val="en-US" w:eastAsia="zh-CN"/>
        </w:rPr>
        <w:br w:type="textWrapping"/>
      </w:r>
      <w:r>
        <w:rPr>
          <w:rFonts w:hint="eastAsia" w:ascii="仿宋_GB2312" w:hAnsi="仿宋" w:eastAsia="仿宋_GB2312"/>
          <w:sz w:val="32"/>
          <w:szCs w:val="32"/>
          <w:lang w:val="en-US" w:eastAsia="zh-CN"/>
        </w:rPr>
        <w:t xml:space="preserve">    6、负责全县公共法律服务体系建设工作；指导监督全县法律援助、公证、律师和基层法律服务所工作。</w:t>
      </w:r>
      <w:r>
        <w:rPr>
          <w:rFonts w:hint="eastAsia" w:ascii="仿宋_GB2312" w:hAnsi="仿宋" w:eastAsia="仿宋_GB2312"/>
          <w:sz w:val="32"/>
          <w:szCs w:val="32"/>
          <w:lang w:val="en-US" w:eastAsia="zh-CN"/>
        </w:rPr>
        <w:br w:type="textWrapping"/>
      </w:r>
      <w:r>
        <w:rPr>
          <w:rFonts w:hint="eastAsia" w:ascii="仿宋_GB2312" w:hAnsi="仿宋" w:eastAsia="仿宋_GB2312"/>
          <w:sz w:val="32"/>
          <w:szCs w:val="32"/>
          <w:lang w:val="en-US" w:eastAsia="zh-CN"/>
        </w:rPr>
        <w:t xml:space="preserve">    7、负责全县司法行政系统的后勤装备和计划财务管理工作。</w:t>
      </w:r>
      <w:r>
        <w:rPr>
          <w:rFonts w:hint="eastAsia" w:ascii="仿宋_GB2312" w:hAnsi="仿宋" w:eastAsia="仿宋_GB2312"/>
          <w:sz w:val="32"/>
          <w:szCs w:val="32"/>
          <w:lang w:val="en-US" w:eastAsia="zh-CN"/>
        </w:rPr>
        <w:br w:type="textWrapping"/>
      </w:r>
      <w:r>
        <w:rPr>
          <w:rFonts w:hint="eastAsia" w:ascii="仿宋_GB2312" w:hAnsi="仿宋" w:eastAsia="仿宋_GB2312"/>
          <w:sz w:val="32"/>
          <w:szCs w:val="32"/>
          <w:lang w:val="en-US" w:eastAsia="zh-CN"/>
        </w:rPr>
        <w:t xml:space="preserve">    8、负责全县司法行政系统党的建设、思想作风建设、工作作风建设。</w:t>
      </w:r>
      <w:r>
        <w:rPr>
          <w:rFonts w:hint="eastAsia" w:ascii="仿宋_GB2312" w:hAnsi="仿宋" w:eastAsia="仿宋_GB2312"/>
          <w:sz w:val="32"/>
          <w:szCs w:val="32"/>
          <w:lang w:val="en-US" w:eastAsia="zh-CN"/>
        </w:rPr>
        <w:br w:type="textWrapping"/>
      </w:r>
      <w:r>
        <w:rPr>
          <w:rFonts w:hint="eastAsia" w:ascii="仿宋_GB2312" w:hAnsi="仿宋" w:eastAsia="仿宋_GB2312"/>
          <w:sz w:val="32"/>
          <w:szCs w:val="32"/>
          <w:lang w:val="en-US" w:eastAsia="zh-CN"/>
        </w:rPr>
        <w:t xml:space="preserve">    9、完成县委、县政府交办的其他任务。</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widowControl/>
        <w:ind w:firstLine="640" w:firstLineChars="200"/>
        <w:jc w:val="left"/>
        <w:rPr>
          <w:rFonts w:hint="eastAsia" w:ascii="仿宋_GB2312" w:hAnsi="仿宋" w:eastAsia="仿宋_GB2312"/>
          <w:sz w:val="28"/>
          <w:szCs w:val="28"/>
          <w:lang w:val="en-US" w:eastAsia="zh-CN"/>
        </w:rPr>
      </w:pPr>
      <w:r>
        <w:rPr>
          <w:rFonts w:hint="eastAsia" w:ascii="仿宋_GB2312" w:hAnsi="仿宋" w:eastAsia="仿宋_GB2312"/>
          <w:sz w:val="32"/>
          <w:szCs w:val="32"/>
          <w:lang w:val="en-US" w:eastAsia="zh-CN"/>
        </w:rPr>
        <w:t>依据县委办眉办字[2019]30号文件，县委全面依法治县委员会办公室设在县司法局，县委全面依法治县委员会办公室设置县委依法治县办秘书股，负责处理县委依法治县办日常事务。县司法局设政秘股、行政执法监督管理股、人民参与和促进法治股、普法与依法治理股、社区矫正股5个内设股室。</w:t>
      </w: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widowControl/>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纳入2019年本部门决算编制范围的单位共3个，包括本级及所属2个二级预算单位：</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widowControl/>
              <w:ind w:firstLine="560" w:firstLineChars="200"/>
              <w:jc w:val="left"/>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序号</w:t>
            </w:r>
          </w:p>
        </w:tc>
        <w:tc>
          <w:tcPr>
            <w:tcW w:w="7278" w:type="dxa"/>
            <w:vAlign w:val="center"/>
          </w:tcPr>
          <w:p>
            <w:pPr>
              <w:widowControl/>
              <w:ind w:firstLine="560" w:firstLineChars="200"/>
              <w:jc w:val="left"/>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widowControl/>
              <w:ind w:firstLine="560" w:firstLineChars="200"/>
              <w:jc w:val="left"/>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w:t>
            </w:r>
          </w:p>
        </w:tc>
        <w:tc>
          <w:tcPr>
            <w:tcW w:w="7278" w:type="dxa"/>
            <w:vAlign w:val="center"/>
          </w:tcPr>
          <w:p>
            <w:pPr>
              <w:widowControl/>
              <w:ind w:firstLine="560" w:firstLineChars="200"/>
              <w:jc w:val="left"/>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眉县司法局部门本级（机关）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widowControl/>
              <w:ind w:firstLine="560" w:firstLineChars="200"/>
              <w:jc w:val="left"/>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w:t>
            </w:r>
          </w:p>
        </w:tc>
        <w:tc>
          <w:tcPr>
            <w:tcW w:w="7278" w:type="dxa"/>
            <w:vAlign w:val="center"/>
          </w:tcPr>
          <w:p>
            <w:pPr>
              <w:widowControl/>
              <w:ind w:firstLine="560" w:firstLineChars="200"/>
              <w:jc w:val="left"/>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眉县公证处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widowControl/>
              <w:ind w:firstLine="560" w:firstLineChars="200"/>
              <w:jc w:val="left"/>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w:t>
            </w:r>
          </w:p>
        </w:tc>
        <w:tc>
          <w:tcPr>
            <w:tcW w:w="7278" w:type="dxa"/>
            <w:vAlign w:val="center"/>
          </w:tcPr>
          <w:p>
            <w:pPr>
              <w:widowControl/>
              <w:ind w:firstLine="560" w:firstLineChars="200"/>
              <w:jc w:val="left"/>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眉县法律援助中心</w:t>
            </w:r>
          </w:p>
        </w:tc>
      </w:tr>
    </w:tbl>
    <w:p>
      <w:pPr>
        <w:ind w:firstLine="640"/>
        <w:rPr>
          <w:rFonts w:ascii="黑体" w:hAnsi="黑体" w:eastAsia="黑体"/>
          <w:b w:val="0"/>
          <w:bCs w:val="0"/>
          <w:sz w:val="32"/>
          <w:szCs w:val="32"/>
        </w:rPr>
      </w:pPr>
      <w:r>
        <w:rPr>
          <w:rFonts w:hint="eastAsia" w:ascii="黑体" w:hAnsi="黑体" w:eastAsia="黑体"/>
          <w:b w:val="0"/>
          <w:bCs w:val="0"/>
          <w:sz w:val="32"/>
          <w:szCs w:val="32"/>
        </w:rPr>
        <w:t>三、部门人员情况</w:t>
      </w:r>
    </w:p>
    <w:p>
      <w:pPr>
        <w:widowControl/>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截止2019年底，本部门人员编制22人，其中行政编制13人、事业编制9人；实有人员21人，其中行政16人、事业5人。</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drawing>
          <wp:inline distT="0" distB="0" distL="114300" distR="114300">
            <wp:extent cx="3576955" cy="2506345"/>
            <wp:effectExtent l="4445" t="4445" r="19050" b="2286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ind w:firstLine="640"/>
        <w:rPr>
          <w:rFonts w:hint="eastAsia" w:ascii="仿宋_GB2312" w:hAnsi="仿宋_GB2312" w:eastAsia="仿宋_GB2312" w:cs="仿宋_GB2312"/>
          <w:sz w:val="32"/>
          <w:szCs w:val="32"/>
        </w:rPr>
      </w:pPr>
    </w:p>
    <w:p>
      <w:pPr>
        <w:widowControl/>
        <w:jc w:val="both"/>
        <w:rPr>
          <w:rFonts w:ascii="黑体" w:hAnsi="宋体" w:eastAsia="黑体"/>
          <w:color w:val="000000"/>
          <w:kern w:val="0"/>
          <w:sz w:val="44"/>
          <w:szCs w:val="44"/>
        </w:rPr>
      </w:pPr>
    </w:p>
    <w:p>
      <w:pPr>
        <w:widowControl/>
        <w:jc w:val="both"/>
        <w:rPr>
          <w:rFonts w:ascii="黑体" w:hAnsi="宋体" w:eastAsia="黑体"/>
          <w:color w:val="000000"/>
          <w:kern w:val="0"/>
          <w:sz w:val="44"/>
          <w:szCs w:val="44"/>
        </w:rPr>
      </w:pPr>
    </w:p>
    <w:p>
      <w:pPr>
        <w:widowControl/>
        <w:jc w:val="both"/>
        <w:rPr>
          <w:rFonts w:ascii="黑体" w:hAnsi="宋体" w:eastAsia="黑体"/>
          <w:color w:val="000000"/>
          <w:kern w:val="0"/>
          <w:sz w:val="44"/>
          <w:szCs w:val="44"/>
        </w:rPr>
      </w:pPr>
    </w:p>
    <w:p>
      <w:pPr>
        <w:widowControl/>
        <w:jc w:val="center"/>
        <w:rPr>
          <w:sz w:val="44"/>
          <w:szCs w:val="44"/>
        </w:rPr>
      </w:pPr>
      <w:r>
        <w:rPr>
          <w:rFonts w:ascii="黑体" w:hAnsi="宋体" w:eastAsia="黑体"/>
          <w:color w:val="000000"/>
          <w:kern w:val="0"/>
          <w:sz w:val="44"/>
          <w:szCs w:val="44"/>
        </w:rPr>
        <w:t>第二部分 2019年度部门决算表</w:t>
      </w:r>
    </w:p>
    <w:tbl>
      <w:tblPr>
        <w:tblStyle w:val="7"/>
        <w:tblpPr w:leftFromText="180" w:rightFromText="180" w:vertAnchor="text" w:horzAnchor="page" w:tblpX="1472" w:tblpY="1123"/>
        <w:tblOverlap w:val="never"/>
        <w:tblW w:w="8840" w:type="dxa"/>
        <w:tblInd w:w="0" w:type="dxa"/>
        <w:tblLayout w:type="fixed"/>
        <w:tblCellMar>
          <w:top w:w="0" w:type="dxa"/>
          <w:left w:w="0" w:type="dxa"/>
          <w:bottom w:w="0" w:type="dxa"/>
          <w:right w:w="0" w:type="dxa"/>
        </w:tblCellMar>
      </w:tblPr>
      <w:tblGrid>
        <w:gridCol w:w="735"/>
        <w:gridCol w:w="3815"/>
        <w:gridCol w:w="930"/>
        <w:gridCol w:w="3360"/>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3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3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3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3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3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3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3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38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9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3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3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是</w:t>
            </w:r>
          </w:p>
        </w:tc>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我单位不涉及政府性基金收支</w:t>
            </w:r>
          </w:p>
        </w:tc>
      </w:tr>
    </w:tbl>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jc w:val="center"/>
        <w:textAlignment w:val="center"/>
        <w:rPr>
          <w:rFonts w:ascii="宋体" w:hAnsi="宋体" w:cs="宋体"/>
          <w:b/>
          <w:color w:val="000000"/>
          <w:kern w:val="0"/>
          <w:sz w:val="40"/>
          <w:szCs w:val="40"/>
        </w:rPr>
      </w:pPr>
      <w:r>
        <w:rPr>
          <w:rFonts w:hint="eastAsia" w:ascii="宋体" w:hAnsi="宋体" w:cs="宋体"/>
          <w:b/>
          <w:color w:val="000000"/>
          <w:kern w:val="0"/>
          <w:sz w:val="40"/>
          <w:szCs w:val="40"/>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                                                            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459.60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0.75</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408.85</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080"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080"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080"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31.66</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9.13</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9.21</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0.00</w:t>
            </w: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459.60</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459.60</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Cs/>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Cs/>
                <w:color w:val="000000"/>
                <w:szCs w:val="21"/>
              </w:rPr>
            </w:pPr>
            <w:r>
              <w:rPr>
                <w:rFonts w:hint="eastAsia" w:ascii="宋体" w:hAnsi="宋体" w:eastAsia="宋体" w:cs="宋体"/>
                <w:i w:val="0"/>
                <w:color w:val="000000"/>
                <w:kern w:val="0"/>
                <w:sz w:val="22"/>
                <w:szCs w:val="22"/>
                <w:u w:val="none"/>
                <w:lang w:val="en-US" w:eastAsia="zh-CN" w:bidi="ar"/>
              </w:rPr>
              <w:t>0.04</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0.04</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459.65</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459.65</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                                                           金额单位：万元</w:t>
      </w:r>
    </w:p>
    <w:tbl>
      <w:tblPr>
        <w:tblStyle w:val="7"/>
        <w:tblW w:w="8867" w:type="dxa"/>
        <w:tblInd w:w="0" w:type="dxa"/>
        <w:tblLayout w:type="fixed"/>
        <w:tblCellMar>
          <w:top w:w="15" w:type="dxa"/>
          <w:left w:w="15" w:type="dxa"/>
          <w:bottom w:w="15" w:type="dxa"/>
          <w:right w:w="15" w:type="dxa"/>
        </w:tblCellMar>
      </w:tblPr>
      <w:tblGrid>
        <w:gridCol w:w="1112"/>
        <w:gridCol w:w="2100"/>
        <w:gridCol w:w="855"/>
        <w:gridCol w:w="810"/>
        <w:gridCol w:w="690"/>
        <w:gridCol w:w="675"/>
        <w:gridCol w:w="705"/>
        <w:gridCol w:w="615"/>
        <w:gridCol w:w="705"/>
        <w:gridCol w:w="600"/>
      </w:tblGrid>
      <w:tr>
        <w:tblPrEx>
          <w:tblCellMar>
            <w:top w:w="15" w:type="dxa"/>
            <w:left w:w="15" w:type="dxa"/>
            <w:bottom w:w="15" w:type="dxa"/>
            <w:right w:w="15" w:type="dxa"/>
          </w:tblCellMar>
        </w:tblPrEx>
        <w:trPr>
          <w:trHeight w:val="439" w:hRule="atLeast"/>
        </w:trPr>
        <w:tc>
          <w:tcPr>
            <w:tcW w:w="321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6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6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1112"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10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 xml:space="preserve">其中：教育 </w:t>
            </w:r>
          </w:p>
          <w:p>
            <w:pPr>
              <w:rPr>
                <w:rFonts w:ascii="宋体" w:hAnsi="宋体" w:cs="宋体"/>
                <w:b/>
                <w:color w:val="000000"/>
                <w:szCs w:val="21"/>
              </w:rPr>
            </w:pPr>
            <w:r>
              <w:rPr>
                <w:rFonts w:hint="eastAsia" w:ascii="宋体" w:hAnsi="宋体" w:cs="宋体"/>
                <w:b/>
                <w:color w:val="000000"/>
                <w:szCs w:val="21"/>
              </w:rPr>
              <w:t>收费</w:t>
            </w:r>
          </w:p>
        </w:tc>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321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459.60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459.60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0.75</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0.75</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组织事务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0.75</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0.75</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2013204</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公务员事务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0.75</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0.75</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204</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公共安全支出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408.85</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408.85</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20406</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司法</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408.85</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408.85</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2040601</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200.95</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200.95</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2040602</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170.00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2040604</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基层司法业务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2040606</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律师公证管理</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5.90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5.90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2040607</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法律援助</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18.00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2040699</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其他司法支出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31.66</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31.66</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行政事业单位离退休</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31.66</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31.66</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2080505</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30.92</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30.92</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2080506</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0.74</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0.74</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9.13</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9.13</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9.13</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9.13</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49"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2101101</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9.13</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9.13</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49"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住房保障支出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9.21</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9.21</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49"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住房改革支出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9.21</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9.21</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49"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21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住房公积金</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9.21</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9.21</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                                                            金额单位：万元</w:t>
      </w:r>
    </w:p>
    <w:tbl>
      <w:tblPr>
        <w:tblStyle w:val="7"/>
        <w:tblW w:w="8896" w:type="dxa"/>
        <w:tblInd w:w="0" w:type="dxa"/>
        <w:tblLayout w:type="fixed"/>
        <w:tblCellMar>
          <w:top w:w="15" w:type="dxa"/>
          <w:left w:w="15" w:type="dxa"/>
          <w:bottom w:w="15" w:type="dxa"/>
          <w:right w:w="15" w:type="dxa"/>
        </w:tblCellMar>
      </w:tblPr>
      <w:tblGrid>
        <w:gridCol w:w="1112"/>
        <w:gridCol w:w="3045"/>
        <w:gridCol w:w="915"/>
        <w:gridCol w:w="915"/>
        <w:gridCol w:w="915"/>
        <w:gridCol w:w="660"/>
        <w:gridCol w:w="645"/>
        <w:gridCol w:w="689"/>
      </w:tblGrid>
      <w:tr>
        <w:tblPrEx>
          <w:tblCellMar>
            <w:top w:w="15" w:type="dxa"/>
            <w:left w:w="15" w:type="dxa"/>
            <w:bottom w:w="15" w:type="dxa"/>
            <w:right w:w="15" w:type="dxa"/>
          </w:tblCellMar>
        </w:tblPrEx>
        <w:trPr>
          <w:trHeight w:val="372" w:hRule="atLeast"/>
        </w:trPr>
        <w:tc>
          <w:tcPr>
            <w:tcW w:w="4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6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6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30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41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459.60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289.60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3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0.75</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0.75</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w:t>
            </w:r>
          </w:p>
        </w:tc>
        <w:tc>
          <w:tcPr>
            <w:tcW w:w="3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组织事务</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0.75</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0.75</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2013204</w:t>
            </w:r>
          </w:p>
        </w:tc>
        <w:tc>
          <w:tcPr>
            <w:tcW w:w="3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公务员事务</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0.75</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0.75</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204</w:t>
            </w:r>
          </w:p>
        </w:tc>
        <w:tc>
          <w:tcPr>
            <w:tcW w:w="3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公共安全支出</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408.85</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238.85</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20406</w:t>
            </w:r>
          </w:p>
        </w:tc>
        <w:tc>
          <w:tcPr>
            <w:tcW w:w="3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司法</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408.85</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238.85</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2040601</w:t>
            </w:r>
          </w:p>
        </w:tc>
        <w:tc>
          <w:tcPr>
            <w:tcW w:w="3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200.95</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200.95</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2040602</w:t>
            </w:r>
          </w:p>
        </w:tc>
        <w:tc>
          <w:tcPr>
            <w:tcW w:w="3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170.00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2040604</w:t>
            </w:r>
          </w:p>
        </w:tc>
        <w:tc>
          <w:tcPr>
            <w:tcW w:w="3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基层司法业务</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2040606</w:t>
            </w:r>
          </w:p>
        </w:tc>
        <w:tc>
          <w:tcPr>
            <w:tcW w:w="3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律师公证管理</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5.90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5.90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2040607</w:t>
            </w:r>
          </w:p>
        </w:tc>
        <w:tc>
          <w:tcPr>
            <w:tcW w:w="3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法律援助</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18.00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18.00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2040699</w:t>
            </w:r>
          </w:p>
        </w:tc>
        <w:tc>
          <w:tcPr>
            <w:tcW w:w="3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其他司法支出</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3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31.66</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31.66</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w:t>
            </w:r>
          </w:p>
        </w:tc>
        <w:tc>
          <w:tcPr>
            <w:tcW w:w="3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行政事业单位离退休</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31.66</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31.66</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2080505</w:t>
            </w:r>
          </w:p>
        </w:tc>
        <w:tc>
          <w:tcPr>
            <w:tcW w:w="3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30.92</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30.92</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2080506</w:t>
            </w:r>
          </w:p>
        </w:tc>
        <w:tc>
          <w:tcPr>
            <w:tcW w:w="3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0.74</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0.74</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3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9.13</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9.13</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3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9.13</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9.13</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2101101</w:t>
            </w:r>
          </w:p>
        </w:tc>
        <w:tc>
          <w:tcPr>
            <w:tcW w:w="3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9.13</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9.13</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w:t>
            </w:r>
          </w:p>
        </w:tc>
        <w:tc>
          <w:tcPr>
            <w:tcW w:w="3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住房保障支出</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9.21</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9.21</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w:t>
            </w:r>
          </w:p>
        </w:tc>
        <w:tc>
          <w:tcPr>
            <w:tcW w:w="3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住房改革支出</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9.21</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9.21</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2210201</w:t>
            </w:r>
          </w:p>
        </w:tc>
        <w:tc>
          <w:tcPr>
            <w:tcW w:w="3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9.21</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9.21</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                                                            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459.60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0.75</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0.75</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408.85</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408.85</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auto"/>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31.66</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31.66</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9.13</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9.13</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9.21</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9.21</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134"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r>
    </w:tbl>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                                                            金额单位：万元</w:t>
      </w:r>
    </w:p>
    <w:tbl>
      <w:tblPr>
        <w:tblStyle w:val="7"/>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459.60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459.60</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459.60</w:t>
            </w:r>
          </w:p>
        </w:tc>
        <w:tc>
          <w:tcPr>
            <w:tcW w:w="1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0.02</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0.02</w:t>
            </w:r>
          </w:p>
        </w:tc>
        <w:tc>
          <w:tcPr>
            <w:tcW w:w="1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一、一般公共预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二、政府性基金预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459.62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459.62</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459.62</w:t>
            </w:r>
          </w:p>
        </w:tc>
        <w:tc>
          <w:tcPr>
            <w:tcW w:w="1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                                                           金额单位：万元</w:t>
      </w:r>
    </w:p>
    <w:tbl>
      <w:tblPr>
        <w:tblStyle w:val="7"/>
        <w:tblW w:w="8777" w:type="dxa"/>
        <w:tblInd w:w="0" w:type="dxa"/>
        <w:tblLayout w:type="fixed"/>
        <w:tblCellMar>
          <w:top w:w="15" w:type="dxa"/>
          <w:left w:w="15" w:type="dxa"/>
          <w:bottom w:w="15" w:type="dxa"/>
          <w:right w:w="15" w:type="dxa"/>
        </w:tblCellMar>
      </w:tblPr>
      <w:tblGrid>
        <w:gridCol w:w="1170"/>
        <w:gridCol w:w="2687"/>
        <w:gridCol w:w="900"/>
        <w:gridCol w:w="885"/>
        <w:gridCol w:w="840"/>
        <w:gridCol w:w="825"/>
        <w:gridCol w:w="870"/>
        <w:gridCol w:w="600"/>
      </w:tblGrid>
      <w:tr>
        <w:tblPrEx>
          <w:tblCellMar>
            <w:top w:w="15" w:type="dxa"/>
            <w:left w:w="15" w:type="dxa"/>
            <w:bottom w:w="15" w:type="dxa"/>
            <w:right w:w="15" w:type="dxa"/>
          </w:tblCellMar>
        </w:tblPrEx>
        <w:trPr>
          <w:trHeight w:val="414" w:hRule="atLeast"/>
        </w:trPr>
        <w:tc>
          <w:tcPr>
            <w:tcW w:w="38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550"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38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459.60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289.60</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251.71</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37.90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170.00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5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2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0.75</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0.75</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w:t>
            </w:r>
          </w:p>
        </w:tc>
        <w:tc>
          <w:tcPr>
            <w:tcW w:w="2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组织事务</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0.75</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0.75</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6"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2013204</w:t>
            </w:r>
          </w:p>
        </w:tc>
        <w:tc>
          <w:tcPr>
            <w:tcW w:w="2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公务员事务</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0.75</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0.75</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204</w:t>
            </w:r>
          </w:p>
        </w:tc>
        <w:tc>
          <w:tcPr>
            <w:tcW w:w="2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公共安全支出</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408.85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238.85</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200.95</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37.90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170.00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20406</w:t>
            </w:r>
          </w:p>
        </w:tc>
        <w:tc>
          <w:tcPr>
            <w:tcW w:w="2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司法</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408.85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238.85</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200.95</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37.90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170.00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2040601</w:t>
            </w:r>
          </w:p>
        </w:tc>
        <w:tc>
          <w:tcPr>
            <w:tcW w:w="2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200.95</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200.95</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200.95</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2040602</w:t>
            </w:r>
          </w:p>
        </w:tc>
        <w:tc>
          <w:tcPr>
            <w:tcW w:w="2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170.00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170.00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2040604</w:t>
            </w:r>
          </w:p>
        </w:tc>
        <w:tc>
          <w:tcPr>
            <w:tcW w:w="2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基层司法业务</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2040606</w:t>
            </w:r>
          </w:p>
        </w:tc>
        <w:tc>
          <w:tcPr>
            <w:tcW w:w="2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律师公证管理</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5.90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5.90</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5.90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2040607</w:t>
            </w:r>
          </w:p>
        </w:tc>
        <w:tc>
          <w:tcPr>
            <w:tcW w:w="2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法律援助</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18.00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18.00</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2040699</w:t>
            </w:r>
          </w:p>
        </w:tc>
        <w:tc>
          <w:tcPr>
            <w:tcW w:w="2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其他司法支出</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2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31.66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31.66</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31.66</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w:t>
            </w:r>
          </w:p>
        </w:tc>
        <w:tc>
          <w:tcPr>
            <w:tcW w:w="2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行政事业单位离退休</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31.66</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31.66</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31.66</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2080505</w:t>
            </w:r>
          </w:p>
        </w:tc>
        <w:tc>
          <w:tcPr>
            <w:tcW w:w="2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30.92</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30.92</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30.92</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2080506</w:t>
            </w:r>
          </w:p>
        </w:tc>
        <w:tc>
          <w:tcPr>
            <w:tcW w:w="2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0.74</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0.74</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0.74</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2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9.13</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9.13</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2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9.13</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9.13</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2101101</w:t>
            </w:r>
          </w:p>
        </w:tc>
        <w:tc>
          <w:tcPr>
            <w:tcW w:w="2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9.13</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9.13</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9.13</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w:t>
            </w:r>
          </w:p>
        </w:tc>
        <w:tc>
          <w:tcPr>
            <w:tcW w:w="2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住房保障支出</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9.21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9.21</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9.21</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w:t>
            </w:r>
          </w:p>
        </w:tc>
        <w:tc>
          <w:tcPr>
            <w:tcW w:w="26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住房改革支出</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9.21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9.21</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9.21</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rPr>
          <w:rFonts w:ascii="宋体" w:hAnsi="宋体" w:cs="宋体"/>
          <w:b/>
          <w:bCs/>
          <w:sz w:val="32"/>
          <w:szCs w:val="32"/>
        </w:rPr>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                                                            金额单位：万元</w:t>
      </w:r>
    </w:p>
    <w:tbl>
      <w:tblPr>
        <w:tblStyle w:val="7"/>
        <w:tblW w:w="8817" w:type="dxa"/>
        <w:tblInd w:w="0" w:type="dxa"/>
        <w:tblLayout w:type="fixed"/>
        <w:tblCellMar>
          <w:top w:w="15" w:type="dxa"/>
          <w:left w:w="15" w:type="dxa"/>
          <w:bottom w:w="15" w:type="dxa"/>
          <w:right w:w="15" w:type="dxa"/>
        </w:tblCellMar>
      </w:tblPr>
      <w:tblGrid>
        <w:gridCol w:w="1217"/>
        <w:gridCol w:w="2850"/>
        <w:gridCol w:w="1365"/>
        <w:gridCol w:w="1245"/>
        <w:gridCol w:w="1200"/>
        <w:gridCol w:w="940"/>
      </w:tblGrid>
      <w:tr>
        <w:tblPrEx>
          <w:tblCellMar>
            <w:top w:w="15" w:type="dxa"/>
            <w:left w:w="15" w:type="dxa"/>
            <w:bottom w:w="15" w:type="dxa"/>
            <w:right w:w="15" w:type="dxa"/>
          </w:tblCellMar>
        </w:tblPrEx>
        <w:trPr>
          <w:trHeight w:val="434" w:hRule="atLeast"/>
        </w:trPr>
        <w:tc>
          <w:tcPr>
            <w:tcW w:w="40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3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9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2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3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40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365"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289.60</w:t>
            </w:r>
          </w:p>
        </w:tc>
        <w:tc>
          <w:tcPr>
            <w:tcW w:w="1245"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251.71</w:t>
            </w:r>
          </w:p>
        </w:tc>
        <w:tc>
          <w:tcPr>
            <w:tcW w:w="120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37.90</w:t>
            </w:r>
          </w:p>
        </w:tc>
        <w:tc>
          <w:tcPr>
            <w:tcW w:w="940" w:type="dxa"/>
            <w:tcBorders>
              <w:left w:val="single" w:color="000000" w:sz="4" w:space="0"/>
              <w:bottom w:val="single" w:color="000000" w:sz="4" w:space="0"/>
              <w:right w:val="single" w:color="000000" w:sz="4" w:space="0"/>
            </w:tcBorders>
            <w:vAlign w:val="center"/>
          </w:tcPr>
          <w:p>
            <w:pPr>
              <w:jc w:val="right"/>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w:t>
            </w:r>
          </w:p>
        </w:tc>
        <w:tc>
          <w:tcPr>
            <w:tcW w:w="2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工资福利支出</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251.71</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30101</w:t>
            </w:r>
          </w:p>
        </w:tc>
        <w:tc>
          <w:tcPr>
            <w:tcW w:w="2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基本工资</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94.79</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30102</w:t>
            </w:r>
          </w:p>
        </w:tc>
        <w:tc>
          <w:tcPr>
            <w:tcW w:w="2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津贴补贴</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106.16</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30103</w:t>
            </w:r>
          </w:p>
        </w:tc>
        <w:tc>
          <w:tcPr>
            <w:tcW w:w="2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奖金</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0.75</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30108</w:t>
            </w:r>
          </w:p>
        </w:tc>
        <w:tc>
          <w:tcPr>
            <w:tcW w:w="2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30.92</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30109</w:t>
            </w:r>
          </w:p>
        </w:tc>
        <w:tc>
          <w:tcPr>
            <w:tcW w:w="2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职业年金缴费</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0.74</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30110</w:t>
            </w:r>
          </w:p>
        </w:tc>
        <w:tc>
          <w:tcPr>
            <w:tcW w:w="2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9.13</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30113</w:t>
            </w:r>
          </w:p>
        </w:tc>
        <w:tc>
          <w:tcPr>
            <w:tcW w:w="2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9.21</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w:t>
            </w:r>
          </w:p>
        </w:tc>
        <w:tc>
          <w:tcPr>
            <w:tcW w:w="2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商品和服务支出</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37.90</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30201</w:t>
            </w:r>
          </w:p>
        </w:tc>
        <w:tc>
          <w:tcPr>
            <w:tcW w:w="2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办公费</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8.50</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30202</w:t>
            </w:r>
          </w:p>
        </w:tc>
        <w:tc>
          <w:tcPr>
            <w:tcW w:w="2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印刷费</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9.00</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30207</w:t>
            </w:r>
          </w:p>
        </w:tc>
        <w:tc>
          <w:tcPr>
            <w:tcW w:w="2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邮电费</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1.50</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30211</w:t>
            </w:r>
          </w:p>
        </w:tc>
        <w:tc>
          <w:tcPr>
            <w:tcW w:w="2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差旅费</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3.40</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30213</w:t>
            </w:r>
          </w:p>
        </w:tc>
        <w:tc>
          <w:tcPr>
            <w:tcW w:w="2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维修(护)费</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30216</w:t>
            </w:r>
          </w:p>
        </w:tc>
        <w:tc>
          <w:tcPr>
            <w:tcW w:w="2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培训费</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30228</w:t>
            </w:r>
          </w:p>
        </w:tc>
        <w:tc>
          <w:tcPr>
            <w:tcW w:w="2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工会经费</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2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30299</w:t>
            </w:r>
          </w:p>
        </w:tc>
        <w:tc>
          <w:tcPr>
            <w:tcW w:w="2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1.50</w:t>
            </w:r>
          </w:p>
        </w:tc>
        <w:tc>
          <w:tcPr>
            <w:tcW w:w="94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22.30</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0.80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21.50</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21.50</w:t>
            </w:r>
          </w:p>
        </w:tc>
        <w:tc>
          <w:tcPr>
            <w:tcW w:w="7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8.00</w:t>
            </w:r>
          </w:p>
        </w:tc>
        <w:tc>
          <w:tcPr>
            <w:tcW w:w="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17.00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22.30</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0.80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21.50</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21.50</w:t>
            </w:r>
          </w:p>
        </w:tc>
        <w:tc>
          <w:tcPr>
            <w:tcW w:w="7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8.00</w:t>
            </w:r>
          </w:p>
        </w:tc>
        <w:tc>
          <w:tcPr>
            <w:tcW w:w="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17.00</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2019 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widowControl/>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2019年度收入总计459.60万元，比上年减少57.33万元，主要原因是司法体制改革以来单位职能及构成发生变化，以及</w:t>
      </w:r>
      <w:r>
        <w:rPr>
          <w:rFonts w:hint="eastAsia" w:ascii="仿宋_GB2312" w:hAnsi="仿宋_GB2312" w:eastAsia="仿宋_GB2312" w:cs="仿宋_GB2312"/>
          <w:color w:val="000000"/>
          <w:kern w:val="0"/>
          <w:sz w:val="32"/>
          <w:szCs w:val="32"/>
          <w:lang w:val="zh-CN" w:eastAsia="zh-CN"/>
        </w:rPr>
        <w:t>人员调整等所造成的单位经费变化。</w:t>
      </w:r>
    </w:p>
    <w:p>
      <w:pPr>
        <w:widowControl/>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2019年度支出总计459.60万元，比上年减少57.33万元，主要原因是司法体制改革以来单位职能及构成发生变化，以及</w:t>
      </w:r>
      <w:r>
        <w:rPr>
          <w:rFonts w:hint="eastAsia" w:ascii="仿宋_GB2312" w:hAnsi="仿宋_GB2312" w:eastAsia="仿宋_GB2312" w:cs="仿宋_GB2312"/>
          <w:color w:val="000000"/>
          <w:kern w:val="0"/>
          <w:sz w:val="32"/>
          <w:szCs w:val="32"/>
          <w:lang w:val="zh-CN" w:eastAsia="zh-CN"/>
        </w:rPr>
        <w:t>人员调整等所造成的单位经费变化。</w:t>
      </w:r>
      <w:r>
        <w:rPr>
          <w:rFonts w:hint="eastAsia" w:ascii="仿宋_GB2312" w:hAnsi="仿宋_GB2312" w:eastAsia="仿宋_GB2312" w:cs="仿宋_GB2312"/>
          <w:color w:val="000000"/>
          <w:kern w:val="0"/>
          <w:sz w:val="32"/>
          <w:szCs w:val="32"/>
          <w:lang w:val="en-US" w:eastAsia="zh-CN"/>
        </w:rPr>
        <w:t xml:space="preserve">  </w:t>
      </w:r>
    </w:p>
    <w:p>
      <w:pPr>
        <w:spacing w:line="360" w:lineRule="auto"/>
        <w:ind w:firstLine="630" w:firstLineChars="225"/>
        <w:jc w:val="left"/>
        <w:rPr>
          <w:rFonts w:ascii="仿宋_GB2312" w:hAnsi="仿宋" w:eastAsia="仿宋_GB2312"/>
          <w:sz w:val="28"/>
          <w:szCs w:val="28"/>
        </w:rPr>
      </w:pPr>
      <w:r>
        <w:rPr>
          <w:rFonts w:hint="eastAsia" w:ascii="仿宋_GB2312" w:eastAsia="仿宋_GB2312" w:cs="仿宋_GB2312"/>
          <w:sz w:val="28"/>
          <w:szCs w:val="28"/>
          <w:lang w:val="en-US" w:eastAsia="zh-CN"/>
        </w:rPr>
        <w:t xml:space="preserve">        </w:t>
      </w:r>
      <w:r>
        <w:rPr>
          <w:rFonts w:ascii="仿宋_GB2312" w:hAnsi="仿宋" w:eastAsia="仿宋_GB2312"/>
          <w:sz w:val="28"/>
          <w:szCs w:val="28"/>
        </w:rPr>
        <w:drawing>
          <wp:inline distT="0" distB="0" distL="114300" distR="114300">
            <wp:extent cx="3176905" cy="2020570"/>
            <wp:effectExtent l="4445" t="4445" r="19050" b="1333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ind w:firstLine="640" w:firstLineChars="200"/>
        <w:jc w:val="left"/>
        <w:rPr>
          <w:rFonts w:ascii="仿宋_GB2312" w:hAnsi="仿宋" w:eastAsia="仿宋_GB2312"/>
          <w:sz w:val="32"/>
          <w:szCs w:val="32"/>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rPr>
          <w:rFonts w:hint="eastAsia" w:ascii="仿宋_GB2312" w:hAnsi="宋体" w:eastAsia="仿宋_GB2312" w:cs="仿宋_GB2312"/>
          <w:color w:val="000000"/>
          <w:kern w:val="0"/>
          <w:sz w:val="28"/>
          <w:szCs w:val="28"/>
        </w:rPr>
      </w:pPr>
      <w:r>
        <w:rPr>
          <w:rFonts w:hint="eastAsia" w:ascii="仿宋_GB2312" w:hAnsi="仿宋_GB2312" w:eastAsia="仿宋_GB2312" w:cs="仿宋_GB2312"/>
          <w:color w:val="000000"/>
          <w:kern w:val="0"/>
          <w:sz w:val="32"/>
          <w:szCs w:val="32"/>
          <w:lang w:val="en-US" w:eastAsia="zh-CN"/>
        </w:rPr>
        <w:t>2019年收入合计459.60万元，全部为财政拨款收入。</w:t>
      </w:r>
    </w:p>
    <w:p>
      <w:pPr>
        <w:widowControl/>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val="en-US" w:eastAsia="zh-CN"/>
        </w:rPr>
        <w:t xml:space="preserve">          </w:t>
      </w:r>
      <w:r>
        <w:rPr>
          <w:rFonts w:hint="eastAsia" w:ascii="仿宋_GB2312" w:hAnsi="宋体" w:eastAsia="仿宋_GB2312" w:cs="仿宋_GB2312"/>
          <w:color w:val="000000"/>
          <w:kern w:val="0"/>
          <w:sz w:val="32"/>
          <w:szCs w:val="32"/>
          <w:lang w:eastAsia="zh-CN"/>
        </w:rPr>
        <w:drawing>
          <wp:inline distT="0" distB="0" distL="114300" distR="114300">
            <wp:extent cx="2290445" cy="1868805"/>
            <wp:effectExtent l="4445" t="4445" r="10160" b="1270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ascii="黑体" w:hAnsi="黑体" w:eastAsia="黑体"/>
        </w:rPr>
      </w:pPr>
      <w:r>
        <w:rPr>
          <w:rFonts w:hint="eastAsia" w:ascii="黑体" w:hAnsi="黑体" w:eastAsia="黑体"/>
          <w:color w:val="000000"/>
          <w:kern w:val="0"/>
          <w:sz w:val="32"/>
          <w:szCs w:val="32"/>
        </w:rPr>
        <w:t xml:space="preserve">三、支出决算情况说明  </w:t>
      </w:r>
    </w:p>
    <w:p>
      <w:pPr>
        <w:widowControl/>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2019年支出合计459.60万元，其中：基本支出289.60万元，占总支出63%；项目支出170万元，占总支出37%。</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 xml:space="preserve">      </w:t>
      </w:r>
      <w:r>
        <w:rPr>
          <w:rFonts w:hint="eastAsia" w:ascii="仿宋_GB2312" w:hAnsi="宋体" w:eastAsia="仿宋_GB2312" w:cs="仿宋_GB2312"/>
          <w:color w:val="000000"/>
          <w:kern w:val="0"/>
          <w:sz w:val="32"/>
          <w:szCs w:val="32"/>
          <w:lang w:eastAsia="zh-CN"/>
        </w:rPr>
        <w:drawing>
          <wp:inline distT="0" distB="0" distL="114300" distR="114300">
            <wp:extent cx="3709035" cy="2115820"/>
            <wp:effectExtent l="4445" t="4445" r="20320" b="1333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四、财政拨款收入支出决算总体情况说明  </w:t>
      </w:r>
    </w:p>
    <w:p>
      <w:pPr>
        <w:widowControl/>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2019</w:t>
      </w:r>
      <w:r>
        <w:rPr>
          <w:rFonts w:hint="eastAsia" w:ascii="仿宋_GB2312" w:hAnsi="仿宋_GB2312" w:eastAsia="仿宋_GB2312" w:cs="仿宋_GB2312"/>
          <w:color w:val="000000"/>
          <w:kern w:val="0"/>
          <w:sz w:val="32"/>
          <w:szCs w:val="32"/>
        </w:rPr>
        <w:t>年度财政拨款收入总计</w:t>
      </w:r>
      <w:r>
        <w:rPr>
          <w:rFonts w:hint="eastAsia" w:ascii="仿宋_GB2312" w:hAnsi="仿宋_GB2312" w:eastAsia="仿宋_GB2312" w:cs="仿宋_GB2312"/>
          <w:color w:val="000000"/>
          <w:kern w:val="0"/>
          <w:sz w:val="32"/>
          <w:szCs w:val="32"/>
          <w:lang w:val="en-US" w:eastAsia="zh-CN"/>
        </w:rPr>
        <w:t>459.60</w:t>
      </w:r>
      <w:r>
        <w:rPr>
          <w:rFonts w:hint="eastAsia" w:ascii="仿宋_GB2312" w:hAnsi="仿宋_GB2312" w:eastAsia="仿宋_GB2312" w:cs="仿宋_GB2312"/>
          <w:color w:val="000000"/>
          <w:kern w:val="0"/>
          <w:sz w:val="32"/>
          <w:szCs w:val="32"/>
        </w:rPr>
        <w:t>万元，比上年</w:t>
      </w:r>
      <w:r>
        <w:rPr>
          <w:rFonts w:hint="eastAsia" w:ascii="仿宋_GB2312" w:hAnsi="仿宋_GB2312" w:eastAsia="仿宋_GB2312" w:cs="仿宋_GB2312"/>
          <w:color w:val="000000"/>
          <w:kern w:val="0"/>
          <w:sz w:val="32"/>
          <w:szCs w:val="32"/>
          <w:lang w:eastAsia="zh-CN"/>
        </w:rPr>
        <w:t>减少</w:t>
      </w:r>
      <w:r>
        <w:rPr>
          <w:rFonts w:hint="eastAsia" w:ascii="仿宋_GB2312" w:hAnsi="仿宋_GB2312" w:eastAsia="仿宋_GB2312" w:cs="仿宋_GB2312"/>
          <w:color w:val="000000"/>
          <w:kern w:val="0"/>
          <w:sz w:val="32"/>
          <w:szCs w:val="32"/>
          <w:lang w:val="en-US" w:eastAsia="zh-CN"/>
        </w:rPr>
        <w:t>57.33</w:t>
      </w:r>
      <w:r>
        <w:rPr>
          <w:rFonts w:hint="eastAsia" w:ascii="仿宋_GB2312" w:hAnsi="仿宋_GB2312" w:eastAsia="仿宋_GB2312" w:cs="仿宋_GB2312"/>
          <w:color w:val="000000"/>
          <w:kern w:val="0"/>
          <w:sz w:val="32"/>
          <w:szCs w:val="32"/>
        </w:rPr>
        <w:t>万元，主要原因是司法体制改革</w:t>
      </w:r>
      <w:r>
        <w:rPr>
          <w:rFonts w:hint="eastAsia" w:ascii="仿宋_GB2312" w:hAnsi="仿宋_GB2312" w:eastAsia="仿宋_GB2312" w:cs="仿宋_GB2312"/>
          <w:color w:val="000000"/>
          <w:kern w:val="0"/>
          <w:sz w:val="32"/>
          <w:szCs w:val="32"/>
          <w:lang w:eastAsia="zh-CN"/>
        </w:rPr>
        <w:t>以来单位</w:t>
      </w:r>
      <w:r>
        <w:rPr>
          <w:rFonts w:hint="eastAsia" w:ascii="仿宋_GB2312" w:hAnsi="仿宋_GB2312" w:eastAsia="仿宋_GB2312" w:cs="仿宋_GB2312"/>
          <w:color w:val="000000"/>
          <w:kern w:val="0"/>
          <w:sz w:val="32"/>
          <w:szCs w:val="32"/>
        </w:rPr>
        <w:t>职能及构成</w:t>
      </w:r>
      <w:r>
        <w:rPr>
          <w:rFonts w:hint="eastAsia" w:ascii="仿宋_GB2312" w:hAnsi="仿宋_GB2312" w:eastAsia="仿宋_GB2312" w:cs="仿宋_GB2312"/>
          <w:color w:val="000000"/>
          <w:kern w:val="0"/>
          <w:sz w:val="32"/>
          <w:szCs w:val="32"/>
          <w:lang w:eastAsia="zh-CN"/>
        </w:rPr>
        <w:t>发生变化</w:t>
      </w:r>
      <w:r>
        <w:rPr>
          <w:rFonts w:hint="eastAsia" w:ascii="仿宋_GB2312" w:hAnsi="仿宋_GB2312" w:eastAsia="仿宋_GB2312" w:cs="仿宋_GB2312"/>
          <w:color w:val="000000"/>
          <w:kern w:val="0"/>
          <w:sz w:val="32"/>
          <w:szCs w:val="32"/>
        </w:rPr>
        <w:t>，以及</w:t>
      </w:r>
      <w:r>
        <w:rPr>
          <w:rFonts w:hint="eastAsia" w:ascii="仿宋_GB2312" w:hAnsi="仿宋_GB2312" w:eastAsia="仿宋_GB2312" w:cs="仿宋_GB2312"/>
          <w:color w:val="000000"/>
          <w:kern w:val="0"/>
          <w:sz w:val="32"/>
          <w:szCs w:val="32"/>
          <w:lang w:val="zh-CN"/>
        </w:rPr>
        <w:t>人员调整等所造成的单位经费变化。</w:t>
      </w:r>
    </w:p>
    <w:p>
      <w:pPr>
        <w:widowControl/>
        <w:ind w:firstLine="640" w:firstLineChars="200"/>
        <w:jc w:val="left"/>
        <w:rPr>
          <w:rFonts w:hint="eastAsia" w:ascii="仿宋_GB2312" w:eastAsia="仿宋_GB2312" w:cs="仿宋_GB2312"/>
          <w:sz w:val="28"/>
          <w:szCs w:val="28"/>
          <w:lang w:val="zh-CN"/>
        </w:rPr>
      </w:pPr>
      <w:r>
        <w:rPr>
          <w:rFonts w:hint="eastAsia" w:ascii="仿宋_GB2312" w:hAnsi="仿宋_GB2312" w:eastAsia="仿宋_GB2312" w:cs="仿宋_GB2312"/>
          <w:color w:val="000000"/>
          <w:kern w:val="0"/>
          <w:sz w:val="32"/>
          <w:szCs w:val="32"/>
          <w:lang w:val="en-US" w:eastAsia="zh-CN"/>
        </w:rPr>
        <w:t>2019</w:t>
      </w:r>
      <w:r>
        <w:rPr>
          <w:rFonts w:hint="eastAsia" w:ascii="仿宋_GB2312" w:hAnsi="仿宋_GB2312" w:eastAsia="仿宋_GB2312" w:cs="仿宋_GB2312"/>
          <w:color w:val="000000"/>
          <w:kern w:val="0"/>
          <w:sz w:val="32"/>
          <w:szCs w:val="32"/>
        </w:rPr>
        <w:t>年度财政拨款</w:t>
      </w:r>
      <w:r>
        <w:rPr>
          <w:rFonts w:hint="eastAsia" w:ascii="仿宋_GB2312" w:hAnsi="仿宋_GB2312" w:eastAsia="仿宋_GB2312" w:cs="仿宋_GB2312"/>
          <w:color w:val="000000"/>
          <w:kern w:val="0"/>
          <w:sz w:val="32"/>
          <w:szCs w:val="32"/>
          <w:lang w:eastAsia="zh-CN"/>
        </w:rPr>
        <w:t>支出</w:t>
      </w:r>
      <w:r>
        <w:rPr>
          <w:rFonts w:hint="eastAsia" w:ascii="仿宋_GB2312" w:hAnsi="仿宋_GB2312" w:eastAsia="仿宋_GB2312" w:cs="仿宋_GB2312"/>
          <w:color w:val="000000"/>
          <w:kern w:val="0"/>
          <w:sz w:val="32"/>
          <w:szCs w:val="32"/>
        </w:rPr>
        <w:t>总计</w:t>
      </w:r>
      <w:r>
        <w:rPr>
          <w:rFonts w:hint="eastAsia" w:ascii="仿宋_GB2312" w:hAnsi="仿宋_GB2312" w:eastAsia="仿宋_GB2312" w:cs="仿宋_GB2312"/>
          <w:color w:val="000000"/>
          <w:kern w:val="0"/>
          <w:sz w:val="32"/>
          <w:szCs w:val="32"/>
          <w:lang w:val="en-US" w:eastAsia="zh-CN"/>
        </w:rPr>
        <w:t>459.60</w:t>
      </w:r>
      <w:r>
        <w:rPr>
          <w:rFonts w:hint="eastAsia" w:ascii="仿宋_GB2312" w:hAnsi="仿宋_GB2312" w:eastAsia="仿宋_GB2312" w:cs="仿宋_GB2312"/>
          <w:color w:val="000000"/>
          <w:kern w:val="0"/>
          <w:sz w:val="32"/>
          <w:szCs w:val="32"/>
        </w:rPr>
        <w:t>万元，比上年</w:t>
      </w:r>
      <w:r>
        <w:rPr>
          <w:rFonts w:hint="eastAsia" w:ascii="仿宋_GB2312" w:hAnsi="仿宋_GB2312" w:eastAsia="仿宋_GB2312" w:cs="仿宋_GB2312"/>
          <w:color w:val="000000"/>
          <w:kern w:val="0"/>
          <w:sz w:val="32"/>
          <w:szCs w:val="32"/>
          <w:lang w:eastAsia="zh-CN"/>
        </w:rPr>
        <w:t>减少</w:t>
      </w:r>
      <w:r>
        <w:rPr>
          <w:rFonts w:hint="eastAsia" w:ascii="仿宋_GB2312" w:hAnsi="仿宋_GB2312" w:eastAsia="仿宋_GB2312" w:cs="仿宋_GB2312"/>
          <w:color w:val="000000"/>
          <w:kern w:val="0"/>
          <w:sz w:val="32"/>
          <w:szCs w:val="32"/>
          <w:lang w:val="en-US" w:eastAsia="zh-CN"/>
        </w:rPr>
        <w:t>57.33</w:t>
      </w:r>
      <w:r>
        <w:rPr>
          <w:rFonts w:hint="eastAsia" w:ascii="仿宋_GB2312" w:hAnsi="仿宋_GB2312" w:eastAsia="仿宋_GB2312" w:cs="仿宋_GB2312"/>
          <w:color w:val="000000"/>
          <w:kern w:val="0"/>
          <w:sz w:val="32"/>
          <w:szCs w:val="32"/>
        </w:rPr>
        <w:t>万元，主要原因是司法体制改革</w:t>
      </w:r>
      <w:r>
        <w:rPr>
          <w:rFonts w:hint="eastAsia" w:ascii="仿宋_GB2312" w:hAnsi="仿宋_GB2312" w:eastAsia="仿宋_GB2312" w:cs="仿宋_GB2312"/>
          <w:color w:val="000000"/>
          <w:kern w:val="0"/>
          <w:sz w:val="32"/>
          <w:szCs w:val="32"/>
          <w:lang w:eastAsia="zh-CN"/>
        </w:rPr>
        <w:t>以来单位</w:t>
      </w:r>
      <w:r>
        <w:rPr>
          <w:rFonts w:hint="eastAsia" w:ascii="仿宋_GB2312" w:hAnsi="仿宋_GB2312" w:eastAsia="仿宋_GB2312" w:cs="仿宋_GB2312"/>
          <w:color w:val="000000"/>
          <w:kern w:val="0"/>
          <w:sz w:val="32"/>
          <w:szCs w:val="32"/>
        </w:rPr>
        <w:t>职能及构成</w:t>
      </w:r>
      <w:r>
        <w:rPr>
          <w:rFonts w:hint="eastAsia" w:ascii="仿宋_GB2312" w:hAnsi="仿宋_GB2312" w:eastAsia="仿宋_GB2312" w:cs="仿宋_GB2312"/>
          <w:color w:val="000000"/>
          <w:kern w:val="0"/>
          <w:sz w:val="32"/>
          <w:szCs w:val="32"/>
          <w:lang w:eastAsia="zh-CN"/>
        </w:rPr>
        <w:t>发生变化</w:t>
      </w:r>
      <w:r>
        <w:rPr>
          <w:rFonts w:hint="eastAsia" w:ascii="仿宋_GB2312" w:hAnsi="仿宋_GB2312" w:eastAsia="仿宋_GB2312" w:cs="仿宋_GB2312"/>
          <w:color w:val="000000"/>
          <w:kern w:val="0"/>
          <w:sz w:val="32"/>
          <w:szCs w:val="32"/>
        </w:rPr>
        <w:t>，以及</w:t>
      </w:r>
      <w:r>
        <w:rPr>
          <w:rFonts w:hint="eastAsia" w:ascii="仿宋_GB2312" w:hAnsi="仿宋_GB2312" w:eastAsia="仿宋_GB2312" w:cs="仿宋_GB2312"/>
          <w:color w:val="000000"/>
          <w:kern w:val="0"/>
          <w:sz w:val="32"/>
          <w:szCs w:val="32"/>
          <w:lang w:val="zh-CN"/>
        </w:rPr>
        <w:t>人员调整等所造成的单位经费变化。</w:t>
      </w:r>
    </w:p>
    <w:p>
      <w:pPr>
        <w:widowControl/>
        <w:ind w:firstLine="560" w:firstLineChars="200"/>
        <w:jc w:val="center"/>
        <w:rPr>
          <w:rFonts w:hint="eastAsia" w:ascii="仿宋_GB2312" w:eastAsia="仿宋_GB2312" w:cs="仿宋_GB2312"/>
          <w:sz w:val="28"/>
          <w:szCs w:val="28"/>
          <w:lang w:val="zh-CN"/>
        </w:rPr>
      </w:pPr>
      <w:r>
        <w:rPr>
          <w:rFonts w:hint="eastAsia" w:ascii="仿宋_GB2312" w:eastAsia="仿宋_GB2312" w:cs="仿宋_GB2312"/>
          <w:sz w:val="28"/>
          <w:szCs w:val="28"/>
          <w:lang w:val="zh-CN"/>
        </w:rPr>
        <w:t>财政拨款收入支出情况图</w:t>
      </w:r>
    </w:p>
    <w:p>
      <w:pPr>
        <w:widowControl/>
        <w:ind w:firstLine="560" w:firstLineChars="200"/>
        <w:jc w:val="left"/>
        <w:rPr>
          <w:rFonts w:hint="eastAsia" w:ascii="仿宋_GB2312" w:eastAsia="仿宋_GB2312" w:cs="仿宋_GB2312"/>
          <w:sz w:val="28"/>
          <w:szCs w:val="28"/>
          <w:lang w:val="zh-CN"/>
        </w:rPr>
      </w:pPr>
      <w:r>
        <w:rPr>
          <w:rFonts w:hint="eastAsia" w:ascii="仿宋_GB2312" w:eastAsia="仿宋_GB2312" w:cs="仿宋_GB2312"/>
          <w:sz w:val="28"/>
          <w:szCs w:val="28"/>
          <w:lang w:val="en-US" w:eastAsia="zh-CN"/>
        </w:rPr>
        <w:t xml:space="preserve">        </w:t>
      </w:r>
      <w:r>
        <w:rPr>
          <w:rFonts w:hint="eastAsia" w:ascii="仿宋_GB2312" w:eastAsia="仿宋_GB2312" w:cs="仿宋_GB2312"/>
          <w:sz w:val="28"/>
          <w:szCs w:val="28"/>
          <w:lang w:val="zh-CN"/>
        </w:rPr>
        <w:drawing>
          <wp:inline distT="0" distB="0" distL="114300" distR="114300">
            <wp:extent cx="3966210" cy="2362200"/>
            <wp:effectExtent l="4445" t="5080" r="10795" b="1397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hint="eastAsia" w:ascii="仿宋_GB2312" w:hAnsi="仿宋_GB2312" w:eastAsia="仿宋_GB2312" w:cs="仿宋_GB2312"/>
          <w:color w:val="000000"/>
          <w:kern w:val="0"/>
          <w:sz w:val="32"/>
          <w:szCs w:val="32"/>
          <w:lang w:val="zh-CN" w:eastAsia="zh-CN"/>
        </w:rPr>
      </w:pPr>
      <w:r>
        <w:rPr>
          <w:rFonts w:ascii="仿宋_GB2312" w:hAnsi="仿宋_GB2312" w:eastAsia="仿宋_GB2312" w:cs="仿宋_GB2312"/>
          <w:color w:val="000000"/>
          <w:kern w:val="0"/>
          <w:sz w:val="32"/>
          <w:szCs w:val="32"/>
        </w:rPr>
        <w:t>2019 年财政拨款支出</w:t>
      </w:r>
      <w:r>
        <w:rPr>
          <w:rFonts w:hint="eastAsia" w:ascii="仿宋_GB2312" w:hAnsi="仿宋_GB2312" w:eastAsia="仿宋_GB2312" w:cs="仿宋_GB2312"/>
          <w:color w:val="000000"/>
          <w:kern w:val="0"/>
          <w:sz w:val="32"/>
          <w:szCs w:val="32"/>
          <w:lang w:val="en-US" w:eastAsia="zh-CN"/>
        </w:rPr>
        <w:t>459.60</w:t>
      </w:r>
      <w:r>
        <w:rPr>
          <w:rFonts w:ascii="仿宋_GB2312" w:hAnsi="仿宋_GB2312" w:eastAsia="仿宋_GB2312" w:cs="仿宋_GB2312"/>
          <w:color w:val="000000"/>
          <w:kern w:val="0"/>
          <w:sz w:val="32"/>
          <w:szCs w:val="32"/>
        </w:rPr>
        <w:t>万元，占</w:t>
      </w:r>
      <w:r>
        <w:rPr>
          <w:rFonts w:hint="eastAsia" w:ascii="仿宋_GB2312" w:hAnsi="仿宋_GB2312" w:eastAsia="仿宋_GB2312" w:cs="仿宋_GB2312"/>
          <w:color w:val="000000"/>
          <w:kern w:val="0"/>
          <w:sz w:val="32"/>
          <w:szCs w:val="32"/>
          <w:lang w:eastAsia="zh-CN"/>
        </w:rPr>
        <w:t>全</w:t>
      </w:r>
      <w:r>
        <w:rPr>
          <w:rFonts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eastAsia="zh-CN"/>
        </w:rPr>
        <w:t>财政拨款</w:t>
      </w:r>
      <w:r>
        <w:rPr>
          <w:rFonts w:ascii="仿宋_GB2312" w:hAnsi="仿宋_GB2312" w:eastAsia="仿宋_GB2312" w:cs="仿宋_GB2312"/>
          <w:color w:val="000000"/>
          <w:kern w:val="0"/>
          <w:sz w:val="32"/>
          <w:szCs w:val="32"/>
        </w:rPr>
        <w:t>支出合计的</w:t>
      </w:r>
      <w:r>
        <w:rPr>
          <w:rFonts w:hint="eastAsia" w:ascii="仿宋_GB2312" w:hAnsi="仿宋_GB2312" w:eastAsia="仿宋_GB2312" w:cs="仿宋_GB2312"/>
          <w:color w:val="000000"/>
          <w:kern w:val="0"/>
          <w:sz w:val="32"/>
          <w:szCs w:val="32"/>
          <w:lang w:val="en-US" w:eastAsia="zh-CN"/>
        </w:rPr>
        <w:t>100</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上年支出</w:t>
      </w:r>
      <w:r>
        <w:rPr>
          <w:rFonts w:hint="eastAsia" w:ascii="仿宋_GB2312" w:hAnsi="仿宋_GB2312" w:eastAsia="仿宋_GB2312" w:cs="仿宋_GB2312"/>
          <w:color w:val="000000"/>
          <w:kern w:val="0"/>
          <w:sz w:val="32"/>
          <w:szCs w:val="32"/>
          <w:lang w:val="en-US" w:eastAsia="zh-CN"/>
        </w:rPr>
        <w:t>516.93万元，</w:t>
      </w:r>
      <w:r>
        <w:rPr>
          <w:rFonts w:ascii="仿宋_GB2312" w:hAnsi="仿宋_GB2312" w:eastAsia="仿宋_GB2312" w:cs="仿宋_GB2312"/>
          <w:color w:val="000000"/>
          <w:kern w:val="0"/>
          <w:sz w:val="32"/>
          <w:szCs w:val="32"/>
        </w:rPr>
        <w:t>与</w:t>
      </w:r>
      <w:r>
        <w:rPr>
          <w:rFonts w:hint="eastAsia" w:ascii="仿宋_GB2312" w:hAnsi="仿宋_GB2312" w:eastAsia="仿宋_GB2312" w:cs="仿宋_GB2312"/>
          <w:color w:val="000000"/>
          <w:kern w:val="0"/>
          <w:sz w:val="32"/>
          <w:szCs w:val="32"/>
        </w:rPr>
        <w:t>上年</w:t>
      </w:r>
      <w:r>
        <w:rPr>
          <w:rFonts w:ascii="仿宋_GB2312" w:hAnsi="仿宋_GB2312" w:eastAsia="仿宋_GB2312" w:cs="仿宋_GB2312"/>
          <w:color w:val="000000"/>
          <w:kern w:val="0"/>
          <w:sz w:val="32"/>
          <w:szCs w:val="32"/>
        </w:rPr>
        <w:t>相比，财政拨款支出</w:t>
      </w:r>
      <w:r>
        <w:rPr>
          <w:rFonts w:hint="eastAsia" w:ascii="仿宋_GB2312" w:hAnsi="仿宋_GB2312" w:eastAsia="仿宋_GB2312" w:cs="仿宋_GB2312"/>
          <w:color w:val="000000"/>
          <w:kern w:val="0"/>
          <w:sz w:val="32"/>
          <w:szCs w:val="32"/>
        </w:rPr>
        <w:t>减少</w:t>
      </w:r>
      <w:r>
        <w:rPr>
          <w:rFonts w:hint="eastAsia" w:ascii="仿宋_GB2312" w:hAnsi="仿宋_GB2312" w:eastAsia="仿宋_GB2312" w:cs="仿宋_GB2312"/>
          <w:color w:val="000000"/>
          <w:kern w:val="0"/>
          <w:sz w:val="32"/>
          <w:szCs w:val="32"/>
          <w:lang w:val="en-US" w:eastAsia="zh-CN"/>
        </w:rPr>
        <w:t>57.33</w:t>
      </w:r>
      <w:r>
        <w:rPr>
          <w:rFonts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rPr>
        <w:t>减少</w:t>
      </w:r>
      <w:r>
        <w:rPr>
          <w:rFonts w:hint="eastAsia" w:ascii="仿宋_GB2312" w:hAnsi="仿宋_GB2312" w:eastAsia="仿宋_GB2312" w:cs="仿宋_GB2312"/>
          <w:color w:val="000000"/>
          <w:kern w:val="0"/>
          <w:sz w:val="32"/>
          <w:szCs w:val="32"/>
          <w:lang w:val="en-US" w:eastAsia="zh-CN"/>
        </w:rPr>
        <w:t>11</w:t>
      </w:r>
      <w:r>
        <w:rPr>
          <w:rFonts w:ascii="仿宋_GB2312" w:hAnsi="仿宋_GB2312" w:eastAsia="仿宋_GB2312" w:cs="仿宋_GB2312"/>
          <w:color w:val="000000"/>
          <w:kern w:val="0"/>
          <w:sz w:val="32"/>
          <w:szCs w:val="32"/>
        </w:rPr>
        <w:t>%，主</w:t>
      </w:r>
      <w:r>
        <w:rPr>
          <w:rFonts w:hint="eastAsia" w:ascii="仿宋_GB2312" w:hAnsi="仿宋_GB2312" w:eastAsia="仿宋_GB2312" w:cs="仿宋_GB2312"/>
          <w:color w:val="000000"/>
          <w:kern w:val="0"/>
          <w:sz w:val="32"/>
          <w:szCs w:val="32"/>
          <w:lang w:val="en-US" w:eastAsia="zh-CN"/>
        </w:rPr>
        <w:t>要原因是司法体制改革以来单位职能及构成发生变化，以及</w:t>
      </w:r>
      <w:r>
        <w:rPr>
          <w:rFonts w:hint="eastAsia" w:ascii="仿宋_GB2312" w:hAnsi="仿宋_GB2312" w:eastAsia="仿宋_GB2312" w:cs="仿宋_GB2312"/>
          <w:color w:val="000000"/>
          <w:kern w:val="0"/>
          <w:sz w:val="32"/>
          <w:szCs w:val="32"/>
          <w:lang w:val="zh-CN" w:eastAsia="zh-CN"/>
        </w:rPr>
        <w:t>人员调整等所造成的单位经费变化。</w:t>
      </w:r>
    </w:p>
    <w:p>
      <w:pPr>
        <w:widowControl/>
        <w:jc w:val="left"/>
        <w:rPr>
          <w:rFonts w:hint="eastAsia" w:ascii="仿宋_GB2312" w:hAnsi="宋体" w:eastAsia="仿宋_GB2312" w:cs="仿宋_GB2312"/>
          <w:color w:val="000000"/>
          <w:kern w:val="0"/>
          <w:sz w:val="32"/>
          <w:szCs w:val="32"/>
          <w:lang w:val="zh-CN" w:eastAsia="zh-CN"/>
        </w:rPr>
      </w:pPr>
      <w:r>
        <w:rPr>
          <w:rFonts w:hint="eastAsia" w:ascii="仿宋_GB2312" w:hAnsi="宋体" w:eastAsia="仿宋_GB2312" w:cs="仿宋_GB2312"/>
          <w:color w:val="000000"/>
          <w:kern w:val="0"/>
          <w:sz w:val="32"/>
          <w:szCs w:val="32"/>
          <w:lang w:val="en-US" w:eastAsia="zh-CN"/>
        </w:rPr>
        <w:t xml:space="preserve">          </w:t>
      </w:r>
      <w:r>
        <w:rPr>
          <w:rFonts w:hint="eastAsia" w:ascii="仿宋_GB2312" w:hAnsi="宋体" w:eastAsia="仿宋_GB2312" w:cs="仿宋_GB2312"/>
          <w:color w:val="000000"/>
          <w:kern w:val="0"/>
          <w:sz w:val="32"/>
          <w:szCs w:val="32"/>
          <w:lang w:val="zh-CN" w:eastAsia="zh-CN"/>
        </w:rPr>
        <w:drawing>
          <wp:inline distT="0" distB="0" distL="114300" distR="114300">
            <wp:extent cx="3775710" cy="2505075"/>
            <wp:effectExtent l="4445" t="4445" r="10795" b="50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2019 年财政拨款支出决算为</w:t>
      </w:r>
      <w:r>
        <w:rPr>
          <w:rFonts w:hint="eastAsia" w:ascii="仿宋_GB2312" w:hAnsi="仿宋_GB2312" w:eastAsia="仿宋_GB2312" w:cs="仿宋_GB2312"/>
          <w:color w:val="000000"/>
          <w:kern w:val="0"/>
          <w:sz w:val="32"/>
          <w:szCs w:val="32"/>
          <w:lang w:val="en-US" w:eastAsia="zh-CN"/>
        </w:rPr>
        <w:t>459.60</w:t>
      </w:r>
      <w:r>
        <w:rPr>
          <w:rFonts w:ascii="仿宋_GB2312" w:hAnsi="仿宋_GB2312" w:eastAsia="仿宋_GB2312" w:cs="仿宋_GB2312"/>
          <w:color w:val="000000"/>
          <w:kern w:val="0"/>
          <w:sz w:val="32"/>
          <w:szCs w:val="32"/>
        </w:rPr>
        <w:t>万元，完成年初预算的</w:t>
      </w:r>
      <w:r>
        <w:rPr>
          <w:rFonts w:hint="eastAsia" w:ascii="仿宋_GB2312" w:hAnsi="仿宋_GB2312" w:eastAsia="仿宋_GB2312" w:cs="仿宋_GB2312"/>
          <w:color w:val="000000"/>
          <w:kern w:val="0"/>
          <w:sz w:val="32"/>
          <w:szCs w:val="32"/>
          <w:lang w:val="en-US" w:eastAsia="zh-CN"/>
        </w:rPr>
        <w:t>100</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按照政府功能分类科目，</w:t>
      </w:r>
      <w:r>
        <w:rPr>
          <w:rFonts w:ascii="仿宋_GB2312" w:hAnsi="仿宋_GB2312" w:eastAsia="仿宋_GB2312" w:cs="仿宋_GB2312"/>
          <w:color w:val="000000"/>
          <w:kern w:val="0"/>
          <w:sz w:val="32"/>
          <w:szCs w:val="32"/>
        </w:rPr>
        <w:t>其中： 1</w:t>
      </w:r>
      <w:r>
        <w:rPr>
          <w:rFonts w:hint="eastAsia" w:ascii="仿宋_GB2312" w:hAnsi="仿宋_GB2312" w:eastAsia="仿宋_GB2312" w:cs="仿宋_GB2312"/>
          <w:color w:val="000000"/>
          <w:kern w:val="0"/>
          <w:sz w:val="32"/>
          <w:szCs w:val="32"/>
          <w:lang w:eastAsia="zh-CN"/>
        </w:rPr>
        <w:t>、</w:t>
      </w:r>
      <w:r>
        <w:rPr>
          <w:rFonts w:ascii="仿宋_GB2312" w:hAnsi="仿宋_GB2312" w:eastAsia="仿宋_GB2312" w:cs="仿宋_GB2312"/>
          <w:color w:val="000000"/>
          <w:kern w:val="0"/>
          <w:sz w:val="32"/>
          <w:szCs w:val="32"/>
        </w:rPr>
        <w:t>一般公共服务支出</w:t>
      </w:r>
      <w:r>
        <w:rPr>
          <w:rFonts w:hint="eastAsia" w:ascii="仿宋_GB2312" w:hAnsi="仿宋_GB2312" w:eastAsia="仿宋_GB2312" w:cs="仿宋_GB2312"/>
          <w:color w:val="000000"/>
          <w:kern w:val="0"/>
          <w:sz w:val="32"/>
          <w:szCs w:val="32"/>
          <w:lang w:val="en-US" w:eastAsia="zh-CN"/>
        </w:rPr>
        <w:t>0.75万元；占总支出0.16%；2、公共安全支出408.85万元，点总支出88.96%；社会保障和就业支出31.66万元，占总支出6.89%；3、卫生健康支出9.13万元，占总支出1.98%；住房保障支出9.21万元，占总支出2%</w:t>
      </w:r>
      <w:r>
        <w:rPr>
          <w:rFonts w:ascii="仿宋_GB2312" w:hAnsi="仿宋_GB2312" w:eastAsia="仿宋_GB2312" w:cs="仿宋_GB2312"/>
          <w:color w:val="000000"/>
          <w:kern w:val="0"/>
          <w:sz w:val="32"/>
          <w:szCs w:val="32"/>
        </w:rPr>
        <w:t>。</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pPr>
        <w:widowControl/>
        <w:ind w:firstLine="640" w:firstLineChars="200"/>
        <w:jc w:val="left"/>
      </w:pPr>
      <w:r>
        <w:rPr>
          <w:rFonts w:ascii="仿宋_GB2312" w:hAnsi="仿宋_GB2312" w:eastAsia="仿宋_GB2312" w:cs="仿宋_GB2312"/>
          <w:color w:val="000000"/>
          <w:kern w:val="0"/>
          <w:sz w:val="32"/>
          <w:szCs w:val="32"/>
        </w:rPr>
        <w:t>201</w:t>
      </w:r>
      <w:r>
        <w:rPr>
          <w:rFonts w:hint="eastAsia" w:ascii="仿宋_GB2312" w:hAnsi="仿宋_GB2312" w:eastAsia="仿宋_GB2312" w:cs="仿宋_GB2312"/>
          <w:color w:val="000000"/>
          <w:kern w:val="0"/>
          <w:sz w:val="32"/>
          <w:szCs w:val="32"/>
        </w:rPr>
        <w:t>9</w:t>
      </w:r>
      <w:r>
        <w:rPr>
          <w:rFonts w:ascii="仿宋_GB2312" w:hAnsi="仿宋_GB2312" w:eastAsia="仿宋_GB2312" w:cs="仿宋_GB2312"/>
          <w:color w:val="000000"/>
          <w:kern w:val="0"/>
          <w:sz w:val="32"/>
          <w:szCs w:val="32"/>
        </w:rPr>
        <w:t>年一般公共预算财政拨款基本支出</w:t>
      </w:r>
      <w:r>
        <w:rPr>
          <w:rFonts w:hint="eastAsia" w:ascii="仿宋_GB2312" w:hAnsi="仿宋_GB2312" w:eastAsia="仿宋_GB2312" w:cs="仿宋_GB2312"/>
          <w:color w:val="000000"/>
          <w:kern w:val="0"/>
          <w:sz w:val="32"/>
          <w:szCs w:val="32"/>
          <w:lang w:val="en-US" w:eastAsia="zh-CN"/>
        </w:rPr>
        <w:t>289.60</w:t>
      </w:r>
      <w:r>
        <w:rPr>
          <w:rFonts w:ascii="仿宋_GB2312" w:hAnsi="仿宋_GB2312" w:eastAsia="仿宋_GB2312" w:cs="仿宋_GB2312"/>
          <w:color w:val="000000"/>
          <w:kern w:val="0"/>
          <w:sz w:val="32"/>
          <w:szCs w:val="32"/>
        </w:rPr>
        <w:t>万元，包括：人员经费支出</w:t>
      </w:r>
      <w:r>
        <w:rPr>
          <w:rFonts w:hint="eastAsia" w:ascii="仿宋_GB2312" w:hAnsi="仿宋_GB2312" w:eastAsia="仿宋_GB2312" w:cs="仿宋_GB2312"/>
          <w:color w:val="000000"/>
          <w:kern w:val="0"/>
          <w:sz w:val="32"/>
          <w:szCs w:val="32"/>
          <w:lang w:val="en-US" w:eastAsia="zh-CN"/>
        </w:rPr>
        <w:t>251.71</w:t>
      </w:r>
      <w:r>
        <w:rPr>
          <w:rFonts w:ascii="仿宋_GB2312" w:hAnsi="仿宋_GB2312" w:eastAsia="仿宋_GB2312" w:cs="仿宋_GB2312"/>
          <w:color w:val="000000"/>
          <w:kern w:val="0"/>
          <w:sz w:val="32"/>
          <w:szCs w:val="32"/>
        </w:rPr>
        <w:t>万元和公用经费支出</w:t>
      </w:r>
      <w:r>
        <w:rPr>
          <w:rFonts w:hint="eastAsia" w:ascii="仿宋_GB2312" w:hAnsi="仿宋_GB2312" w:eastAsia="仿宋_GB2312" w:cs="仿宋_GB2312"/>
          <w:color w:val="000000"/>
          <w:kern w:val="0"/>
          <w:sz w:val="32"/>
          <w:szCs w:val="32"/>
          <w:lang w:val="en-US" w:eastAsia="zh-CN"/>
        </w:rPr>
        <w:t>37.90</w:t>
      </w:r>
      <w:r>
        <w:rPr>
          <w:rFonts w:ascii="仿宋_GB2312" w:hAnsi="仿宋_GB2312" w:eastAsia="仿宋_GB2312" w:cs="仿宋_GB2312"/>
          <w:color w:val="000000"/>
          <w:kern w:val="0"/>
          <w:sz w:val="32"/>
          <w:szCs w:val="32"/>
        </w:rPr>
        <w:t>万元。</w:t>
      </w:r>
      <w:r>
        <w:rPr>
          <w:rFonts w:hint="eastAsia" w:ascii="仿宋_GB2312" w:hAnsi="宋体" w:eastAsia="仿宋_GB2312" w:cs="仿宋_GB2312"/>
          <w:b w:val="0"/>
          <w:bCs w:val="0"/>
          <w:color w:val="000000"/>
          <w:kern w:val="0"/>
          <w:sz w:val="32"/>
          <w:szCs w:val="32"/>
          <w:lang w:eastAsia="zh-CN"/>
        </w:rPr>
        <w:t>其中：</w:t>
      </w:r>
      <w:r>
        <w:rPr>
          <w:rFonts w:ascii="仿宋_GB2312" w:hAnsi="宋体" w:eastAsia="仿宋_GB2312" w:cs="仿宋_GB2312"/>
          <w:b w:val="0"/>
          <w:bCs w:val="0"/>
          <w:color w:val="000000"/>
          <w:kern w:val="0"/>
          <w:sz w:val="32"/>
          <w:szCs w:val="32"/>
        </w:rPr>
        <w:t>人员经费</w:t>
      </w:r>
      <w:r>
        <w:rPr>
          <w:rFonts w:hint="eastAsia" w:ascii="仿宋_GB2312" w:hAnsi="宋体" w:eastAsia="仿宋_GB2312" w:cs="仿宋_GB2312"/>
          <w:color w:val="000000"/>
          <w:kern w:val="0"/>
          <w:sz w:val="32"/>
          <w:szCs w:val="32"/>
          <w:lang w:val="en-US" w:eastAsia="zh-CN"/>
        </w:rPr>
        <w:t>251.71</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lang w:eastAsia="zh-CN"/>
        </w:rPr>
        <w:t>人员基本工资</w:t>
      </w:r>
      <w:r>
        <w:rPr>
          <w:rFonts w:hint="eastAsia" w:ascii="仿宋_GB2312" w:hAnsi="宋体" w:eastAsia="仿宋_GB2312" w:cs="仿宋_GB2312"/>
          <w:color w:val="000000"/>
          <w:kern w:val="0"/>
          <w:sz w:val="32"/>
          <w:szCs w:val="32"/>
          <w:lang w:val="en-US" w:eastAsia="zh-CN"/>
        </w:rPr>
        <w:t>94.79万元、津贴补贴106.16万元、公务员资金0.75万元、机关事业单位基本养老保险缴费30.92万元、职业年金缴费0.74万元、职工基本医疗保险9.13万元、住房公积金9.21万元。</w:t>
      </w:r>
      <w:r>
        <w:rPr>
          <w:rFonts w:ascii="仿宋_GB2312" w:hAnsi="宋体" w:eastAsia="仿宋_GB2312" w:cs="仿宋_GB2312"/>
          <w:b w:val="0"/>
          <w:bCs w:val="0"/>
          <w:color w:val="000000"/>
          <w:kern w:val="0"/>
          <w:sz w:val="32"/>
          <w:szCs w:val="32"/>
        </w:rPr>
        <w:t>公用经费</w:t>
      </w:r>
      <w:r>
        <w:rPr>
          <w:rFonts w:hint="eastAsia" w:ascii="仿宋_GB2312" w:hAnsi="宋体" w:eastAsia="仿宋_GB2312" w:cs="仿宋_GB2312"/>
          <w:color w:val="000000"/>
          <w:kern w:val="0"/>
          <w:sz w:val="32"/>
          <w:szCs w:val="32"/>
          <w:lang w:val="en-US" w:eastAsia="zh-CN"/>
        </w:rPr>
        <w:t>37.90</w:t>
      </w:r>
      <w:r>
        <w:rPr>
          <w:rFonts w:ascii="仿宋_GB2312" w:hAnsi="宋体" w:eastAsia="仿宋_GB2312" w:cs="仿宋_GB2312"/>
          <w:color w:val="000000"/>
          <w:kern w:val="0"/>
          <w:sz w:val="32"/>
          <w:szCs w:val="32"/>
        </w:rPr>
        <w:t>万元，主要包括办公费</w:t>
      </w:r>
      <w:r>
        <w:rPr>
          <w:rFonts w:hint="eastAsia" w:ascii="仿宋_GB2312" w:hAnsi="宋体" w:eastAsia="仿宋_GB2312" w:cs="仿宋_GB2312"/>
          <w:color w:val="000000"/>
          <w:kern w:val="0"/>
          <w:sz w:val="32"/>
          <w:szCs w:val="32"/>
          <w:lang w:val="en-US" w:eastAsia="zh-CN"/>
        </w:rPr>
        <w:t>8.5</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、印刷费</w:t>
      </w:r>
      <w:r>
        <w:rPr>
          <w:rFonts w:hint="eastAsia" w:ascii="仿宋_GB2312" w:hAnsi="宋体" w:eastAsia="仿宋_GB2312" w:cs="仿宋_GB2312"/>
          <w:color w:val="000000"/>
          <w:kern w:val="0"/>
          <w:sz w:val="32"/>
          <w:szCs w:val="32"/>
          <w:lang w:val="en-US" w:eastAsia="zh-CN"/>
        </w:rPr>
        <w:t>9万元、邮电费1.5万元、差旅费3.4万元、维修（护）费6万元、培训费2万元、工会经费6万元、其他商品和服务支出1.5万元。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40" w:firstLineChars="200"/>
        <w:jc w:val="left"/>
        <w:rPr>
          <w:rFonts w:hint="default" w:ascii="仿宋_GB2312" w:hAnsi="宋体" w:eastAsia="仿宋_GB2312" w:cs="仿宋_GB2312"/>
          <w:color w:val="000000"/>
          <w:kern w:val="0"/>
          <w:sz w:val="32"/>
          <w:szCs w:val="32"/>
          <w:lang w:val="en-US" w:eastAsia="zh-CN"/>
        </w:rPr>
      </w:pPr>
      <w:r>
        <w:rPr>
          <w:rFonts w:ascii="仿宋_GB2312" w:hAnsi="仿宋_GB2312" w:eastAsia="仿宋_GB2312" w:cs="仿宋_GB2312"/>
          <w:color w:val="000000"/>
          <w:kern w:val="0"/>
          <w:sz w:val="32"/>
          <w:szCs w:val="32"/>
        </w:rPr>
        <w:t>2019年“三公”经费财政拨款支出预算为</w:t>
      </w:r>
      <w:r>
        <w:rPr>
          <w:rFonts w:hint="eastAsia" w:ascii="仿宋_GB2312" w:hAnsi="仿宋_GB2312" w:eastAsia="仿宋_GB2312" w:cs="仿宋_GB2312"/>
          <w:color w:val="000000"/>
          <w:kern w:val="0"/>
          <w:sz w:val="32"/>
          <w:szCs w:val="32"/>
          <w:lang w:val="en-US" w:eastAsia="zh-CN"/>
        </w:rPr>
        <w:t>22.30</w:t>
      </w:r>
      <w:r>
        <w:rPr>
          <w:rFonts w:ascii="仿宋_GB2312" w:hAnsi="仿宋_GB2312" w:eastAsia="仿宋_GB2312" w:cs="仿宋_GB2312"/>
          <w:color w:val="000000"/>
          <w:kern w:val="0"/>
          <w:sz w:val="32"/>
          <w:szCs w:val="32"/>
        </w:rPr>
        <w:t>万元，支出决算为</w:t>
      </w:r>
      <w:r>
        <w:rPr>
          <w:rFonts w:hint="eastAsia" w:ascii="仿宋_GB2312" w:hAnsi="仿宋_GB2312" w:eastAsia="仿宋_GB2312" w:cs="仿宋_GB2312"/>
          <w:color w:val="000000"/>
          <w:kern w:val="0"/>
          <w:sz w:val="32"/>
          <w:szCs w:val="32"/>
          <w:lang w:val="en-US" w:eastAsia="zh-CN"/>
        </w:rPr>
        <w:t>22.30</w:t>
      </w:r>
      <w:r>
        <w:rPr>
          <w:rFonts w:ascii="仿宋_GB2312" w:hAnsi="仿宋_GB2312" w:eastAsia="仿宋_GB2312" w:cs="仿宋_GB2312"/>
          <w:color w:val="000000"/>
          <w:kern w:val="0"/>
          <w:sz w:val="32"/>
          <w:szCs w:val="32"/>
        </w:rPr>
        <w:t>万元，完成预算的</w:t>
      </w:r>
      <w:r>
        <w:rPr>
          <w:rFonts w:hint="eastAsia" w:ascii="仿宋_GB2312" w:hAnsi="仿宋_GB2312" w:eastAsia="仿宋_GB2312" w:cs="仿宋_GB2312"/>
          <w:color w:val="000000"/>
          <w:kern w:val="0"/>
          <w:sz w:val="32"/>
          <w:szCs w:val="32"/>
          <w:lang w:val="en-US" w:eastAsia="zh-CN"/>
        </w:rPr>
        <w:t>100</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其中：因</w:t>
      </w:r>
      <w:r>
        <w:rPr>
          <w:rFonts w:ascii="仿宋_GB2312" w:hAnsi="仿宋_GB2312" w:eastAsia="仿宋_GB2312" w:cs="仿宋_GB2312"/>
          <w:color w:val="000000"/>
          <w:kern w:val="0"/>
          <w:sz w:val="32"/>
          <w:szCs w:val="32"/>
        </w:rPr>
        <w:t>公出国（境）</w:t>
      </w:r>
      <w:r>
        <w:rPr>
          <w:rFonts w:hint="eastAsia" w:ascii="仿宋_GB2312" w:hAnsi="仿宋_GB2312" w:eastAsia="仿宋_GB2312" w:cs="仿宋_GB2312"/>
          <w:color w:val="000000"/>
          <w:kern w:val="0"/>
          <w:sz w:val="32"/>
          <w:szCs w:val="32"/>
        </w:rPr>
        <w:t>0.00元</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公务用车运行维护费</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en-US" w:eastAsia="zh-CN"/>
        </w:rPr>
        <w:t>1.5</w:t>
      </w:r>
      <w:r>
        <w:rPr>
          <w:rFonts w:hint="eastAsia" w:ascii="仿宋_GB2312" w:hAnsi="仿宋_GB2312" w:eastAsia="仿宋_GB2312" w:cs="仿宋_GB2312"/>
          <w:color w:val="000000"/>
          <w:kern w:val="0"/>
          <w:sz w:val="32"/>
          <w:szCs w:val="32"/>
        </w:rPr>
        <w:t>万元，公务接待:0.8万元。</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2019年“三公”经费财政拨款支出决算中，因公出国（境）费支出决算</w:t>
      </w:r>
      <w:r>
        <w:rPr>
          <w:rFonts w:hint="eastAsia" w:ascii="仿宋_GB2312" w:hAnsi="仿宋_GB2312" w:eastAsia="仿宋_GB2312" w:cs="仿宋_GB2312"/>
          <w:color w:val="000000"/>
          <w:kern w:val="0"/>
          <w:sz w:val="32"/>
          <w:szCs w:val="32"/>
          <w:lang w:val="en-US" w:eastAsia="zh-CN"/>
        </w:rPr>
        <w:t>0.00</w:t>
      </w:r>
      <w:r>
        <w:rPr>
          <w:rFonts w:ascii="仿宋_GB2312" w:hAnsi="仿宋_GB2312" w:eastAsia="仿宋_GB2312" w:cs="仿宋_GB2312"/>
          <w:color w:val="000000"/>
          <w:kern w:val="0"/>
          <w:sz w:val="32"/>
          <w:szCs w:val="32"/>
        </w:rPr>
        <w:t>万元；公务用车运行</w:t>
      </w:r>
      <w:r>
        <w:rPr>
          <w:rFonts w:hint="eastAsia" w:ascii="仿宋_GB2312" w:hAnsi="仿宋_GB2312" w:eastAsia="仿宋_GB2312" w:cs="仿宋_GB2312"/>
          <w:color w:val="000000"/>
          <w:kern w:val="0"/>
          <w:sz w:val="32"/>
          <w:szCs w:val="32"/>
        </w:rPr>
        <w:t>维护</w:t>
      </w:r>
      <w:r>
        <w:rPr>
          <w:rFonts w:ascii="仿宋_GB2312" w:hAnsi="仿宋_GB2312" w:eastAsia="仿宋_GB2312" w:cs="仿宋_GB2312"/>
          <w:color w:val="000000"/>
          <w:kern w:val="0"/>
          <w:sz w:val="32"/>
          <w:szCs w:val="32"/>
        </w:rPr>
        <w:t>费支出决算</w:t>
      </w:r>
      <w:r>
        <w:rPr>
          <w:rFonts w:hint="eastAsia" w:ascii="仿宋_GB2312" w:hAnsi="仿宋_GB2312" w:eastAsia="仿宋_GB2312" w:cs="仿宋_GB2312"/>
          <w:color w:val="000000"/>
          <w:kern w:val="0"/>
          <w:sz w:val="32"/>
          <w:szCs w:val="32"/>
          <w:lang w:val="en-US" w:eastAsia="zh-CN"/>
        </w:rPr>
        <w:t>21.5</w:t>
      </w:r>
      <w:r>
        <w:rPr>
          <w:rFonts w:ascii="仿宋_GB2312" w:hAnsi="仿宋_GB2312" w:eastAsia="仿宋_GB2312" w:cs="仿宋_GB2312"/>
          <w:color w:val="000000"/>
          <w:kern w:val="0"/>
          <w:sz w:val="32"/>
          <w:szCs w:val="32"/>
        </w:rPr>
        <w:t>万元；公务接待费支出决算</w:t>
      </w:r>
      <w:r>
        <w:rPr>
          <w:rFonts w:hint="eastAsia" w:ascii="仿宋_GB2312" w:hAnsi="仿宋_GB2312" w:eastAsia="仿宋_GB2312" w:cs="仿宋_GB2312"/>
          <w:color w:val="000000"/>
          <w:kern w:val="0"/>
          <w:sz w:val="32"/>
          <w:szCs w:val="32"/>
          <w:lang w:val="en-US" w:eastAsia="zh-CN"/>
        </w:rPr>
        <w:t>0.8</w:t>
      </w:r>
      <w:r>
        <w:rPr>
          <w:rFonts w:ascii="仿宋_GB2312" w:hAnsi="仿宋_GB2312" w:eastAsia="仿宋_GB2312" w:cs="仿宋_GB2312"/>
          <w:color w:val="000000"/>
          <w:kern w:val="0"/>
          <w:sz w:val="32"/>
          <w:szCs w:val="32"/>
        </w:rPr>
        <w:t>万元。具体情况如下：</w:t>
      </w:r>
    </w:p>
    <w:p>
      <w:pPr>
        <w:ind w:firstLine="643" w:firstLineChars="200"/>
        <w:rPr>
          <w:rFonts w:hint="eastAsia" w:ascii="仿宋_GB2312" w:hAnsi="仿宋" w:eastAsia="仿宋_GB2312"/>
          <w:b/>
          <w:bCs/>
          <w:sz w:val="32"/>
          <w:szCs w:val="32"/>
          <w:lang w:eastAsia="zh-CN"/>
        </w:rPr>
      </w:pPr>
      <w:r>
        <w:rPr>
          <w:rFonts w:hint="eastAsia" w:ascii="仿宋_GB2312" w:hAnsi="仿宋" w:eastAsia="仿宋_GB2312"/>
          <w:b/>
          <w:bCs/>
          <w:sz w:val="32"/>
          <w:szCs w:val="32"/>
          <w:lang w:val="en-US" w:eastAsia="zh-CN"/>
        </w:rPr>
        <w:t xml:space="preserve">            </w:t>
      </w:r>
      <w:r>
        <w:rPr>
          <w:rFonts w:hint="eastAsia" w:ascii="仿宋_GB2312" w:hAnsi="仿宋" w:eastAsia="仿宋_GB2312"/>
          <w:b/>
          <w:bCs/>
          <w:sz w:val="32"/>
          <w:szCs w:val="32"/>
          <w:lang w:eastAsia="zh-CN"/>
        </w:rPr>
        <w:drawing>
          <wp:inline distT="0" distB="0" distL="114300" distR="114300">
            <wp:extent cx="2651125" cy="1972310"/>
            <wp:effectExtent l="5080" t="4445" r="10795" b="2349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643" w:firstLineChars="200"/>
        <w:rPr>
          <w:rFonts w:hint="eastAsia" w:ascii="仿宋_GB2312" w:hAnsi="仿宋" w:eastAsia="仿宋_GB2312"/>
          <w:b/>
          <w:bCs/>
          <w:sz w:val="32"/>
          <w:szCs w:val="32"/>
        </w:rPr>
      </w:pPr>
    </w:p>
    <w:p>
      <w:pPr>
        <w:ind w:firstLine="643" w:firstLineChars="200"/>
        <w:rPr>
          <w:rFonts w:hint="eastAsia" w:ascii="仿宋_GB2312" w:hAnsi="仿宋" w:eastAsia="仿宋_GB2312"/>
          <w:b/>
          <w:bCs/>
          <w:sz w:val="32"/>
          <w:szCs w:val="32"/>
        </w:rPr>
      </w:pPr>
    </w:p>
    <w:p>
      <w:pPr>
        <w:ind w:firstLine="643" w:firstLineChars="200"/>
        <w:rPr>
          <w:rFonts w:hint="eastAsia" w:ascii="仿宋_GB2312" w:hAnsi="仿宋" w:eastAsia="仿宋_GB2312"/>
          <w:b/>
          <w:bCs/>
          <w:sz w:val="32"/>
          <w:szCs w:val="32"/>
        </w:rPr>
      </w:pP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w:t>
      </w:r>
      <w:r>
        <w:rPr>
          <w:rFonts w:hint="eastAsia" w:ascii="仿宋_GB2312" w:hAnsi="仿宋" w:eastAsia="仿宋_GB2312"/>
          <w:sz w:val="32"/>
          <w:szCs w:val="32"/>
          <w:lang w:eastAsia="zh-CN"/>
        </w:rPr>
        <w:t>单位无</w:t>
      </w:r>
      <w:r>
        <w:rPr>
          <w:rFonts w:hint="eastAsia" w:ascii="仿宋_GB2312" w:hAnsi="仿宋" w:eastAsia="仿宋_GB2312"/>
          <w:sz w:val="32"/>
          <w:szCs w:val="32"/>
        </w:rPr>
        <w:t>因公出国（境）</w:t>
      </w:r>
      <w:r>
        <w:rPr>
          <w:rFonts w:hint="eastAsia" w:ascii="仿宋_GB2312" w:hAnsi="仿宋" w:eastAsia="仿宋_GB2312"/>
          <w:sz w:val="32"/>
          <w:szCs w:val="32"/>
          <w:lang w:eastAsia="zh-CN"/>
        </w:rPr>
        <w:t>情况</w:t>
      </w:r>
      <w:r>
        <w:rPr>
          <w:rFonts w:hint="eastAsia" w:ascii="仿宋_GB2312" w:hAnsi="宋体" w:eastAsia="仿宋_GB2312" w:cs="仿宋_GB2312"/>
          <w:color w:val="000000"/>
          <w:kern w:val="0"/>
          <w:sz w:val="32"/>
          <w:szCs w:val="32"/>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w:t>
      </w:r>
      <w:r>
        <w:rPr>
          <w:rFonts w:hint="eastAsia" w:ascii="仿宋_GB2312" w:hAnsi="仿宋" w:eastAsia="仿宋_GB2312"/>
          <w:sz w:val="32"/>
          <w:szCs w:val="32"/>
          <w:lang w:eastAsia="zh-CN"/>
        </w:rPr>
        <w:t>我单位未</w:t>
      </w:r>
      <w:r>
        <w:rPr>
          <w:rFonts w:hint="eastAsia" w:ascii="仿宋_GB2312" w:hAnsi="仿宋" w:eastAsia="仿宋_GB2312"/>
          <w:sz w:val="32"/>
          <w:szCs w:val="32"/>
        </w:rPr>
        <w:t>购置车辆</w:t>
      </w:r>
      <w:r>
        <w:rPr>
          <w:rFonts w:hint="eastAsia" w:ascii="仿宋_GB2312" w:hAnsi="宋体" w:eastAsia="仿宋_GB2312" w:cs="仿宋_GB2312"/>
          <w:color w:val="000000"/>
          <w:kern w:val="0"/>
          <w:sz w:val="32"/>
          <w:szCs w:val="32"/>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ind w:firstLine="640" w:firstLineChars="200"/>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21.5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21.5</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hint="eastAsia" w:ascii="仿宋_GB2312" w:hAnsi="宋体" w:eastAsia="仿宋_GB2312" w:cs="仿宋_GB2312"/>
          <w:color w:val="000000"/>
          <w:kern w:val="0"/>
          <w:sz w:val="32"/>
          <w:szCs w:val="32"/>
        </w:rPr>
        <w:t>%， 主要为单位车辆运行维护所包括的燃料费、维修费、停车费、通行费、保险费、审验费等项目费用。</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shd w:val="clear" w:color="auto" w:fill="FFFFFF"/>
        <w:ind w:firstLine="480"/>
        <w:jc w:val="left"/>
        <w:rPr>
          <w:rFonts w:ascii="仿宋_GB2312" w:hAnsi="宋体" w:eastAsia="仿宋_GB2312" w:cs="仿宋_GB2312"/>
          <w:color w:val="auto"/>
          <w:kern w:val="0"/>
          <w:sz w:val="32"/>
          <w:szCs w:val="32"/>
        </w:rPr>
      </w:pPr>
      <w:r>
        <w:rPr>
          <w:rFonts w:hint="eastAsia" w:ascii="仿宋_GB2312" w:hAnsi="仿宋" w:eastAsia="仿宋_GB2312"/>
          <w:color w:val="auto"/>
          <w:sz w:val="32"/>
          <w:szCs w:val="32"/>
        </w:rPr>
        <w:t>2019年公务接待</w:t>
      </w:r>
      <w:r>
        <w:rPr>
          <w:rFonts w:ascii="仿宋_GB2312" w:hAnsi="宋体" w:eastAsia="仿宋_GB2312" w:cs="仿宋_GB2312"/>
          <w:color w:val="auto"/>
          <w:kern w:val="0"/>
          <w:sz w:val="32"/>
          <w:szCs w:val="32"/>
        </w:rPr>
        <w:t>预算为</w:t>
      </w:r>
      <w:r>
        <w:rPr>
          <w:rFonts w:hint="eastAsia" w:ascii="仿宋_GB2312" w:hAnsi="宋体" w:eastAsia="仿宋_GB2312" w:cs="仿宋_GB2312"/>
          <w:color w:val="auto"/>
          <w:kern w:val="0"/>
          <w:sz w:val="32"/>
          <w:szCs w:val="32"/>
          <w:lang w:val="en-US" w:eastAsia="zh-CN"/>
        </w:rPr>
        <w:t>0.8</w:t>
      </w:r>
      <w:r>
        <w:rPr>
          <w:rFonts w:ascii="仿宋_GB2312" w:hAnsi="宋体" w:eastAsia="仿宋_GB2312" w:cs="仿宋_GB2312"/>
          <w:color w:val="auto"/>
          <w:kern w:val="0"/>
          <w:sz w:val="32"/>
          <w:szCs w:val="32"/>
        </w:rPr>
        <w:t>万元，支出决算为</w:t>
      </w:r>
      <w:r>
        <w:rPr>
          <w:rFonts w:hint="eastAsia" w:ascii="仿宋_GB2312" w:hAnsi="宋体" w:eastAsia="仿宋_GB2312" w:cs="仿宋_GB2312"/>
          <w:color w:val="auto"/>
          <w:kern w:val="0"/>
          <w:sz w:val="32"/>
          <w:szCs w:val="32"/>
          <w:lang w:val="en-US" w:eastAsia="zh-CN"/>
        </w:rPr>
        <w:t>0.8</w:t>
      </w:r>
      <w:r>
        <w:rPr>
          <w:rFonts w:ascii="仿宋_GB2312" w:hAnsi="宋体" w:eastAsia="仿宋_GB2312" w:cs="仿宋_GB2312"/>
          <w:color w:val="auto"/>
          <w:kern w:val="0"/>
          <w:sz w:val="32"/>
          <w:szCs w:val="32"/>
        </w:rPr>
        <w:t>万元</w:t>
      </w:r>
      <w:r>
        <w:rPr>
          <w:rFonts w:hint="eastAsia" w:ascii="仿宋_GB2312" w:hAnsi="宋体" w:eastAsia="仿宋_GB2312" w:cs="仿宋_GB2312"/>
          <w:color w:val="auto"/>
          <w:kern w:val="0"/>
          <w:sz w:val="32"/>
          <w:szCs w:val="32"/>
          <w:lang w:eastAsia="zh-CN"/>
        </w:rPr>
        <w:t>，</w:t>
      </w:r>
      <w:r>
        <w:rPr>
          <w:rFonts w:ascii="仿宋_GB2312" w:hAnsi="宋体" w:eastAsia="仿宋_GB2312" w:cs="仿宋_GB2312"/>
          <w:color w:val="auto"/>
          <w:kern w:val="0"/>
          <w:sz w:val="32"/>
          <w:szCs w:val="32"/>
        </w:rPr>
        <w:t>完成预算的</w:t>
      </w:r>
      <w:r>
        <w:rPr>
          <w:rFonts w:hint="eastAsia" w:ascii="仿宋_GB2312" w:hAnsi="宋体" w:eastAsia="仿宋_GB2312" w:cs="仿宋_GB2312"/>
          <w:color w:val="auto"/>
          <w:kern w:val="0"/>
          <w:sz w:val="32"/>
          <w:szCs w:val="32"/>
          <w:lang w:val="en-US" w:eastAsia="zh-CN"/>
        </w:rPr>
        <w:t>100</w:t>
      </w:r>
      <w:r>
        <w:rPr>
          <w:rFonts w:hint="eastAsia" w:ascii="仿宋_GB2312" w:hAnsi="宋体" w:eastAsia="仿宋_GB2312" w:cs="仿宋_GB2312"/>
          <w:color w:val="auto"/>
          <w:kern w:val="0"/>
          <w:sz w:val="32"/>
          <w:szCs w:val="32"/>
        </w:rPr>
        <w:t>%，</w:t>
      </w:r>
      <w:r>
        <w:rPr>
          <w:rFonts w:hint="eastAsia" w:ascii="仿宋_GB2312" w:hAnsi="宋体" w:eastAsia="仿宋_GB2312" w:cs="宋体"/>
          <w:color w:val="auto"/>
          <w:kern w:val="0"/>
          <w:sz w:val="32"/>
          <w:szCs w:val="32"/>
        </w:rPr>
        <w:t>主要用</w:t>
      </w:r>
      <w:r>
        <w:rPr>
          <w:rFonts w:ascii="仿宋_GB2312" w:hAnsi="宋体" w:eastAsia="仿宋_GB2312" w:cs="宋体"/>
          <w:color w:val="auto"/>
          <w:kern w:val="0"/>
          <w:sz w:val="32"/>
          <w:szCs w:val="32"/>
        </w:rPr>
        <w:t>于</w:t>
      </w:r>
      <w:r>
        <w:rPr>
          <w:rFonts w:hint="eastAsia" w:ascii="仿宋_GB2312" w:hAnsi="宋体" w:eastAsia="仿宋_GB2312" w:cs="宋体"/>
          <w:color w:val="auto"/>
          <w:kern w:val="0"/>
          <w:sz w:val="32"/>
          <w:szCs w:val="32"/>
        </w:rPr>
        <w:t>司法</w:t>
      </w:r>
      <w:r>
        <w:rPr>
          <w:rFonts w:hint="eastAsia" w:ascii="仿宋_GB2312" w:hAnsi="宋体" w:eastAsia="仿宋_GB2312" w:cs="宋体"/>
          <w:color w:val="auto"/>
          <w:kern w:val="0"/>
          <w:sz w:val="32"/>
          <w:szCs w:val="32"/>
          <w:lang w:eastAsia="zh-CN"/>
        </w:rPr>
        <w:t>行政工作</w:t>
      </w:r>
      <w:r>
        <w:rPr>
          <w:rFonts w:hint="eastAsia" w:ascii="仿宋_GB2312" w:hAnsi="宋体" w:eastAsia="仿宋_GB2312" w:cs="宋体"/>
          <w:color w:val="auto"/>
          <w:kern w:val="0"/>
          <w:sz w:val="32"/>
          <w:szCs w:val="32"/>
        </w:rPr>
        <w:t>中承担上级相关部门项目考察、交流、调研等接待</w:t>
      </w:r>
      <w:r>
        <w:rPr>
          <w:rFonts w:hint="eastAsia" w:ascii="仿宋_GB2312" w:hAnsi="宋体" w:eastAsia="仿宋_GB2312" w:cs="宋体"/>
          <w:color w:val="auto"/>
          <w:kern w:val="0"/>
          <w:sz w:val="32"/>
          <w:szCs w:val="32"/>
          <w:lang w:eastAsia="zh-CN"/>
        </w:rPr>
        <w:t>费用</w:t>
      </w:r>
      <w:r>
        <w:rPr>
          <w:rFonts w:hint="eastAsia" w:ascii="仿宋_GB2312" w:hAnsi="宋体" w:eastAsia="仿宋_GB2312" w:cs="宋体"/>
          <w:color w:val="auto"/>
          <w:kern w:val="0"/>
          <w:sz w:val="32"/>
          <w:szCs w:val="32"/>
        </w:rPr>
        <w:t>，以</w:t>
      </w:r>
      <w:r>
        <w:rPr>
          <w:rFonts w:ascii="仿宋_GB2312" w:hAnsi="宋体" w:eastAsia="仿宋_GB2312" w:cs="宋体"/>
          <w:color w:val="auto"/>
          <w:kern w:val="0"/>
          <w:sz w:val="32"/>
          <w:szCs w:val="32"/>
        </w:rPr>
        <w:t>及</w:t>
      </w:r>
      <w:r>
        <w:rPr>
          <w:rFonts w:hint="eastAsia" w:ascii="仿宋_GB2312" w:hAnsi="宋体" w:eastAsia="仿宋_GB2312" w:cs="宋体"/>
          <w:color w:val="auto"/>
          <w:kern w:val="0"/>
          <w:sz w:val="32"/>
          <w:szCs w:val="32"/>
        </w:rPr>
        <w:t>省市来眉县调研、考察</w:t>
      </w:r>
      <w:r>
        <w:rPr>
          <w:rFonts w:hint="eastAsia" w:ascii="仿宋_GB2312" w:hAnsi="宋体" w:eastAsia="仿宋_GB2312" w:cs="宋体"/>
          <w:color w:val="auto"/>
          <w:kern w:val="0"/>
          <w:sz w:val="32"/>
          <w:szCs w:val="32"/>
          <w:lang w:eastAsia="zh-CN"/>
        </w:rPr>
        <w:t>、检查</w:t>
      </w:r>
      <w:r>
        <w:rPr>
          <w:rFonts w:hint="eastAsia" w:ascii="仿宋_GB2312" w:hAnsi="宋体" w:eastAsia="仿宋_GB2312" w:cs="宋体"/>
          <w:color w:val="auto"/>
          <w:kern w:val="0"/>
          <w:sz w:val="32"/>
          <w:szCs w:val="32"/>
        </w:rPr>
        <w:t>司法行政业务工作所发生的接待费用。</w:t>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17.00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17.00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主要为政法系统干部学习培训支出。</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ascii="仿宋_GB2312" w:hAnsi="宋体" w:eastAsia="仿宋_GB2312" w:cs="仿宋_GB2312"/>
          <w:color w:val="auto"/>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8.00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8.00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hint="eastAsia" w:ascii="仿宋_GB2312" w:hAnsi="宋体" w:eastAsia="仿宋_GB2312" w:cs="宋体"/>
          <w:color w:val="auto"/>
          <w:kern w:val="0"/>
          <w:sz w:val="32"/>
          <w:szCs w:val="32"/>
        </w:rPr>
        <w:t>主要是司</w:t>
      </w:r>
      <w:r>
        <w:rPr>
          <w:rFonts w:ascii="仿宋_GB2312" w:hAnsi="宋体" w:eastAsia="仿宋_GB2312" w:cs="宋体"/>
          <w:color w:val="auto"/>
          <w:kern w:val="0"/>
          <w:sz w:val="32"/>
          <w:szCs w:val="32"/>
        </w:rPr>
        <w:t>法</w:t>
      </w:r>
      <w:r>
        <w:rPr>
          <w:rFonts w:hint="eastAsia" w:ascii="仿宋_GB2312" w:hAnsi="宋体" w:eastAsia="仿宋_GB2312" w:cs="宋体"/>
          <w:color w:val="auto"/>
          <w:kern w:val="0"/>
          <w:sz w:val="32"/>
          <w:szCs w:val="32"/>
          <w:lang w:eastAsia="zh-CN"/>
        </w:rPr>
        <w:t>行政工作中</w:t>
      </w:r>
      <w:r>
        <w:rPr>
          <w:rFonts w:ascii="仿宋_GB2312" w:hAnsi="宋体" w:eastAsia="仿宋_GB2312" w:cs="宋体"/>
          <w:color w:val="auto"/>
          <w:kern w:val="0"/>
          <w:sz w:val="32"/>
          <w:szCs w:val="32"/>
        </w:rPr>
        <w:t>的各项专题</w:t>
      </w:r>
      <w:r>
        <w:rPr>
          <w:rFonts w:hint="eastAsia" w:ascii="仿宋_GB2312" w:hAnsi="宋体" w:eastAsia="仿宋_GB2312" w:cs="宋体"/>
          <w:color w:val="auto"/>
          <w:kern w:val="0"/>
          <w:sz w:val="32"/>
          <w:szCs w:val="32"/>
        </w:rPr>
        <w:t>会</w:t>
      </w:r>
      <w:r>
        <w:rPr>
          <w:rFonts w:ascii="仿宋_GB2312" w:hAnsi="宋体" w:eastAsia="仿宋_GB2312" w:cs="宋体"/>
          <w:color w:val="auto"/>
          <w:kern w:val="0"/>
          <w:sz w:val="32"/>
          <w:szCs w:val="32"/>
        </w:rPr>
        <w:t>议的举办</w:t>
      </w:r>
      <w:r>
        <w:rPr>
          <w:rFonts w:hint="eastAsia" w:ascii="仿宋_GB2312" w:hAnsi="宋体" w:eastAsia="仿宋_GB2312" w:cs="宋体"/>
          <w:color w:val="auto"/>
          <w:kern w:val="0"/>
          <w:sz w:val="32"/>
          <w:szCs w:val="32"/>
        </w:rPr>
        <w:t>，</w:t>
      </w:r>
      <w:r>
        <w:rPr>
          <w:rFonts w:ascii="仿宋_GB2312" w:hAnsi="宋体" w:eastAsia="仿宋_GB2312" w:cs="宋体"/>
          <w:color w:val="auto"/>
          <w:kern w:val="0"/>
          <w:sz w:val="32"/>
          <w:szCs w:val="32"/>
        </w:rPr>
        <w:t>以及</w:t>
      </w:r>
      <w:r>
        <w:rPr>
          <w:rFonts w:hint="eastAsia" w:ascii="仿宋_GB2312" w:hAnsi="宋体" w:eastAsia="仿宋_GB2312" w:cs="宋体"/>
          <w:color w:val="auto"/>
          <w:kern w:val="0"/>
          <w:sz w:val="32"/>
          <w:szCs w:val="32"/>
        </w:rPr>
        <w:t>全县司法行政工作会、全县人民调解工作会、 “七五”普法</w:t>
      </w:r>
      <w:r>
        <w:rPr>
          <w:rFonts w:ascii="仿宋_GB2312" w:hAnsi="宋体" w:eastAsia="仿宋_GB2312" w:cs="宋体"/>
          <w:color w:val="auto"/>
          <w:kern w:val="0"/>
          <w:sz w:val="32"/>
          <w:szCs w:val="32"/>
        </w:rPr>
        <w:t>验</w:t>
      </w:r>
      <w:r>
        <w:rPr>
          <w:rFonts w:hint="eastAsia" w:ascii="仿宋_GB2312" w:hAnsi="宋体" w:eastAsia="仿宋_GB2312" w:cs="宋体"/>
          <w:color w:val="auto"/>
          <w:kern w:val="0"/>
          <w:sz w:val="32"/>
          <w:szCs w:val="32"/>
        </w:rPr>
        <w:t>收、依法治县专题讲座会等会议支出</w:t>
      </w:r>
      <w:r>
        <w:rPr>
          <w:rFonts w:hint="eastAsia" w:ascii="仿宋_GB2312" w:hAnsi="宋体" w:eastAsia="仿宋_GB2312" w:cs="仿宋_GB2312"/>
          <w:color w:val="auto"/>
          <w:kern w:val="0"/>
          <w:sz w:val="32"/>
          <w:szCs w:val="32"/>
        </w:rPr>
        <w:t>。</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本部门无政府性基金决算收支，并已公开空表</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本部门无国有资本经营决算拨款收支</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71</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本部门无政府性基金预算项目。</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部门综合预算</w:t>
      </w:r>
      <w:r>
        <w:rPr>
          <w:rFonts w:ascii="仿宋_GB2312" w:hAnsi="仿宋_GB2312" w:eastAsia="仿宋_GB2312" w:cs="仿宋_GB2312"/>
          <w:color w:val="000000"/>
          <w:kern w:val="0"/>
          <w:sz w:val="32"/>
          <w:szCs w:val="32"/>
        </w:rPr>
        <w:t>项目绩效自评综述：根据年初设定的绩效目标，项目自评得分</w:t>
      </w:r>
      <w:r>
        <w:rPr>
          <w:rFonts w:hint="eastAsia" w:ascii="仿宋_GB2312" w:hAnsi="仿宋_GB2312" w:eastAsia="仿宋_GB2312" w:cs="仿宋_GB2312"/>
          <w:color w:val="000000"/>
          <w:kern w:val="0"/>
          <w:sz w:val="32"/>
          <w:szCs w:val="32"/>
          <w:lang w:val="en-US" w:eastAsia="zh-CN"/>
        </w:rPr>
        <w:t>96</w:t>
      </w:r>
      <w:r>
        <w:rPr>
          <w:rFonts w:ascii="仿宋_GB2312" w:hAnsi="仿宋_GB2312" w:eastAsia="仿宋_GB2312" w:cs="仿宋_GB2312"/>
          <w:color w:val="000000"/>
          <w:kern w:val="0"/>
          <w:sz w:val="32"/>
          <w:szCs w:val="32"/>
        </w:rPr>
        <w:t>分。项目全年预算数</w:t>
      </w:r>
      <w:r>
        <w:rPr>
          <w:rFonts w:hint="eastAsia" w:ascii="仿宋_GB2312" w:hAnsi="仿宋_GB2312" w:eastAsia="仿宋_GB2312" w:cs="仿宋_GB2312"/>
          <w:color w:val="000000"/>
          <w:kern w:val="0"/>
          <w:sz w:val="32"/>
          <w:szCs w:val="32"/>
          <w:lang w:val="en-US" w:eastAsia="zh-CN"/>
        </w:rPr>
        <w:t>71</w:t>
      </w:r>
      <w:r>
        <w:rPr>
          <w:rFonts w:ascii="仿宋_GB2312" w:hAnsi="仿宋_GB2312" w:eastAsia="仿宋_GB2312" w:cs="仿宋_GB2312"/>
          <w:color w:val="000000"/>
          <w:kern w:val="0"/>
          <w:sz w:val="32"/>
          <w:szCs w:val="32"/>
        </w:rPr>
        <w:t>万元，执行数</w:t>
      </w:r>
      <w:r>
        <w:rPr>
          <w:rFonts w:hint="eastAsia" w:ascii="仿宋_GB2312" w:hAnsi="仿宋_GB2312" w:eastAsia="仿宋_GB2312" w:cs="仿宋_GB2312"/>
          <w:color w:val="000000"/>
          <w:kern w:val="0"/>
          <w:sz w:val="32"/>
          <w:szCs w:val="32"/>
          <w:lang w:val="en-US" w:eastAsia="zh-CN"/>
        </w:rPr>
        <w:t>71</w:t>
      </w:r>
      <w:r>
        <w:rPr>
          <w:rFonts w:ascii="仿宋_GB2312" w:hAnsi="仿宋_GB2312" w:eastAsia="仿宋_GB2312" w:cs="仿宋_GB2312"/>
          <w:color w:val="000000"/>
          <w:kern w:val="0"/>
          <w:sz w:val="32"/>
          <w:szCs w:val="32"/>
        </w:rPr>
        <w:t>万元。主要产出和效果：通过项目实施</w:t>
      </w:r>
      <w:r>
        <w:rPr>
          <w:rFonts w:hint="eastAsia" w:ascii="仿宋_GB2312" w:hAnsi="仿宋_GB2312" w:eastAsia="仿宋_GB2312" w:cs="仿宋_GB2312"/>
          <w:color w:val="000000"/>
          <w:kern w:val="0"/>
          <w:sz w:val="32"/>
          <w:szCs w:val="32"/>
          <w:lang w:eastAsia="zh-CN"/>
        </w:rPr>
        <w:t>有效</w:t>
      </w:r>
      <w:r>
        <w:rPr>
          <w:rFonts w:hint="eastAsia" w:ascii="仿宋_GB2312" w:hAnsi="仿宋_GB2312" w:eastAsia="仿宋_GB2312" w:cs="仿宋_GB2312"/>
          <w:color w:val="000000"/>
          <w:kern w:val="0"/>
          <w:sz w:val="32"/>
          <w:szCs w:val="32"/>
        </w:rPr>
        <w:t>保障</w:t>
      </w:r>
      <w:r>
        <w:rPr>
          <w:rFonts w:hint="eastAsia" w:ascii="仿宋_GB2312" w:hAnsi="仿宋_GB2312" w:eastAsia="仿宋_GB2312" w:cs="仿宋_GB2312"/>
          <w:color w:val="000000"/>
          <w:kern w:val="0"/>
          <w:sz w:val="32"/>
          <w:szCs w:val="32"/>
          <w:lang w:eastAsia="zh-CN"/>
        </w:rPr>
        <w:t>了</w:t>
      </w:r>
      <w:r>
        <w:rPr>
          <w:rFonts w:hint="eastAsia" w:ascii="仿宋_GB2312" w:hAnsi="仿宋_GB2312" w:eastAsia="仿宋_GB2312" w:cs="仿宋_GB2312"/>
          <w:color w:val="000000"/>
          <w:kern w:val="0"/>
          <w:sz w:val="32"/>
          <w:szCs w:val="32"/>
        </w:rPr>
        <w:t>司法行政工作正常运行</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推进依法治理</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“七五”普法</w:t>
      </w:r>
      <w:r>
        <w:rPr>
          <w:rFonts w:hint="eastAsia" w:ascii="仿宋_GB2312" w:hAnsi="仿宋_GB2312" w:eastAsia="仿宋_GB2312" w:cs="仿宋_GB2312"/>
          <w:color w:val="000000"/>
          <w:kern w:val="0"/>
          <w:sz w:val="32"/>
          <w:szCs w:val="32"/>
          <w:lang w:eastAsia="zh-CN"/>
        </w:rPr>
        <w:t>及</w:t>
      </w:r>
      <w:r>
        <w:rPr>
          <w:rFonts w:hint="eastAsia" w:ascii="仿宋_GB2312" w:hAnsi="仿宋_GB2312" w:eastAsia="仿宋_GB2312" w:cs="仿宋_GB2312"/>
          <w:color w:val="000000"/>
          <w:kern w:val="0"/>
          <w:sz w:val="32"/>
          <w:szCs w:val="32"/>
        </w:rPr>
        <w:t>法治政府建设</w:t>
      </w:r>
      <w:r>
        <w:rPr>
          <w:rFonts w:hint="eastAsia" w:ascii="仿宋_GB2312" w:hAnsi="仿宋_GB2312" w:eastAsia="仿宋_GB2312" w:cs="仿宋_GB2312"/>
          <w:color w:val="000000"/>
          <w:kern w:val="0"/>
          <w:sz w:val="32"/>
          <w:szCs w:val="32"/>
          <w:lang w:eastAsia="zh-CN"/>
        </w:rPr>
        <w:t>进程；</w:t>
      </w:r>
      <w:r>
        <w:rPr>
          <w:rFonts w:hint="eastAsia" w:ascii="仿宋_GB2312" w:hAnsi="仿宋_GB2312" w:eastAsia="仿宋_GB2312" w:cs="仿宋_GB2312"/>
          <w:color w:val="000000"/>
          <w:kern w:val="0"/>
          <w:sz w:val="32"/>
          <w:szCs w:val="32"/>
        </w:rPr>
        <w:t>健全</w:t>
      </w:r>
      <w:r>
        <w:rPr>
          <w:rFonts w:hint="eastAsia" w:ascii="仿宋_GB2312" w:hAnsi="仿宋_GB2312" w:eastAsia="仿宋_GB2312" w:cs="仿宋_GB2312"/>
          <w:color w:val="000000"/>
          <w:kern w:val="0"/>
          <w:sz w:val="32"/>
          <w:szCs w:val="32"/>
          <w:lang w:eastAsia="zh-CN"/>
        </w:rPr>
        <w:t>了眉县人民</w:t>
      </w:r>
      <w:r>
        <w:rPr>
          <w:rFonts w:hint="eastAsia" w:ascii="仿宋_GB2312" w:hAnsi="仿宋_GB2312" w:eastAsia="仿宋_GB2312" w:cs="仿宋_GB2312"/>
          <w:color w:val="000000"/>
          <w:kern w:val="0"/>
          <w:sz w:val="32"/>
          <w:szCs w:val="32"/>
        </w:rPr>
        <w:t>调解组织机构，落实</w:t>
      </w:r>
      <w:r>
        <w:rPr>
          <w:rFonts w:hint="eastAsia" w:ascii="仿宋_GB2312" w:hAnsi="仿宋_GB2312" w:eastAsia="仿宋_GB2312" w:cs="仿宋_GB2312"/>
          <w:color w:val="000000"/>
          <w:kern w:val="0"/>
          <w:sz w:val="32"/>
          <w:szCs w:val="32"/>
          <w:lang w:eastAsia="zh-CN"/>
        </w:rPr>
        <w:t>了</w:t>
      </w:r>
      <w:r>
        <w:rPr>
          <w:rFonts w:hint="eastAsia" w:ascii="仿宋_GB2312" w:hAnsi="仿宋_GB2312" w:eastAsia="仿宋_GB2312" w:cs="仿宋_GB2312"/>
          <w:color w:val="000000"/>
          <w:kern w:val="0"/>
          <w:sz w:val="32"/>
          <w:szCs w:val="32"/>
        </w:rPr>
        <w:t>专职人民调解员待遇</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维护</w:t>
      </w:r>
      <w:r>
        <w:rPr>
          <w:rFonts w:hint="eastAsia" w:ascii="仿宋_GB2312" w:hAnsi="仿宋_GB2312" w:eastAsia="仿宋_GB2312" w:cs="仿宋_GB2312"/>
          <w:color w:val="000000"/>
          <w:kern w:val="0"/>
          <w:sz w:val="32"/>
          <w:szCs w:val="32"/>
          <w:lang w:eastAsia="zh-CN"/>
        </w:rPr>
        <w:t>了</w:t>
      </w:r>
      <w:r>
        <w:rPr>
          <w:rFonts w:hint="eastAsia" w:ascii="仿宋_GB2312" w:hAnsi="仿宋_GB2312" w:eastAsia="仿宋_GB2312" w:cs="仿宋_GB2312"/>
          <w:color w:val="000000"/>
          <w:kern w:val="0"/>
          <w:sz w:val="32"/>
          <w:szCs w:val="32"/>
        </w:rPr>
        <w:t>基层社会稳定。</w:t>
      </w:r>
    </w:p>
    <w:p>
      <w:pPr>
        <w:widowControl/>
        <w:jc w:val="left"/>
        <w:rPr>
          <w:rFonts w:ascii="楷体" w:hAnsi="楷体" w:eastAsia="楷体" w:cs="楷体"/>
          <w:sz w:val="32"/>
          <w:szCs w:val="32"/>
        </w:rPr>
        <w:sectPr>
          <w:pgSz w:w="11906" w:h="16838"/>
          <w:pgMar w:top="1191" w:right="1588" w:bottom="1134" w:left="1474" w:header="851" w:footer="992" w:gutter="0"/>
          <w:cols w:space="0" w:num="1"/>
          <w:docGrid w:type="lines" w:linePitch="315" w:charSpace="0"/>
        </w:sectPr>
      </w:pPr>
      <w:r>
        <w:rPr>
          <w:rFonts w:hint="eastAsia" w:ascii="楷体" w:hAnsi="楷体" w:eastAsia="楷体" w:cs="楷体"/>
          <w:sz w:val="32"/>
          <w:szCs w:val="32"/>
        </w:rPr>
        <w:object>
          <v:shape id="_x0000_i1025" o:spt="75" type="#_x0000_t75" style="height:761.15pt;width:466.5pt;" o:ole="t" filled="f" o:preferrelative="t" stroked="f" coordsize="21600,21600">
            <v:path/>
            <v:fill on="f" focussize="0,0"/>
            <v:stroke on="f"/>
            <v:imagedata r:id="rId12" o:title=""/>
            <o:lock v:ext="edit" aspectratio="t"/>
            <w10:wrap type="none"/>
            <w10:anchorlock/>
          </v:shape>
          <o:OLEObject Type="Embed" ProgID="Excel.Sheet.8" ShapeID="_x0000_i1025" DrawAspect="Content" ObjectID="_1468075725" r:id="rId11">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26" o:spt="75" type="#_x0000_t75" style="height:1312.95pt;width:631.5pt;" o:ole="t" filled="f" o:preferrelative="t" stroked="f" coordsize="21600,21600">
            <v:path/>
            <v:fill on="f" focussize="0,0"/>
            <v:stroke on="f"/>
            <v:imagedata r:id="rId14" o:title=""/>
            <o:lock v:ext="edit" aspectratio="t"/>
            <w10:wrap type="none"/>
            <w10:anchorlock/>
          </v:shape>
          <o:OLEObject Type="Embed" ProgID="Excel.Sheet.8" ShapeID="_x0000_i1026" DrawAspect="Content" ObjectID="_1468075726" r:id="rId13">
            <o:LockedField>false</o:LockedField>
          </o:OLEObject>
        </w:object>
      </w: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27" o:spt="75" type="#_x0000_t75" style="height:387.75pt;width:648pt;" o:ole="t" filled="f" o:preferrelative="t" stroked="f" coordsize="21600,21600">
            <v:path/>
            <v:fill on="f" focussize="0,0"/>
            <v:stroke on="f" joinstyle="miter"/>
            <v:imagedata r:id="rId16" o:title=""/>
            <o:lock v:ext="edit" aspectratio="t"/>
            <w10:wrap type="none"/>
            <w10:anchorlock/>
          </v:shape>
          <o:OLEObject Type="Embed" ProgID="Excel.Sheet.8" ShapeID="_x0000_i1027" DrawAspect="Content" ObjectID="_1468075727" r:id="rId15">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8" o:spt="75" type="#_x0000_t75" style="height:339pt;width:645pt;" o:ole="t" filled="f" o:preferrelative="t" stroked="f" coordsize="21600,21600">
            <v:path/>
            <v:fill on="f" focussize="0,0"/>
            <v:stroke on="f" joinstyle="miter"/>
            <v:imagedata r:id="rId18" o:title=""/>
            <o:lock v:ext="edit" aspectratio="t"/>
            <w10:wrap type="none"/>
            <w10:anchorlock/>
          </v:shape>
          <o:OLEObject Type="Embed" ProgID="Excel.Sheet.8" ShapeID="_x0000_i1028" DrawAspect="Content" ObjectID="_1468075728" r:id="rId17">
            <o:LockedField>false</o:LockedField>
          </o:OLEObject>
        </w:object>
      </w: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37.9</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37.9</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r>
        <w:rPr>
          <w:rFonts w:hint="eastAsia" w:ascii="仿宋_GB2312" w:hAnsi="仿宋_GB2312" w:eastAsia="仿宋_GB2312" w:cs="仿宋_GB2312"/>
          <w:sz w:val="32"/>
          <w:szCs w:val="32"/>
          <w:lang w:eastAsia="zh-CN"/>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黑体" w:hAnsi="宋体" w:eastAsia="黑体"/>
          <w:color w:val="000000"/>
          <w:kern w:val="0"/>
          <w:sz w:val="32"/>
          <w:szCs w:val="32"/>
        </w:rPr>
      </w:pPr>
      <w:r>
        <w:rPr>
          <w:rFonts w:hint="eastAsia" w:ascii="仿宋_GB2312" w:hAnsi="仿宋_GB2312" w:eastAsia="仿宋_GB2312" w:cs="仿宋_GB2312"/>
          <w:sz w:val="32"/>
          <w:szCs w:val="32"/>
        </w:rPr>
        <w:t>截至2019年末，本部门机关及所属单位共有车辆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购置车辆；购置单价50万元以上的通用设备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jc w:val="center"/>
        <w:rPr>
          <w:sz w:val="44"/>
          <w:szCs w:val="44"/>
        </w:rPr>
      </w:pPr>
      <w:r>
        <w:rPr>
          <w:rFonts w:hint="eastAsia" w:ascii="黑体" w:hAnsi="宋体" w:eastAsia="黑体"/>
          <w:color w:val="000000"/>
          <w:kern w:val="0"/>
          <w:sz w:val="44"/>
          <w:szCs w:val="44"/>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1AA6038"/>
    <w:rsid w:val="00050E89"/>
    <w:rsid w:val="00053317"/>
    <w:rsid w:val="0011661B"/>
    <w:rsid w:val="00124897"/>
    <w:rsid w:val="00134523"/>
    <w:rsid w:val="00146787"/>
    <w:rsid w:val="00164001"/>
    <w:rsid w:val="001D7568"/>
    <w:rsid w:val="002238F8"/>
    <w:rsid w:val="002424C8"/>
    <w:rsid w:val="002932BE"/>
    <w:rsid w:val="002A7893"/>
    <w:rsid w:val="002A7DC6"/>
    <w:rsid w:val="003017B4"/>
    <w:rsid w:val="003364E9"/>
    <w:rsid w:val="00344BCB"/>
    <w:rsid w:val="00344C05"/>
    <w:rsid w:val="003C336F"/>
    <w:rsid w:val="003D54EF"/>
    <w:rsid w:val="00452E2E"/>
    <w:rsid w:val="004A1F8F"/>
    <w:rsid w:val="004B6D6E"/>
    <w:rsid w:val="004F7265"/>
    <w:rsid w:val="005213FF"/>
    <w:rsid w:val="00585846"/>
    <w:rsid w:val="00602A0C"/>
    <w:rsid w:val="00642D57"/>
    <w:rsid w:val="006614AE"/>
    <w:rsid w:val="006F01C7"/>
    <w:rsid w:val="007E2125"/>
    <w:rsid w:val="007F5D23"/>
    <w:rsid w:val="00813F4A"/>
    <w:rsid w:val="00B7276D"/>
    <w:rsid w:val="00B80654"/>
    <w:rsid w:val="00BE5A8F"/>
    <w:rsid w:val="00CB5EF5"/>
    <w:rsid w:val="00CB7771"/>
    <w:rsid w:val="00CC1BFD"/>
    <w:rsid w:val="00CE7F71"/>
    <w:rsid w:val="00D2119A"/>
    <w:rsid w:val="00D32994"/>
    <w:rsid w:val="00D62E84"/>
    <w:rsid w:val="00DC6A7B"/>
    <w:rsid w:val="00E569EB"/>
    <w:rsid w:val="00E8111E"/>
    <w:rsid w:val="00F9628B"/>
    <w:rsid w:val="013B79AC"/>
    <w:rsid w:val="01B0357D"/>
    <w:rsid w:val="086F179F"/>
    <w:rsid w:val="11FE4B73"/>
    <w:rsid w:val="125E2600"/>
    <w:rsid w:val="132E46A0"/>
    <w:rsid w:val="139D6836"/>
    <w:rsid w:val="14411117"/>
    <w:rsid w:val="14AE1BED"/>
    <w:rsid w:val="1586116E"/>
    <w:rsid w:val="18BB4AD7"/>
    <w:rsid w:val="1B4A3FDA"/>
    <w:rsid w:val="1B524C98"/>
    <w:rsid w:val="1C5E2F73"/>
    <w:rsid w:val="1D6E0C0D"/>
    <w:rsid w:val="1D827453"/>
    <w:rsid w:val="221C15BB"/>
    <w:rsid w:val="24344478"/>
    <w:rsid w:val="29785A6B"/>
    <w:rsid w:val="2B1952E2"/>
    <w:rsid w:val="2D1F3974"/>
    <w:rsid w:val="31AA6038"/>
    <w:rsid w:val="31CC4C70"/>
    <w:rsid w:val="335D481D"/>
    <w:rsid w:val="33887EE3"/>
    <w:rsid w:val="34677C61"/>
    <w:rsid w:val="374B646C"/>
    <w:rsid w:val="3B121AD1"/>
    <w:rsid w:val="3CFD0D2E"/>
    <w:rsid w:val="41603979"/>
    <w:rsid w:val="417A24DE"/>
    <w:rsid w:val="4619368A"/>
    <w:rsid w:val="4D6E0FDF"/>
    <w:rsid w:val="4EE4307A"/>
    <w:rsid w:val="5153143F"/>
    <w:rsid w:val="516F1AEF"/>
    <w:rsid w:val="54C7151D"/>
    <w:rsid w:val="54F12DEE"/>
    <w:rsid w:val="566C78E8"/>
    <w:rsid w:val="5B6632C3"/>
    <w:rsid w:val="70A60627"/>
    <w:rsid w:val="74870004"/>
    <w:rsid w:val="75C31473"/>
    <w:rsid w:val="7C3E5E46"/>
    <w:rsid w:val="7D8907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character" w:customStyle="1" w:styleId="11">
    <w:name w:val="批注文字 Char"/>
    <w:basedOn w:val="9"/>
    <w:link w:val="2"/>
    <w:qFormat/>
    <w:uiPriority w:val="0"/>
    <w:rPr>
      <w:rFonts w:ascii="Calibri" w:hAnsi="Calibri" w:cs="黑体"/>
      <w:kern w:val="2"/>
      <w:sz w:val="21"/>
      <w:szCs w:val="24"/>
    </w:rPr>
  </w:style>
  <w:style w:type="character" w:customStyle="1" w:styleId="12">
    <w:name w:val="批注主题 Char"/>
    <w:basedOn w:val="11"/>
    <w:link w:val="6"/>
    <w:qFormat/>
    <w:uiPriority w:val="0"/>
    <w:rPr>
      <w:rFonts w:ascii="Calibri" w:hAnsi="Calibri" w:cs="黑体"/>
      <w:b/>
      <w:bCs/>
      <w:kern w:val="2"/>
      <w:sz w:val="21"/>
      <w:szCs w:val="24"/>
    </w:rPr>
  </w:style>
  <w:style w:type="character" w:customStyle="1" w:styleId="13">
    <w:name w:val="批注框文本 Char"/>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emf"/><Relationship Id="rId17" Type="http://schemas.openxmlformats.org/officeDocument/2006/relationships/oleObject" Target="embeddings/oleObject4.bin"/><Relationship Id="rId16" Type="http://schemas.openxmlformats.org/officeDocument/2006/relationships/image" Target="media/image3.emf"/><Relationship Id="rId15" Type="http://schemas.openxmlformats.org/officeDocument/2006/relationships/oleObject" Target="embeddings/oleObject3.bin"/><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部门人员情况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编制</c:v>
                </c:pt>
              </c:strCache>
            </c:strRef>
          </c:tx>
          <c:spPr>
            <a:solidFill>
              <a:schemeClr val="accent1"/>
            </a:solidFill>
            <a:ln>
              <a:noFill/>
            </a:ln>
            <a:effectLst/>
          </c:spPr>
          <c:invertIfNegative val="0"/>
          <c:dLbls>
            <c:delete val="1"/>
          </c:dLbls>
          <c:cat>
            <c:strRef>
              <c:f>Sheet1!$A$2</c:f>
              <c:strCache>
                <c:ptCount val="1"/>
                <c:pt idx="0">
                  <c:v>人员分布</c:v>
                </c:pt>
              </c:strCache>
            </c:strRef>
          </c:cat>
          <c:val>
            <c:numRef>
              <c:f>Sheet1!$B$2</c:f>
              <c:numCache>
                <c:formatCode>General</c:formatCode>
                <c:ptCount val="1"/>
                <c:pt idx="0">
                  <c:v>22</c:v>
                </c:pt>
              </c:numCache>
            </c:numRef>
          </c:val>
        </c:ser>
        <c:ser>
          <c:idx val="1"/>
          <c:order val="1"/>
          <c:tx>
            <c:strRef>
              <c:f>Sheet1!$C$1</c:f>
              <c:strCache>
                <c:ptCount val="1"/>
                <c:pt idx="0">
                  <c:v>实有</c:v>
                </c:pt>
              </c:strCache>
            </c:strRef>
          </c:tx>
          <c:spPr>
            <a:solidFill>
              <a:schemeClr val="accent2"/>
            </a:solidFill>
            <a:ln>
              <a:noFill/>
            </a:ln>
            <a:effectLst/>
          </c:spPr>
          <c:invertIfNegative val="0"/>
          <c:dLbls>
            <c:delete val="1"/>
          </c:dLbls>
          <c:cat>
            <c:strRef>
              <c:f>Sheet1!$A$2</c:f>
              <c:strCache>
                <c:ptCount val="1"/>
                <c:pt idx="0">
                  <c:v>人员分布</c:v>
                </c:pt>
              </c:strCache>
            </c:strRef>
          </c:cat>
          <c:val>
            <c:numRef>
              <c:f>Sheet1!$C$2</c:f>
              <c:numCache>
                <c:formatCode>General</c:formatCode>
                <c:ptCount val="1"/>
                <c:pt idx="0">
                  <c:v>21</c:v>
                </c:pt>
              </c:numCache>
            </c:numRef>
          </c:val>
        </c:ser>
        <c:dLbls>
          <c:showLegendKey val="0"/>
          <c:showVal val="0"/>
          <c:showCatName val="0"/>
          <c:showSerName val="0"/>
          <c:showPercent val="0"/>
          <c:showBubbleSize val="0"/>
        </c:dLbls>
        <c:gapWidth val="300"/>
        <c:overlap val="-100"/>
        <c:axId val="623546678"/>
        <c:axId val="299011439"/>
      </c:barChart>
      <c:catAx>
        <c:axId val="62354667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9011439"/>
        <c:crosses val="autoZero"/>
        <c:auto val="1"/>
        <c:lblAlgn val="ctr"/>
        <c:lblOffset val="100"/>
        <c:noMultiLvlLbl val="0"/>
      </c:catAx>
      <c:valAx>
        <c:axId val="299011439"/>
        <c:scaling>
          <c:orientation val="minMax"/>
          <c:max val="24"/>
          <c:min val="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3546678"/>
        <c:crosses val="autoZero"/>
        <c:crossBetween val="between"/>
        <c:majorUnit val="2"/>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收入支出情况</a:t>
            </a:r>
          </a:p>
        </c:rich>
      </c:tx>
      <c:layout/>
      <c:overlay val="0"/>
      <c:spPr>
        <a:noFill/>
        <a:ln>
          <a:noFill/>
        </a:ln>
        <a:effectLst/>
      </c:spPr>
    </c:title>
    <c:autoTitleDeleted val="0"/>
    <c:plotArea>
      <c:layout/>
      <c:barChart>
        <c:barDir val="col"/>
        <c:grouping val="clustered"/>
        <c:varyColors val="0"/>
        <c:ser>
          <c:idx val="1"/>
          <c:order val="0"/>
          <c:tx>
            <c:strRef>
              <c:f>Sheet1!$B$1</c:f>
              <c:strCache>
                <c:ptCount val="1"/>
                <c:pt idx="0">
                  <c:v>2019</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459.6</c:v>
                </c:pt>
                <c:pt idx="1">
                  <c:v>459.6</c:v>
                </c:pt>
              </c:numCache>
            </c:numRef>
          </c:val>
        </c:ser>
        <c:dLbls>
          <c:showLegendKey val="0"/>
          <c:showVal val="0"/>
          <c:showCatName val="0"/>
          <c:showSerName val="0"/>
          <c:showPercent val="0"/>
          <c:showBubbleSize val="0"/>
        </c:dLbls>
        <c:gapWidth val="150"/>
        <c:overlap val="0"/>
        <c:axId val="873344869"/>
        <c:axId val="490778863"/>
      </c:barChart>
      <c:catAx>
        <c:axId val="87334486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0778863"/>
        <c:crosses val="autoZero"/>
        <c:auto val="1"/>
        <c:lblAlgn val="ctr"/>
        <c:lblOffset val="100"/>
        <c:noMultiLvlLbl val="0"/>
      </c:catAx>
      <c:valAx>
        <c:axId val="4907788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3344869"/>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财政拨款收入</c:v>
                </c:pt>
              </c:strCache>
            </c:strRef>
          </c:cat>
          <c:val>
            <c:numRef>
              <c:f>Sheet1!$B$2</c:f>
              <c:numCache>
                <c:formatCode>General</c:formatCode>
                <c:ptCount val="1"/>
                <c:pt idx="0">
                  <c:v>459.6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289.6</c:v>
                </c:pt>
                <c:pt idx="1">
                  <c:v>170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2018</c:v>
                </c:pt>
              </c:strCache>
            </c:strRef>
          </c:tx>
          <c:spPr>
            <a:solidFill>
              <a:schemeClr val="accent1"/>
            </a:solidFill>
            <a:ln>
              <a:noFill/>
            </a:ln>
            <a:effectLst/>
          </c:spPr>
          <c:invertIfNegative val="0"/>
          <c:dLbls>
            <c:delete val="1"/>
          </c:dLbls>
          <c:cat>
            <c:strRef>
              <c:extLst>
                <c:ext xmlns:c15="http://schemas.microsoft.com/office/drawing/2012/chart" uri="{02D57815-91ED-43cb-92C2-25804820EDAC}">
                  <c15:fullRef>
                    <c15:sqref>Sheet1!$A$2:$A$3</c15:sqref>
                  </c15:fullRef>
                </c:ext>
              </c:extLst>
              <c:f>Sheet1!$A$2:$A$3</c:f>
              <c:strCache>
                <c:ptCount val="2"/>
                <c:pt idx="0">
                  <c:v>收入</c:v>
                </c:pt>
                <c:pt idx="1">
                  <c:v>支出</c:v>
                </c:pt>
              </c:strCache>
            </c:strRef>
          </c:cat>
          <c:val>
            <c:numRef>
              <c:extLst>
                <c:ext xmlns:c15="http://schemas.microsoft.com/office/drawing/2012/chart" uri="{02D57815-91ED-43cb-92C2-25804820EDAC}">
                  <c15:fullRef>
                    <c15:sqref>Sheet1!$B$2:$B$3</c15:sqref>
                  </c15:fullRef>
                </c:ext>
              </c:extLst>
              <c:f>Sheet1!$B$2:$B$3</c:f>
              <c:numCache>
                <c:formatCode>General</c:formatCode>
                <c:ptCount val="2"/>
                <c:pt idx="0">
                  <c:v>516.93</c:v>
                </c:pt>
                <c:pt idx="1">
                  <c:v>516.93</c:v>
                </c:pt>
              </c:numCache>
            </c:numRef>
          </c:val>
        </c:ser>
        <c:ser>
          <c:idx val="1"/>
          <c:order val="1"/>
          <c:tx>
            <c:strRef>
              <c:f>Sheet1!$C$1</c:f>
              <c:strCache>
                <c:ptCount val="1"/>
                <c:pt idx="0">
                  <c:v>2019</c:v>
                </c:pt>
              </c:strCache>
            </c:strRef>
          </c:tx>
          <c:spPr>
            <a:solidFill>
              <a:schemeClr val="accent2"/>
            </a:solidFill>
            <a:ln>
              <a:noFill/>
            </a:ln>
            <a:effectLst/>
          </c:spPr>
          <c:invertIfNegative val="0"/>
          <c:dLbls>
            <c:delete val="1"/>
          </c:dLbls>
          <c:cat>
            <c:strRef>
              <c:extLst>
                <c:ext xmlns:c15="http://schemas.microsoft.com/office/drawing/2012/chart" uri="{02D57815-91ED-43cb-92C2-25804820EDAC}">
                  <c15:fullRef>
                    <c15:sqref>Sheet1!$A$2:$A$3</c15:sqref>
                  </c15:fullRef>
                </c:ext>
              </c:extLst>
              <c:f>Sheet1!$A$2:$A$3</c:f>
              <c:strCache>
                <c:ptCount val="2"/>
                <c:pt idx="0">
                  <c:v>收入</c:v>
                </c:pt>
                <c:pt idx="1">
                  <c:v>支出</c:v>
                </c:pt>
              </c:strCache>
            </c:strRef>
          </c:cat>
          <c:val>
            <c:numRef>
              <c:extLst>
                <c:ext xmlns:c15="http://schemas.microsoft.com/office/drawing/2012/chart" uri="{02D57815-91ED-43cb-92C2-25804820EDAC}">
                  <c15:fullRef>
                    <c15:sqref>Sheet1!$C$2:$C$3</c15:sqref>
                  </c15:fullRef>
                </c:ext>
              </c:extLst>
              <c:f>Sheet1!$C$2:$C$3</c:f>
              <c:numCache>
                <c:formatCode>General</c:formatCode>
                <c:ptCount val="2"/>
                <c:pt idx="0">
                  <c:v>459.6</c:v>
                </c:pt>
                <c:pt idx="1">
                  <c:v>459.6</c:v>
                </c:pt>
              </c:numCache>
            </c:numRef>
          </c:val>
        </c:ser>
        <c:dLbls>
          <c:showLegendKey val="0"/>
          <c:showVal val="0"/>
          <c:showCatName val="0"/>
          <c:showSerName val="0"/>
          <c:showPercent val="0"/>
          <c:showBubbleSize val="0"/>
        </c:dLbls>
        <c:gapWidth val="219"/>
        <c:overlap val="-27"/>
        <c:axId val="150848321"/>
        <c:axId val="128906488"/>
      </c:barChart>
      <c:catAx>
        <c:axId val="1508483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8906488"/>
        <c:crosses val="autoZero"/>
        <c:auto val="1"/>
        <c:lblAlgn val="ctr"/>
        <c:lblOffset val="100"/>
        <c:noMultiLvlLbl val="0"/>
      </c:catAx>
      <c:valAx>
        <c:axId val="12890648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0848321"/>
        <c:crosses val="autoZero"/>
        <c:crossBetween val="between"/>
        <c:majorUnit val="50"/>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2018</c:v>
                </c:pt>
              </c:strCache>
            </c:strRef>
          </c:tx>
          <c:spPr>
            <a:solidFill>
              <a:schemeClr val="accent1"/>
            </a:solidFill>
            <a:ln>
              <a:noFill/>
            </a:ln>
            <a:effectLst/>
          </c:spPr>
          <c:invertIfNegative val="0"/>
          <c:dLbls>
            <c:delete val="1"/>
          </c:dLbls>
          <c:cat>
            <c:strRef>
              <c:extLst>
                <c:ext xmlns:c15="http://schemas.microsoft.com/office/drawing/2012/chart" uri="{02D57815-91ED-43cb-92C2-25804820EDAC}">
                  <c15:fullRef>
                    <c15:sqref>Sheet1!$A$2</c15:sqref>
                  </c15:fullRef>
                </c:ext>
              </c:extLst>
              <c:f>Sheet1!$A$2</c:f>
              <c:strCache>
                <c:ptCount val="1"/>
                <c:pt idx="0">
                  <c:v>支出</c:v>
                </c:pt>
              </c:strCache>
            </c:strRef>
          </c:cat>
          <c:val>
            <c:numRef>
              <c:extLst>
                <c:ext xmlns:c15="http://schemas.microsoft.com/office/drawing/2012/chart" uri="{02D57815-91ED-43cb-92C2-25804820EDAC}">
                  <c15:fullRef>
                    <c15:sqref>Sheet1!$B$2</c15:sqref>
                  </c15:fullRef>
                </c:ext>
              </c:extLst>
              <c:f>Sheet1!$B$2</c:f>
              <c:numCache>
                <c:formatCode>General</c:formatCode>
                <c:ptCount val="1"/>
                <c:pt idx="0">
                  <c:v>516.93</c:v>
                </c:pt>
              </c:numCache>
            </c:numRef>
          </c:val>
        </c:ser>
        <c:ser>
          <c:idx val="1"/>
          <c:order val="1"/>
          <c:tx>
            <c:strRef>
              <c:f>Sheet1!$C$1</c:f>
              <c:strCache>
                <c:ptCount val="1"/>
                <c:pt idx="0">
                  <c:v>2019</c:v>
                </c:pt>
              </c:strCache>
            </c:strRef>
          </c:tx>
          <c:spPr>
            <a:solidFill>
              <a:schemeClr val="accent2"/>
            </a:solidFill>
            <a:ln>
              <a:noFill/>
            </a:ln>
            <a:effectLst/>
          </c:spPr>
          <c:invertIfNegative val="0"/>
          <c:dLbls>
            <c:delete val="1"/>
          </c:dLbls>
          <c:cat>
            <c:strRef>
              <c:extLst>
                <c:ext xmlns:c15="http://schemas.microsoft.com/office/drawing/2012/chart" uri="{02D57815-91ED-43cb-92C2-25804820EDAC}">
                  <c15:fullRef>
                    <c15:sqref>Sheet1!$A$2</c15:sqref>
                  </c15:fullRef>
                </c:ext>
              </c:extLst>
              <c:f>Sheet1!$A$2</c:f>
              <c:strCache>
                <c:ptCount val="1"/>
                <c:pt idx="0">
                  <c:v>支出</c:v>
                </c:pt>
              </c:strCache>
            </c:strRef>
          </c:cat>
          <c:val>
            <c:numRef>
              <c:extLst>
                <c:ext xmlns:c15="http://schemas.microsoft.com/office/drawing/2012/chart" uri="{02D57815-91ED-43cb-92C2-25804820EDAC}">
                  <c15:fullRef>
                    <c15:sqref>Sheet1!$C$2</c15:sqref>
                  </c15:fullRef>
                </c:ext>
              </c:extLst>
              <c:f>Sheet1!$C$2</c:f>
              <c:numCache>
                <c:formatCode>General</c:formatCode>
                <c:ptCount val="1"/>
                <c:pt idx="0">
                  <c:v>459.6</c:v>
                </c:pt>
              </c:numCache>
            </c:numRef>
          </c:val>
        </c:ser>
        <c:dLbls>
          <c:showLegendKey val="0"/>
          <c:showVal val="0"/>
          <c:showCatName val="0"/>
          <c:showSerName val="0"/>
          <c:showPercent val="0"/>
          <c:showBubbleSize val="0"/>
        </c:dLbls>
        <c:gapWidth val="219"/>
        <c:overlap val="-27"/>
        <c:axId val="385846494"/>
        <c:axId val="999777865"/>
      </c:barChart>
      <c:catAx>
        <c:axId val="38584649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9777865"/>
        <c:crosses val="autoZero"/>
        <c:auto val="1"/>
        <c:lblAlgn val="ctr"/>
        <c:lblOffset val="100"/>
        <c:noMultiLvlLbl val="0"/>
      </c:catAx>
      <c:valAx>
        <c:axId val="999777865"/>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5846494"/>
        <c:crosses val="autoZero"/>
        <c:crossBetween val="between"/>
        <c:majorUnit val="50"/>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三公经费支出图</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因公出国（境）费</c:v>
                </c:pt>
                <c:pt idx="1">
                  <c:v>公务接待费</c:v>
                </c:pt>
                <c:pt idx="2">
                  <c:v>公车购置费</c:v>
                </c:pt>
                <c:pt idx="3">
                  <c:v>公车运行维护费</c:v>
                </c:pt>
              </c:strCache>
            </c:strRef>
          </c:cat>
          <c:val>
            <c:numRef>
              <c:f>Sheet1!$B$2:$B$5</c:f>
              <c:numCache>
                <c:formatCode>General</c:formatCode>
                <c:ptCount val="4"/>
                <c:pt idx="0">
                  <c:v>0</c:v>
                </c:pt>
                <c:pt idx="1">
                  <c:v>0.8</c:v>
                </c:pt>
                <c:pt idx="2">
                  <c:v>0</c:v>
                </c:pt>
                <c:pt idx="3">
                  <c:v>21.5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5651</Words>
  <Characters>3074</Characters>
  <Lines>25</Lines>
  <Paragraphs>17</Paragraphs>
  <TotalTime>1</TotalTime>
  <ScaleCrop>false</ScaleCrop>
  <LinksUpToDate>false</LinksUpToDate>
  <CharactersWithSpaces>8708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2020-09-14T03:03:00Z</dcterms:created>
  <dc:creator>Administrator</dc:creator>
  <cp:lastModifiedBy>天臣</cp:lastModifiedBy>
  <cp:lastPrinted>2020-07-28T02:12:00Z</cp:lastPrinted>
  <dcterms:modified xsi:type="dcterms:W3CDTF">2020-10-09T09:01:47Z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