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hAnsi="宋体" w:cs="宋体"/>
          <w:b/>
          <w:bCs/>
          <w:sz w:val="44"/>
          <w:szCs w:val="44"/>
        </w:rPr>
      </w:pPr>
    </w:p>
    <w:p>
      <w:pPr>
        <w:spacing w:line="560" w:lineRule="exact"/>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眉县公安局</w:t>
      </w:r>
    </w:p>
    <w:p>
      <w:pPr>
        <w:spacing w:line="560" w:lineRule="exact"/>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2019年部门决算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088" w:firstLineChars="65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保密审查情况：已审查</w:t>
      </w:r>
    </w:p>
    <w:p>
      <w:pPr>
        <w:spacing w:line="400" w:lineRule="exact"/>
        <w:jc w:val="center"/>
        <w:rPr>
          <w:rFonts w:ascii="宋体" w:hAnsi="宋体" w:cs="宋体"/>
          <w:b/>
          <w:bCs/>
          <w:sz w:val="32"/>
          <w:szCs w:val="32"/>
        </w:rPr>
      </w:pPr>
    </w:p>
    <w:p>
      <w:pPr>
        <w:spacing w:line="400" w:lineRule="exact"/>
        <w:ind w:firstLine="2088" w:firstLineChars="650"/>
        <w:rPr>
          <w:rFonts w:ascii="宋体" w:hAnsi="宋体" w:cs="宋体"/>
          <w:b/>
          <w:bCs/>
          <w:sz w:val="32"/>
          <w:szCs w:val="32"/>
        </w:rPr>
      </w:pPr>
      <w:r>
        <w:rPr>
          <w:rFonts w:hint="eastAsia" w:ascii="宋体" w:hAnsi="宋体" w:cs="宋体"/>
          <w:b/>
          <w:bCs/>
          <w:sz w:val="32"/>
          <w:szCs w:val="32"/>
        </w:rPr>
        <w:t>部门主要负责人审签情况：已审签</w:t>
      </w:r>
    </w:p>
    <w:p>
      <w:pPr>
        <w:spacing w:line="400" w:lineRule="exact"/>
        <w:rPr>
          <w:rFonts w:ascii="宋体" w:hAnsi="宋体" w:cs="宋体"/>
          <w:b/>
          <w:bCs/>
          <w:sz w:val="32"/>
          <w:szCs w:val="32"/>
        </w:rPr>
      </w:pPr>
    </w:p>
    <w:p>
      <w:pPr>
        <w:spacing w:line="400" w:lineRule="exact"/>
        <w:rPr>
          <w:rFonts w:ascii="宋体" w:hAnsi="宋体" w:cs="宋体"/>
          <w:b/>
          <w:bCs/>
          <w:sz w:val="32"/>
          <w:szCs w:val="32"/>
        </w:rPr>
      </w:pPr>
    </w:p>
    <w:p>
      <w:pPr>
        <w:jc w:val="center"/>
        <w:rPr>
          <w:rFonts w:ascii="黑体" w:hAnsi="宋体" w:eastAsia="黑体"/>
          <w:bCs/>
          <w:color w:val="000000"/>
          <w:kern w:val="0"/>
          <w:sz w:val="36"/>
          <w:szCs w:val="36"/>
        </w:rPr>
      </w:pPr>
      <w:r>
        <w:rPr>
          <w:rFonts w:ascii="黑体" w:hAnsi="宋体" w:eastAsia="黑体"/>
          <w:b/>
          <w:color w:val="000000"/>
          <w:kern w:val="0"/>
          <w:sz w:val="56"/>
          <w:szCs w:val="56"/>
        </w:rPr>
        <w:br w:type="page"/>
      </w:r>
      <w:r>
        <w:rPr>
          <w:rFonts w:ascii="黑体" w:hAnsi="宋体" w:eastAsia="黑体"/>
          <w:bCs/>
          <w:color w:val="000000"/>
          <w:kern w:val="0"/>
          <w:sz w:val="36"/>
          <w:szCs w:val="36"/>
        </w:rPr>
        <w:t>目录</w:t>
      </w:r>
    </w:p>
    <w:p>
      <w:pPr>
        <w:widowControl/>
        <w:jc w:val="center"/>
      </w:pPr>
      <w:r>
        <w:rPr>
          <w:rFonts w:hint="eastAsia" w:ascii="黑体" w:hAnsi="宋体" w:eastAsia="黑体"/>
          <w:color w:val="000000"/>
          <w:kern w:val="0"/>
          <w:sz w:val="32"/>
          <w:szCs w:val="32"/>
        </w:rPr>
        <w:t>第一部分 部门概况</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一、部门主要职责及内设机构</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二、部门决算单位构成</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三、部门人员情况</w:t>
      </w:r>
    </w:p>
    <w:p>
      <w:pPr>
        <w:widowControl/>
        <w:jc w:val="center"/>
      </w:pPr>
      <w:r>
        <w:rPr>
          <w:rFonts w:hint="eastAsia" w:ascii="黑体" w:hAnsi="宋体" w:eastAsia="黑体"/>
          <w:color w:val="000000"/>
          <w:kern w:val="0"/>
          <w:sz w:val="32"/>
          <w:szCs w:val="32"/>
        </w:rPr>
        <w:t>第二部分  2019年部门决算表</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四、财政拨款收入支出决算总表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八、政府性基金预算财政拨款收入支出决算表</w:t>
      </w:r>
    </w:p>
    <w:p>
      <w:pPr>
        <w:widowControl/>
        <w:jc w:val="center"/>
      </w:pPr>
      <w:r>
        <w:rPr>
          <w:rFonts w:hint="eastAsia" w:ascii="黑体" w:hAnsi="宋体" w:eastAsia="黑体"/>
          <w:color w:val="000000"/>
          <w:kern w:val="0"/>
          <w:sz w:val="32"/>
          <w:szCs w:val="32"/>
        </w:rPr>
        <w:t>第三部分 2019年部门决算情况说明</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三、支出决算情况说明    </w:t>
      </w:r>
    </w:p>
    <w:p>
      <w:pPr>
        <w:widowControl/>
        <w:jc w:val="left"/>
        <w:rPr>
          <w:rFonts w:ascii="楷体" w:hAnsi="楷体" w:eastAsia="楷体" w:cs="楷体"/>
        </w:rPr>
      </w:pPr>
      <w:r>
        <w:rPr>
          <w:rFonts w:hint="eastAsia" w:ascii="仿宋" w:hAnsi="仿宋" w:eastAsia="仿宋" w:cs="楷体"/>
          <w:color w:val="000000"/>
          <w:kern w:val="0"/>
          <w:sz w:val="32"/>
          <w:szCs w:val="32"/>
        </w:rPr>
        <w:t xml:space="preserve">四、财政拨款收入支出决算总体情况说明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（一）财政拨款支出决算总体情况说明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（二）财政拨款支出决算具体情况说明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（一）“三公”经费财政拨款支出决算总体情况说明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（二）“三公”经费财政拨款支出决算具体情况说明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（三）培训费支出情况说明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（四）会议费支出情况说明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八、政府性基金预算财政拨款收入支出情况说明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九、国有资本经营财政拨款收入支出情况说明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十、预算绩效情况说明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（一）预算绩效管理工作开展情况说明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（二）部门决算中项目绩效自评结果</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 十一、其他重要事项说明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（一）机关运行经费支出情况说明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（二）政府采购支出情况说明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（三）国有资产占用及购置情况说明 </w:t>
      </w:r>
    </w:p>
    <w:p>
      <w:pPr>
        <w:jc w:val="center"/>
        <w:rPr>
          <w:rFonts w:ascii="宋体" w:hAnsi="宋体" w:cs="宋体"/>
          <w:b/>
          <w:bCs/>
          <w:sz w:val="44"/>
          <w:szCs w:val="44"/>
        </w:rPr>
      </w:pPr>
      <w:r>
        <w:rPr>
          <w:rFonts w:hint="eastAsia" w:ascii="黑体" w:hAnsi="宋体" w:eastAsia="黑体"/>
          <w:color w:val="000000"/>
          <w:kern w:val="0"/>
          <w:sz w:val="32"/>
          <w:szCs w:val="32"/>
        </w:rPr>
        <w:t>第四部分 专业名词解释</w:t>
      </w:r>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第一部分 部门</w:t>
      </w:r>
      <w:r>
        <w:rPr>
          <w:rFonts w:ascii="黑体" w:hAnsi="宋体" w:eastAsia="黑体"/>
          <w:color w:val="000000"/>
          <w:kern w:val="0"/>
          <w:sz w:val="44"/>
          <w:szCs w:val="44"/>
        </w:rPr>
        <w:t>概况</w:t>
      </w:r>
    </w:p>
    <w:p>
      <w:pPr>
        <w:widowControl/>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一、部门主要职责及内设机构</w:t>
      </w:r>
    </w:p>
    <w:p>
      <w:pPr>
        <w:widowControl/>
        <w:ind w:firstLine="642"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（一）主要职责</w:t>
      </w:r>
    </w:p>
    <w:p>
      <w:pPr>
        <w:widowControl/>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一、部门主要职责及机构设置</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1、贯彻执行党和国家关于公安工作的方针、政策和法律法规，拟订全县公安工作的具体措施意见，部署、指导和检查全县公安工作。</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2、掌握影响稳定、危害国家安全和社会治安的重要情况和信息；研究制定对策，并及时向党委、政府和上级公安机关汇报。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3、组织对全县范围内各类危害国家安全案件、刑事案件的侦破；预防和处置危害社会安定的聚众闹事；依法侦办经济犯罪案件和毒品犯罪案件。</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4、依法管理社会治安、户籍、居民身份证、人口统计、保卫和出入境事务以及外国人旅行的有关事务。</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5、负责维护全县交通安全和交通秩序，处理交通事故。</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6、负责来眉的党和国家领导人及重要外宾、警卫目标和重要会议的安全警卫工作。</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7、负责对全县重大集会、大型活动的安全保卫工作；指导和监督全县机关、团体、学校、企业、事业单位和重点建设工程的治安保卫及预防工作；指导基层治安保卫组织的建设。</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8、负责监所、拘留所的建设和管理工作。</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9、监督管理计算机信息系统的安全保卫工作。</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10、负责对法律、法规规定的特种行业进行管理；管理枪支弹药、管制刀具和易燃易爆、剧毒、放射性等危险品。</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11、负责全县公安机关的法制建设、警务督察、廉政建设、公安装备管理，并负责查处违法违纪案件。</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12、负责全县公安队伍建设和管理。</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13、负责接待人民群众的来信来访，复查公安保卫部门经办的案件，做好档案资料管理工作。</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14、按照权限，负责直属单位的人事、劳动工资、行政编制和国有资产管理工作。</w:t>
      </w:r>
    </w:p>
    <w:p>
      <w:pPr>
        <w:widowControl/>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15、承办县政府、市公安局交办的其他工作任务。</w:t>
      </w:r>
    </w:p>
    <w:p>
      <w:pPr>
        <w:widowControl/>
        <w:ind w:firstLine="642"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（二）内设机构</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眉县局机关内设5个综合科室、5个直属大队，下设11个派出所和看守所、拘留所各１个共23个基层所队，眉县公安局为县财政全额拨款一级单位，财务单独核算。</w:t>
      </w:r>
    </w:p>
    <w:p>
      <w:pPr>
        <w:widowControl/>
        <w:ind w:firstLine="640" w:firstLineChars="200"/>
        <w:jc w:val="left"/>
      </w:pPr>
      <w:r>
        <w:rPr>
          <w:rFonts w:ascii="黑体" w:hAnsi="宋体" w:eastAsia="黑体"/>
          <w:color w:val="000000"/>
          <w:kern w:val="0"/>
          <w:sz w:val="32"/>
          <w:szCs w:val="32"/>
        </w:rPr>
        <w:t>二、</w:t>
      </w:r>
      <w:r>
        <w:rPr>
          <w:rFonts w:hint="eastAsia" w:ascii="黑体" w:hAnsi="宋体" w:eastAsia="黑体"/>
          <w:color w:val="000000"/>
          <w:kern w:val="0"/>
          <w:sz w:val="32"/>
          <w:szCs w:val="32"/>
        </w:rPr>
        <w:t>部门决算单位构成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从决算单位构成看，本部门的部门决算包括本级决算和所属二级单位决算。</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纳入本部门2019年部门决算编制范围的单位共有2个，在核算方式上眉县公安局（机关）和交通警察大队分别独立核算，两个单位分别是：</w:t>
      </w:r>
    </w:p>
    <w:p>
      <w:pPr>
        <w:ind w:firstLine="640"/>
        <w:rPr>
          <w:rFonts w:ascii="仿宋_GB2312" w:hAnsi="仿宋_GB2312" w:eastAsia="仿宋_GB2312" w:cs="仿宋_GB2312"/>
          <w:sz w:val="32"/>
          <w:szCs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shd w:val="clear" w:color="auto" w:fill="auto"/>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6923" w:type="dxa"/>
            <w:shd w:val="clear" w:color="auto" w:fill="auto"/>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shd w:val="clear" w:color="auto" w:fill="auto"/>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923" w:type="dxa"/>
            <w:shd w:val="clear" w:color="auto" w:fill="auto"/>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眉县公安局（机关）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shd w:val="clear" w:color="auto" w:fill="auto"/>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6923" w:type="dxa"/>
            <w:shd w:val="clear" w:color="auto" w:fill="auto"/>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眉县公安局交通警察大队……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9" w:type="dxa"/>
            <w:shd w:val="clear" w:color="auto" w:fill="auto"/>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6923" w:type="dxa"/>
            <w:shd w:val="clear" w:color="auto" w:fill="auto"/>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shd w:val="clear" w:color="auto" w:fill="auto"/>
          </w:tcPr>
          <w:p>
            <w:pPr>
              <w:rPr>
                <w:rFonts w:ascii="仿宋_GB2312" w:hAnsi="仿宋_GB2312" w:eastAsia="仿宋_GB2312" w:cs="仿宋_GB2312"/>
                <w:sz w:val="32"/>
                <w:szCs w:val="32"/>
              </w:rPr>
            </w:pPr>
          </w:p>
        </w:tc>
        <w:tc>
          <w:tcPr>
            <w:tcW w:w="6923" w:type="dxa"/>
            <w:shd w:val="clear" w:color="auto" w:fill="auto"/>
          </w:tcPr>
          <w:p>
            <w:pPr>
              <w:ind w:firstLine="640"/>
              <w:rPr>
                <w:rFonts w:ascii="仿宋_GB2312" w:hAnsi="仿宋_GB2312" w:eastAsia="仿宋_GB2312" w:cs="仿宋_GB2312"/>
                <w:sz w:val="32"/>
                <w:szCs w:val="32"/>
              </w:rPr>
            </w:pPr>
          </w:p>
        </w:tc>
      </w:tr>
    </w:tbl>
    <w:p>
      <w:pPr>
        <w:ind w:firstLine="640"/>
        <w:rPr>
          <w:rFonts w:ascii="黑体" w:hAnsi="黑体" w:eastAsia="黑体"/>
          <w:b/>
          <w:bCs/>
          <w:sz w:val="32"/>
          <w:szCs w:val="32"/>
        </w:rPr>
      </w:pPr>
    </w:p>
    <w:p>
      <w:pPr>
        <w:ind w:firstLine="640"/>
        <w:rPr>
          <w:rFonts w:ascii="黑体" w:hAnsi="黑体" w:eastAsia="黑体"/>
          <w:b/>
          <w:bCs/>
          <w:sz w:val="32"/>
          <w:szCs w:val="32"/>
        </w:rPr>
      </w:pPr>
      <w:r>
        <w:rPr>
          <w:rFonts w:hint="eastAsia" w:ascii="黑体" w:hAnsi="黑体" w:eastAsia="黑体"/>
          <w:b/>
          <w:bCs/>
          <w:sz w:val="32"/>
          <w:szCs w:val="32"/>
        </w:rPr>
        <w:t>三、部门人员情况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眉县公安局人员编制198人，截止2019年底，我局实有人数为196人，县局158人，交警大队38人。单位管理的退休人员47人。</w:t>
      </w:r>
    </w:p>
    <w:p>
      <w:pPr>
        <w:ind w:firstLine="640"/>
        <w:rPr>
          <w:rFonts w:ascii="仿宋_GB2312" w:hAnsi="仿宋_GB2312" w:eastAsia="仿宋_GB2312" w:cs="仿宋_GB2312"/>
          <w:color w:val="FF0000"/>
          <w:sz w:val="32"/>
          <w:szCs w:val="32"/>
        </w:rPr>
      </w:pPr>
      <w:r>
        <w:drawing>
          <wp:inline distT="0" distB="0" distL="0" distR="0">
            <wp:extent cx="4410075" cy="1609725"/>
            <wp:effectExtent l="0" t="0" r="9525"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rPr>
          <w:rFonts w:ascii="仿宋_GB2312" w:hAnsi="仿宋_GB2312" w:eastAsia="仿宋_GB2312" w:cs="仿宋_GB2312"/>
          <w:sz w:val="32"/>
          <w:szCs w:val="32"/>
        </w:rPr>
      </w:pPr>
    </w:p>
    <w:p>
      <w:pPr>
        <w:widowControl/>
        <w:rPr>
          <w:rFonts w:ascii="仿宋_GB2312" w:hAnsi="仿宋_GB2312" w:eastAsia="仿宋_GB2312" w:cs="仿宋_GB2312"/>
          <w:sz w:val="32"/>
          <w:szCs w:val="32"/>
        </w:rPr>
      </w:pPr>
    </w:p>
    <w:p>
      <w:pPr>
        <w:widowControl/>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一般公共预算财政拨款支出决算表</w:t>
            </w:r>
          </w:p>
          <w:p>
            <w:pPr>
              <w:widowControl/>
              <w:jc w:val="left"/>
              <w:rPr>
                <w:rFonts w:ascii="宋体" w:hAnsi="宋体" w:cs="宋体"/>
                <w:color w:val="000000"/>
                <w:kern w:val="0"/>
                <w:sz w:val="24"/>
              </w:rPr>
            </w:pPr>
            <w:r>
              <w:rPr>
                <w:rFonts w:hint="eastAsia" w:ascii="宋体" w:hAnsi="宋体" w:cs="宋体"/>
                <w:color w:val="000000"/>
                <w:kern w:val="0"/>
                <w:sz w:val="24"/>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政府性基金预算财政拨款收入支出</w:t>
            </w:r>
          </w:p>
          <w:p>
            <w:pPr>
              <w:widowControl/>
              <w:jc w:val="left"/>
              <w:rPr>
                <w:rFonts w:ascii="宋体" w:hAnsi="宋体" w:cs="宋体"/>
                <w:color w:val="000000"/>
                <w:sz w:val="24"/>
              </w:rPr>
            </w:pPr>
            <w:r>
              <w:rPr>
                <w:rFonts w:hint="eastAsia" w:ascii="宋体" w:hAnsi="宋体" w:cs="宋体"/>
                <w:color w:val="000000"/>
                <w:kern w:val="0"/>
                <w:sz w:val="24"/>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cs="宋体"/>
          <w:b/>
          <w:bCs/>
          <w:sz w:val="32"/>
          <w:szCs w:val="32"/>
        </w:rPr>
      </w:pPr>
      <w:r>
        <w:rPr>
          <w:rFonts w:hint="eastAsia" w:ascii="宋体" w:hAnsi="宋体" w:cs="宋体"/>
          <w:b/>
          <w:bCs/>
          <w:sz w:val="32"/>
          <w:szCs w:val="32"/>
        </w:rPr>
        <w:t>收入支出决算总表</w:t>
      </w:r>
    </w:p>
    <w:p>
      <w:pPr>
        <w:rPr>
          <w:rFonts w:ascii="宋体" w:hAnsi="宋体" w:cs="宋体"/>
          <w:b/>
          <w:bCs/>
          <w:szCs w:val="21"/>
        </w:rPr>
      </w:pPr>
      <w:r>
        <w:rPr>
          <w:rFonts w:hint="eastAsia" w:ascii="宋体" w:hAnsi="宋体" w:cs="宋体"/>
          <w:b/>
          <w:bCs/>
          <w:szCs w:val="21"/>
        </w:rPr>
        <w:t>公开01表</w:t>
      </w:r>
    </w:p>
    <w:p>
      <w:pPr>
        <w:rPr>
          <w:rFonts w:ascii="宋体" w:hAnsi="宋体" w:cs="宋体"/>
          <w:b/>
          <w:bCs/>
          <w:szCs w:val="21"/>
        </w:rPr>
      </w:pPr>
      <w:r>
        <w:rPr>
          <w:rFonts w:hint="eastAsia" w:ascii="宋体" w:hAnsi="宋体" w:cs="宋体"/>
          <w:b/>
          <w:bCs/>
          <w:szCs w:val="21"/>
        </w:rPr>
        <w:t>编制部门：                                                            金额单位：万元</w:t>
      </w:r>
    </w:p>
    <w:tbl>
      <w:tblPr>
        <w:tblStyle w:val="7"/>
        <w:tblW w:w="8854" w:type="dxa"/>
        <w:tblInd w:w="0" w:type="dxa"/>
        <w:tblLayout w:type="fixed"/>
        <w:tblCellMar>
          <w:top w:w="15" w:type="dxa"/>
          <w:left w:w="15" w:type="dxa"/>
          <w:bottom w:w="15" w:type="dxa"/>
          <w:right w:w="15" w:type="dxa"/>
        </w:tblCellMar>
      </w:tblPr>
      <w:tblGrid>
        <w:gridCol w:w="3388"/>
        <w:gridCol w:w="1050"/>
        <w:gridCol w:w="3090"/>
        <w:gridCol w:w="1326"/>
      </w:tblGrid>
      <w:tr>
        <w:tblPrEx>
          <w:tblCellMar>
            <w:top w:w="15" w:type="dxa"/>
            <w:left w:w="15" w:type="dxa"/>
            <w:bottom w:w="15" w:type="dxa"/>
            <w:right w:w="15" w:type="dxa"/>
          </w:tblCellMar>
        </w:tblPrEx>
        <w:trPr>
          <w:trHeight w:val="426" w:hRule="atLeast"/>
        </w:trPr>
        <w:tc>
          <w:tcPr>
            <w:tcW w:w="44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1、一般公共预算财政拨款</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7948.39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12.35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2、政府性基金预算财政拨款</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 xml:space="preserve">3、国有资本经营预算财政拨款 </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4、上级补助收入</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7314.24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5、事业收入</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6、经营收入</w:t>
            </w:r>
          </w:p>
        </w:tc>
        <w:tc>
          <w:tcPr>
            <w:tcW w:w="105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7、附属单位上缴收入</w:t>
            </w:r>
          </w:p>
        </w:tc>
        <w:tc>
          <w:tcPr>
            <w:tcW w:w="105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8、其他收入</w:t>
            </w:r>
          </w:p>
        </w:tc>
        <w:tc>
          <w:tcPr>
            <w:tcW w:w="105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464.37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5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78.27</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5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5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79.17</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8"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050" w:type="dxa"/>
            <w:tcBorders>
              <w:top w:val="single" w:color="000000" w:sz="4" w:space="0"/>
              <w:left w:val="single" w:color="000000" w:sz="4" w:space="0"/>
              <w:right w:val="single" w:color="000000" w:sz="4" w:space="0"/>
            </w:tcBorders>
            <w:vAlign w:val="center"/>
          </w:tcPr>
          <w:p>
            <w:pPr>
              <w:widowControl/>
              <w:ind w:right="420" w:firstLine="105" w:firstLineChars="50"/>
              <w:jc w:val="right"/>
              <w:textAlignment w:val="center"/>
              <w:rPr>
                <w:rFonts w:ascii="宋体" w:hAnsi="宋体" w:cs="宋体"/>
                <w:color w:val="000000"/>
                <w:szCs w:val="21"/>
              </w:rPr>
            </w:pPr>
            <w:r>
              <w:rPr>
                <w:rFonts w:hint="eastAsia" w:ascii="宋体" w:hAnsi="宋体" w:cs="宋体"/>
                <w:color w:val="000000"/>
                <w:szCs w:val="21"/>
              </w:rPr>
              <w:t xml:space="preserve">7948.39  </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ascii="宋体" w:hAnsi="宋体" w:cs="宋体"/>
                <w:b/>
                <w:color w:val="000000"/>
                <w:szCs w:val="21"/>
              </w:rPr>
            </w:pPr>
            <w:r>
              <w:rPr>
                <w:rFonts w:hint="eastAsia" w:ascii="宋体" w:hAnsi="宋体" w:cs="宋体"/>
                <w:color w:val="000000"/>
                <w:szCs w:val="21"/>
              </w:rPr>
              <w:t>7948.39</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用事业基金弥补收支差额</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Cs/>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cs="宋体"/>
                <w:b/>
                <w:color w:val="000000"/>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年初结转和结余</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Cs/>
                <w:color w:val="000000"/>
                <w:szCs w:val="21"/>
              </w:rPr>
            </w:pPr>
            <w:r>
              <w:rPr>
                <w:rFonts w:hint="eastAsia" w:ascii="宋体" w:hAnsi="宋体" w:cs="宋体"/>
                <w:bCs/>
                <w:color w:val="000000"/>
                <w:szCs w:val="21"/>
              </w:rPr>
              <w:t>0.80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0.80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收入总计</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7949.19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7949.19</w:t>
            </w:r>
          </w:p>
        </w:tc>
      </w:tr>
    </w:tbl>
    <w:p>
      <w:pPr>
        <w:widowControl/>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注：本表反映部门本年度的总收支和年末结转结余情况。本表金额转换为万元时，因四舍五入可能存在尾差</w:t>
      </w:r>
    </w:p>
    <w:p>
      <w:pPr>
        <w:rPr>
          <w:rFonts w:ascii="宋体" w:hAnsi="宋体" w:cs="宋体"/>
          <w:b/>
          <w:bCs/>
          <w:sz w:val="32"/>
          <w:szCs w:val="32"/>
        </w:rPr>
      </w:pPr>
      <w:r>
        <w:rPr>
          <w:rFonts w:hint="eastAsia"/>
        </w:rPr>
        <w:drawing>
          <wp:inline distT="0" distB="0" distL="0" distR="0">
            <wp:extent cx="5743575" cy="8200390"/>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743575" cy="8200977"/>
                    </a:xfrm>
                    <a:prstGeom prst="rect">
                      <a:avLst/>
                    </a:prstGeom>
                    <a:noFill/>
                    <a:ln>
                      <a:noFill/>
                    </a:ln>
                  </pic:spPr>
                </pic:pic>
              </a:graphicData>
            </a:graphic>
          </wp:inline>
        </w:drawing>
      </w:r>
    </w:p>
    <w:p>
      <w:pPr>
        <w:jc w:val="center"/>
        <w:rPr>
          <w:rFonts w:ascii="宋体" w:hAnsi="宋体" w:cs="宋体"/>
          <w:b/>
          <w:bCs/>
          <w:sz w:val="32"/>
          <w:szCs w:val="32"/>
        </w:rPr>
      </w:pPr>
      <w:r>
        <w:rPr>
          <w:rFonts w:hint="eastAsia"/>
        </w:rPr>
        <w:drawing>
          <wp:inline distT="0" distB="0" distL="0" distR="0">
            <wp:extent cx="5615940" cy="8018145"/>
            <wp:effectExtent l="0" t="0" r="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615940" cy="8018733"/>
                    </a:xfrm>
                    <a:prstGeom prst="rect">
                      <a:avLst/>
                    </a:prstGeom>
                    <a:noFill/>
                    <a:ln>
                      <a:noFill/>
                    </a:ln>
                  </pic:spPr>
                </pic:pic>
              </a:graphicData>
            </a:graphic>
          </wp:inline>
        </w:drawing>
      </w:r>
    </w:p>
    <w:p>
      <w:pPr>
        <w:jc w:val="center"/>
        <w:rPr>
          <w:rFonts w:ascii="宋体" w:hAnsi="宋体" w:cs="宋体"/>
          <w:b/>
          <w:bCs/>
          <w:sz w:val="32"/>
          <w:szCs w:val="32"/>
        </w:rPr>
      </w:pPr>
      <w:r>
        <w:rPr>
          <w:rFonts w:hint="eastAsia"/>
        </w:rPr>
        <w:drawing>
          <wp:inline distT="0" distB="0" distL="0" distR="0">
            <wp:extent cx="5615940" cy="6834505"/>
            <wp:effectExtent l="0" t="0" r="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5615940" cy="6834758"/>
                    </a:xfrm>
                    <a:prstGeom prst="rect">
                      <a:avLst/>
                    </a:prstGeom>
                    <a:noFill/>
                    <a:ln>
                      <a:noFill/>
                    </a:ln>
                  </pic:spPr>
                </pic:pic>
              </a:graphicData>
            </a:graphic>
          </wp:inline>
        </w:drawing>
      </w:r>
    </w:p>
    <w:p>
      <w:pPr>
        <w:jc w:val="center"/>
        <w:rPr>
          <w:rFonts w:ascii="宋体" w:hAnsi="宋体" w:cs="宋体"/>
          <w:b/>
          <w:bCs/>
          <w:sz w:val="32"/>
          <w:szCs w:val="32"/>
        </w:rPr>
      </w:pPr>
    </w:p>
    <w:p>
      <w:pPr>
        <w:rPr>
          <w:rFonts w:ascii="宋体" w:hAnsi="宋体" w:cs="宋体"/>
          <w:b/>
          <w:bCs/>
          <w:sz w:val="32"/>
          <w:szCs w:val="32"/>
        </w:rPr>
      </w:pPr>
    </w:p>
    <w:p>
      <w:pPr>
        <w:jc w:val="center"/>
        <w:rPr>
          <w:rFonts w:ascii="宋体" w:hAnsi="宋体" w:cs="宋体"/>
          <w:b/>
          <w:bCs/>
          <w:sz w:val="32"/>
          <w:szCs w:val="32"/>
        </w:rPr>
      </w:pPr>
      <w:r>
        <w:rPr>
          <w:rFonts w:hint="eastAsia"/>
        </w:rPr>
        <w:drawing>
          <wp:inline distT="0" distB="0" distL="0" distR="0">
            <wp:extent cx="5615940" cy="8187055"/>
            <wp:effectExtent l="0" t="0" r="0" b="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5615940" cy="8187549"/>
                    </a:xfrm>
                    <a:prstGeom prst="rect">
                      <a:avLst/>
                    </a:prstGeom>
                    <a:noFill/>
                    <a:ln>
                      <a:noFill/>
                    </a:ln>
                  </pic:spPr>
                </pic:pic>
              </a:graphicData>
            </a:graphic>
          </wp:inline>
        </w:drawing>
      </w:r>
    </w:p>
    <w:p>
      <w:pPr>
        <w:jc w:val="center"/>
        <w:rPr>
          <w:rFonts w:ascii="宋体" w:hAnsi="宋体" w:cs="宋体"/>
          <w:b/>
          <w:bCs/>
          <w:sz w:val="32"/>
          <w:szCs w:val="32"/>
        </w:rPr>
      </w:pPr>
      <w:r>
        <w:drawing>
          <wp:inline distT="0" distB="0" distL="0" distR="0">
            <wp:extent cx="5615940" cy="7934325"/>
            <wp:effectExtent l="0" t="0" r="0"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5615940" cy="7934363"/>
                    </a:xfrm>
                    <a:prstGeom prst="rect">
                      <a:avLst/>
                    </a:prstGeom>
                    <a:noFill/>
                    <a:ln>
                      <a:noFill/>
                    </a:ln>
                  </pic:spPr>
                </pic:pic>
              </a:graphicData>
            </a:graphic>
          </wp:inline>
        </w:drawing>
      </w:r>
    </w:p>
    <w:p>
      <w:pPr>
        <w:jc w:val="center"/>
        <w:rPr>
          <w:rFonts w:ascii="宋体" w:hAnsi="宋体" w:cs="宋体"/>
          <w:b/>
          <w:bCs/>
          <w:sz w:val="32"/>
          <w:szCs w:val="32"/>
        </w:rPr>
      </w:pPr>
    </w:p>
    <w:p>
      <w:pPr>
        <w:ind w:firstLine="1606" w:firstLineChars="500"/>
        <w:rPr>
          <w:rFonts w:ascii="宋体" w:hAnsi="宋体" w:cs="宋体"/>
          <w:b/>
          <w:bCs/>
          <w:sz w:val="32"/>
          <w:szCs w:val="32"/>
        </w:rPr>
      </w:pPr>
      <w:r>
        <w:rPr>
          <w:rFonts w:hint="eastAsia" w:ascii="宋体" w:hAnsi="宋体" w:cs="宋体"/>
          <w:b/>
          <w:bCs/>
          <w:sz w:val="32"/>
          <w:szCs w:val="32"/>
        </w:rPr>
        <w:t>一般公共预算财政拨款“三公”经费</w:t>
      </w:r>
    </w:p>
    <w:p>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pPr>
        <w:rPr>
          <w:rFonts w:ascii="宋体" w:hAnsi="宋体" w:cs="宋体"/>
          <w:b/>
          <w:bCs/>
          <w:szCs w:val="21"/>
        </w:rPr>
      </w:pPr>
      <w:r>
        <w:rPr>
          <w:rFonts w:hint="eastAsia" w:ascii="宋体" w:hAnsi="宋体" w:cs="宋体"/>
          <w:b/>
          <w:bCs/>
          <w:szCs w:val="21"/>
        </w:rPr>
        <w:t xml:space="preserve">        公开07表</w:t>
      </w:r>
    </w:p>
    <w:p>
      <w:pPr>
        <w:rPr>
          <w:rFonts w:ascii="宋体" w:hAnsi="宋体" w:cs="宋体"/>
          <w:b/>
          <w:bCs/>
          <w:szCs w:val="21"/>
        </w:rPr>
      </w:pPr>
      <w:r>
        <w:rPr>
          <w:rFonts w:hint="eastAsia" w:ascii="宋体" w:hAnsi="宋体" w:cs="宋体"/>
          <w:b/>
          <w:bCs/>
          <w:szCs w:val="21"/>
        </w:rPr>
        <w:t>编制部门：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165.85</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0.42</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165.43</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165.43</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2.32</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165.85</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0.42</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165.43</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165.43</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2.32</w:t>
            </w:r>
          </w:p>
        </w:tc>
      </w:tr>
    </w:tbl>
    <w:p>
      <w:pPr>
        <w:widowControl/>
        <w:jc w:val="left"/>
      </w:pPr>
      <w:r>
        <w:rPr>
          <w:rFonts w:hint="eastAsia" w:ascii="宋体" w:hAnsi="宋体" w:cs="宋体"/>
          <w:szCs w:val="21"/>
        </w:rPr>
        <w:t>注：本表反映部门本年度一般公共预算财政拨款“三公”经费、会议费、培训费的预算数和实际支出。预算数为调整预算数。</w:t>
      </w:r>
      <w:r>
        <w:rPr>
          <w:rFonts w:hint="eastAsia" w:ascii="宋体" w:hAnsi="宋体" w:cs="宋体"/>
          <w:color w:val="000000"/>
          <w:kern w:val="0"/>
          <w:szCs w:val="21"/>
        </w:rPr>
        <w:t>本表金额转换为万元时，因四舍五入可能存在尾差。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ind w:firstLine="1445" w:firstLineChars="450"/>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政府性基金预算财政拨款收入支出决算表</w:t>
      </w:r>
    </w:p>
    <w:p>
      <w:pPr>
        <w:rPr>
          <w:rFonts w:ascii="宋体" w:hAnsi="宋体" w:cs="宋体"/>
          <w:b/>
          <w:bCs/>
          <w:szCs w:val="21"/>
        </w:rPr>
      </w:pPr>
      <w:r>
        <w:rPr>
          <w:rFonts w:hint="eastAsia" w:ascii="宋体" w:hAnsi="宋体" w:cs="宋体"/>
          <w:b/>
          <w:bCs/>
          <w:szCs w:val="21"/>
        </w:rPr>
        <w:t>公开08表</w:t>
      </w:r>
    </w:p>
    <w:p>
      <w:pPr>
        <w:rPr>
          <w:rFonts w:ascii="宋体" w:hAnsi="宋体" w:cs="宋体"/>
          <w:b/>
          <w:bCs/>
          <w:szCs w:val="21"/>
        </w:rPr>
      </w:pPr>
      <w:r>
        <w:rPr>
          <w:rFonts w:hint="eastAsia" w:ascii="宋体" w:hAnsi="宋体" w:cs="宋体"/>
          <w:b/>
          <w:bCs/>
          <w:szCs w:val="21"/>
        </w:rPr>
        <w:t>编制部门：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注：本表反映部门本年度政府性基金预算财政拨款收入支出及结转和结余情况。</w:t>
      </w:r>
      <w:r>
        <w:rPr>
          <w:rFonts w:hint="eastAsia" w:ascii="宋体" w:hAnsi="宋体" w:cs="宋体"/>
          <w:color w:val="000000"/>
          <w:kern w:val="0"/>
          <w:szCs w:val="21"/>
        </w:rPr>
        <w:t>本表金额转换为万元时，因四舍五入可能存在尾差。</w:t>
      </w:r>
    </w:p>
    <w:p>
      <w:pPr>
        <w:rPr>
          <w:rFonts w:ascii="宋体" w:hAnsi="宋体" w:cs="宋体"/>
          <w:szCs w:val="21"/>
        </w:rPr>
      </w:pPr>
    </w:p>
    <w:p>
      <w:pPr>
        <w:jc w:val="center"/>
        <w:rPr>
          <w:rFonts w:ascii="黑体" w:hAnsi="宋体" w:eastAsia="黑体"/>
          <w:color w:val="000000"/>
          <w:kern w:val="0"/>
          <w:sz w:val="44"/>
          <w:szCs w:val="44"/>
        </w:rPr>
      </w:pPr>
      <w:r>
        <w:rPr>
          <w:rFonts w:hint="eastAsia" w:ascii="黑体" w:hAnsi="宋体" w:eastAsia="黑体"/>
          <w:color w:val="000000"/>
          <w:kern w:val="0"/>
          <w:sz w:val="44"/>
          <w:szCs w:val="44"/>
        </w:rPr>
        <w:br w:type="page"/>
      </w:r>
      <w:r>
        <w:rPr>
          <w:rFonts w:hint="eastAsia" w:ascii="黑体" w:hAnsi="宋体" w:eastAsia="黑体"/>
          <w:color w:val="000000"/>
          <w:kern w:val="0"/>
          <w:sz w:val="44"/>
          <w:szCs w:val="44"/>
        </w:rPr>
        <w:t>第三部分 2019 年部门决算情况说明</w:t>
      </w:r>
    </w:p>
    <w:p>
      <w:pPr>
        <w:widowControl/>
        <w:rPr>
          <w:rFonts w:ascii="黑体" w:hAnsi="宋体" w:eastAsia="黑体"/>
          <w:color w:val="000000"/>
          <w:kern w:val="0"/>
          <w:sz w:val="44"/>
          <w:szCs w:val="44"/>
        </w:rPr>
      </w:pP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一、收入支出决算总体情况说明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1、本年度收入总计为：7949.39万元，支出总计为：7948.39万元，总体比上年增长2307.62万元，增长的主要原因</w:t>
      </w:r>
      <w:r>
        <w:rPr>
          <w:rFonts w:hint="eastAsia" w:ascii="仿宋_GB2312" w:hAnsi="Arial" w:eastAsia="仿宋_GB2312" w:cs="Arial"/>
          <w:color w:val="000000"/>
          <w:kern w:val="0"/>
          <w:sz w:val="32"/>
          <w:szCs w:val="32"/>
        </w:rPr>
        <w:t>是新建看守所基建工程款及人员经费</w:t>
      </w:r>
      <w:r>
        <w:rPr>
          <w:rFonts w:hint="eastAsia" w:ascii="仿宋_GB2312" w:hAnsi="仿宋" w:eastAsia="仿宋_GB2312"/>
          <w:sz w:val="32"/>
          <w:szCs w:val="32"/>
        </w:rPr>
        <w:t>的增加。</w:t>
      </w:r>
    </w:p>
    <w:p>
      <w:pPr>
        <w:ind w:firstLine="640" w:firstLineChars="200"/>
        <w:rPr>
          <w:rFonts w:ascii="宋体" w:hAnsi="宋体" w:cs="宋体"/>
          <w:sz w:val="32"/>
          <w:szCs w:val="32"/>
        </w:rPr>
      </w:pPr>
      <w:r>
        <w:rPr>
          <w:rFonts w:hint="eastAsia" w:ascii="仿宋_GB2312" w:hAnsi="仿宋" w:eastAsia="仿宋_GB2312"/>
          <w:sz w:val="32"/>
          <w:szCs w:val="32"/>
        </w:rPr>
        <w:t>2.本年度收入构成情况：2019年度收入总计</w:t>
      </w:r>
      <w:r>
        <w:rPr>
          <w:rFonts w:hint="eastAsia" w:ascii="仿宋_GB2312" w:eastAsia="仿宋_GB2312"/>
          <w:sz w:val="32"/>
          <w:szCs w:val="32"/>
        </w:rPr>
        <w:t>7948.39</w:t>
      </w:r>
      <w:r>
        <w:rPr>
          <w:rFonts w:hint="eastAsia" w:ascii="仿宋_GB2312" w:hAnsi="仿宋" w:eastAsia="仿宋_GB2312"/>
          <w:sz w:val="32"/>
          <w:szCs w:val="32"/>
        </w:rPr>
        <w:t>万元。包括：</w:t>
      </w:r>
      <w:r>
        <w:rPr>
          <w:rFonts w:ascii="宋体" w:hAnsi="宋体" w:cs="宋体"/>
          <w:sz w:val="32"/>
          <w:szCs w:val="32"/>
        </w:rPr>
        <w:t xml:space="preserve"> </w:t>
      </w:r>
    </w:p>
    <w:p>
      <w:pPr>
        <w:ind w:firstLine="640" w:firstLineChars="200"/>
        <w:rPr>
          <w:rFonts w:ascii="宋体" w:hAnsi="宋体" w:cs="宋体"/>
          <w:sz w:val="32"/>
          <w:szCs w:val="32"/>
        </w:rPr>
      </w:pPr>
      <w:r>
        <w:rPr>
          <w:rFonts w:hint="eastAsia" w:ascii="仿宋_GB2312" w:eastAsia="仿宋_GB2312"/>
          <w:sz w:val="32"/>
          <w:szCs w:val="32"/>
        </w:rPr>
        <w:t>(1)公共预算财政拨款收入7948.39万元，为县级财政当年拨付的公共预算资金财政拨款。</w:t>
      </w:r>
    </w:p>
    <w:p>
      <w:pPr>
        <w:spacing w:line="360" w:lineRule="auto"/>
        <w:ind w:firstLine="720" w:firstLineChars="225"/>
        <w:rPr>
          <w:rFonts w:ascii="仿宋_GB2312" w:hAnsi="宋体" w:eastAsia="仿宋_GB2312" w:cs="宋体"/>
          <w:kern w:val="0"/>
          <w:sz w:val="32"/>
          <w:szCs w:val="32"/>
        </w:rPr>
      </w:pPr>
      <w:r>
        <w:rPr>
          <w:rFonts w:hint="eastAsia" w:ascii="仿宋_GB2312" w:eastAsia="仿宋_GB2312"/>
          <w:sz w:val="32"/>
          <w:szCs w:val="32"/>
        </w:rPr>
        <w:t>(2)上年结转和结余0.8万元，为</w:t>
      </w:r>
      <w:r>
        <w:rPr>
          <w:rFonts w:hint="eastAsia" w:ascii="仿宋_GB2312" w:hAnsi="宋体" w:eastAsia="仿宋_GB2312" w:cs="宋体"/>
          <w:kern w:val="0"/>
          <w:sz w:val="32"/>
          <w:szCs w:val="32"/>
        </w:rPr>
        <w:t>以前年度尚未列支，结转到本年仍按原规定用途继续使用的资金</w:t>
      </w:r>
    </w:p>
    <w:p>
      <w:pPr>
        <w:spacing w:line="520" w:lineRule="exact"/>
        <w:ind w:firstLine="640" w:firstLineChars="200"/>
        <w:rPr>
          <w:rFonts w:ascii="仿宋_GB2312" w:eastAsia="仿宋_GB2312"/>
          <w:sz w:val="32"/>
          <w:szCs w:val="32"/>
        </w:rPr>
      </w:pPr>
      <w:r>
        <w:rPr>
          <w:rFonts w:hint="eastAsia" w:ascii="仿宋_GB2312" w:hAnsi="仿宋" w:eastAsia="仿宋_GB2312"/>
          <w:sz w:val="32"/>
          <w:szCs w:val="32"/>
        </w:rPr>
        <w:t>3．本年支出总计</w:t>
      </w:r>
      <w:r>
        <w:rPr>
          <w:rFonts w:hint="eastAsia" w:ascii="仿宋_GB2312" w:eastAsia="仿宋_GB2312"/>
          <w:sz w:val="32"/>
          <w:szCs w:val="32"/>
        </w:rPr>
        <w:t>7948.39万元，包括：</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（1）本年度支出合计为：7948.39万元，主要为公共预算</w:t>
      </w:r>
      <w:r>
        <w:rPr>
          <w:rFonts w:ascii="仿宋_GB2312" w:eastAsia="仿宋_GB2312"/>
          <w:sz w:val="32"/>
          <w:szCs w:val="32"/>
        </w:rPr>
        <w:t>财政拨款</w:t>
      </w:r>
      <w:r>
        <w:rPr>
          <w:rFonts w:hint="eastAsia" w:ascii="仿宋_GB2312" w:eastAsia="仿宋_GB2312"/>
          <w:sz w:val="32"/>
          <w:szCs w:val="32"/>
        </w:rPr>
        <w:t>支出。其中：基本支出4792.69万元，</w:t>
      </w:r>
      <w:r>
        <w:rPr>
          <w:rFonts w:hint="eastAsia" w:ascii="仿宋_GB2312" w:hAnsi="仿宋" w:eastAsia="仿宋_GB2312"/>
          <w:sz w:val="32"/>
          <w:szCs w:val="32"/>
        </w:rPr>
        <w:t>主要是为保障机构正常运转、完成日常工作任务而发生的各项支出。</w:t>
      </w:r>
      <w:r>
        <w:rPr>
          <w:rFonts w:hint="eastAsia" w:ascii="仿宋_GB2312" w:eastAsia="仿宋_GB2312"/>
          <w:sz w:val="32"/>
          <w:szCs w:val="32"/>
        </w:rPr>
        <w:t>项目支出3155.7万元，主要是</w:t>
      </w:r>
      <w:r>
        <w:rPr>
          <w:rFonts w:hint="eastAsia" w:ascii="仿宋_GB2312" w:hAnsi="Arial" w:eastAsia="仿宋_GB2312" w:cs="Arial"/>
          <w:color w:val="000000"/>
          <w:kern w:val="0"/>
          <w:sz w:val="32"/>
          <w:szCs w:val="32"/>
        </w:rPr>
        <w:t>新建看守所基建工程款及</w:t>
      </w:r>
      <w:r>
        <w:rPr>
          <w:rFonts w:hint="eastAsia" w:ascii="仿宋_GB2312" w:eastAsia="仿宋_GB2312"/>
          <w:sz w:val="32"/>
          <w:szCs w:val="32"/>
        </w:rPr>
        <w:t>政法专项支出。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（2）本年度结转和结余0.8万元，</w:t>
      </w:r>
      <w:r>
        <w:rPr>
          <w:rFonts w:hint="eastAsia" w:ascii="仿宋_GB2312" w:hAnsi="宋体" w:eastAsia="仿宋_GB2312" w:cs="宋体"/>
          <w:kern w:val="0"/>
          <w:sz w:val="32"/>
          <w:szCs w:val="32"/>
        </w:rPr>
        <w:t>结转到下年仍按原规定用途继续使用的资金。</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二、收入决算情况说明</w:t>
      </w:r>
    </w:p>
    <w:p>
      <w:pPr>
        <w:spacing w:line="360" w:lineRule="auto"/>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年收入合计</w:t>
      </w:r>
      <w:r>
        <w:rPr>
          <w:rFonts w:hint="eastAsia" w:ascii="仿宋_GB2312" w:hAnsi="宋体" w:eastAsia="仿宋_GB2312" w:cs="仿宋_GB2312"/>
          <w:color w:val="000000"/>
          <w:kern w:val="0"/>
          <w:sz w:val="32"/>
          <w:szCs w:val="32"/>
        </w:rPr>
        <w:t>7948.39</w:t>
      </w:r>
      <w:r>
        <w:rPr>
          <w:rFonts w:ascii="仿宋_GB2312" w:hAnsi="宋体" w:eastAsia="仿宋_GB2312" w:cs="仿宋_GB2312"/>
          <w:color w:val="000000"/>
          <w:kern w:val="0"/>
          <w:sz w:val="32"/>
          <w:szCs w:val="32"/>
        </w:rPr>
        <w:t>万元，其中：财政拨款收入</w:t>
      </w:r>
      <w:r>
        <w:rPr>
          <w:rFonts w:hint="eastAsia" w:ascii="仿宋_GB2312" w:hAnsi="宋体" w:eastAsia="仿宋_GB2312" w:cs="仿宋_GB2312"/>
          <w:color w:val="000000"/>
          <w:kern w:val="0"/>
          <w:sz w:val="32"/>
          <w:szCs w:val="32"/>
        </w:rPr>
        <w:t>7948.39</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spacing w:line="360" w:lineRule="auto"/>
        <w:ind w:firstLine="420" w:firstLineChars="200"/>
        <w:rPr>
          <w:rFonts w:ascii="仿宋_GB2312" w:hAnsi="仿宋" w:eastAsia="仿宋_GB2312"/>
          <w:sz w:val="32"/>
          <w:szCs w:val="32"/>
        </w:rPr>
      </w:pPr>
      <w:r>
        <w:drawing>
          <wp:inline distT="0" distB="0" distL="0" distR="0">
            <wp:extent cx="4895850" cy="24098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640" w:firstLineChars="200"/>
        <w:jc w:val="left"/>
        <w:rPr>
          <w:rFonts w:ascii="黑体" w:hAnsi="黑体" w:eastAsia="黑体"/>
        </w:rPr>
      </w:pPr>
      <w:r>
        <w:rPr>
          <w:rFonts w:hint="eastAsia" w:ascii="黑体" w:hAnsi="黑体" w:eastAsia="黑体"/>
          <w:color w:val="000000"/>
          <w:kern w:val="0"/>
          <w:sz w:val="32"/>
          <w:szCs w:val="32"/>
        </w:rPr>
        <w:t>三、支出决算情况说明</w:t>
      </w:r>
    </w:p>
    <w:p>
      <w:pPr>
        <w:widowControl/>
        <w:ind w:firstLine="640" w:firstLineChars="200"/>
        <w:jc w:val="left"/>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年支出合计</w:t>
      </w:r>
      <w:r>
        <w:rPr>
          <w:rFonts w:hint="eastAsia" w:ascii="仿宋_GB2312" w:hAnsi="宋体" w:eastAsia="仿宋_GB2312" w:cs="仿宋_GB2312"/>
          <w:color w:val="000000"/>
          <w:kern w:val="0"/>
          <w:sz w:val="32"/>
          <w:szCs w:val="32"/>
        </w:rPr>
        <w:t>7948.39</w:t>
      </w:r>
      <w:r>
        <w:rPr>
          <w:rFonts w:ascii="仿宋_GB2312" w:hAnsi="宋体" w:eastAsia="仿宋_GB2312" w:cs="仿宋_GB2312"/>
          <w:color w:val="000000"/>
          <w:kern w:val="0"/>
          <w:sz w:val="32"/>
          <w:szCs w:val="32"/>
        </w:rPr>
        <w:t>万元，其中：基本支出</w:t>
      </w:r>
      <w:r>
        <w:rPr>
          <w:rFonts w:hint="eastAsia" w:ascii="仿宋_GB2312" w:hAnsi="宋体" w:eastAsia="仿宋_GB2312" w:cs="仿宋_GB2312"/>
          <w:color w:val="000000"/>
          <w:kern w:val="0"/>
          <w:sz w:val="32"/>
          <w:szCs w:val="32"/>
        </w:rPr>
        <w:t>4792.69</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60</w:t>
      </w:r>
      <w:r>
        <w:rPr>
          <w:rFonts w:ascii="仿宋_GB2312" w:hAnsi="宋体" w:eastAsia="仿宋_GB2312" w:cs="仿宋_GB2312"/>
          <w:color w:val="000000"/>
          <w:kern w:val="0"/>
          <w:sz w:val="32"/>
          <w:szCs w:val="32"/>
        </w:rPr>
        <w:t>%；项目支出</w:t>
      </w:r>
      <w:r>
        <w:rPr>
          <w:rFonts w:hint="eastAsia" w:ascii="仿宋_GB2312" w:hAnsi="宋体" w:eastAsia="仿宋_GB2312" w:cs="仿宋_GB2312"/>
          <w:color w:val="000000"/>
          <w:kern w:val="0"/>
          <w:sz w:val="32"/>
          <w:szCs w:val="32"/>
        </w:rPr>
        <w:t>3155.7</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40</w:t>
      </w:r>
      <w:r>
        <w:rPr>
          <w:rFonts w:ascii="仿宋_GB2312" w:hAnsi="宋体" w:eastAsia="仿宋_GB2312" w:cs="仿宋_GB2312"/>
          <w:color w:val="000000"/>
          <w:kern w:val="0"/>
          <w:sz w:val="32"/>
          <w:szCs w:val="32"/>
        </w:rPr>
        <w:t>%。</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四、财政拨款收入支出决算总体情况说明 </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 </w:t>
      </w:r>
      <w:r>
        <w:drawing>
          <wp:inline distT="0" distB="0" distL="0" distR="0">
            <wp:extent cx="4905375" cy="22860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ind w:firstLine="480" w:firstLineChars="150"/>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收入7948.39万元，比上年增长2307.62万元，增长的主要原因</w:t>
      </w:r>
      <w:r>
        <w:rPr>
          <w:rFonts w:hint="eastAsia" w:ascii="仿宋_GB2312" w:hAnsi="Arial" w:eastAsia="仿宋_GB2312" w:cs="Arial"/>
          <w:color w:val="000000"/>
          <w:kern w:val="0"/>
          <w:sz w:val="32"/>
          <w:szCs w:val="32"/>
        </w:rPr>
        <w:t>是新建看守所基建工程款及人员经费</w:t>
      </w:r>
      <w:r>
        <w:rPr>
          <w:rFonts w:hint="eastAsia" w:ascii="仿宋_GB2312" w:hAnsi="仿宋" w:eastAsia="仿宋_GB2312"/>
          <w:sz w:val="32"/>
          <w:szCs w:val="32"/>
        </w:rPr>
        <w:t>的增加。</w:t>
      </w:r>
    </w:p>
    <w:p>
      <w:pPr>
        <w:spacing w:line="360" w:lineRule="auto"/>
        <w:ind w:firstLine="480" w:firstLineChars="150"/>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支出7948.39万元，比上年5640.77万元增长2307.62万元，增长了41%，增长的主要原因</w:t>
      </w:r>
      <w:r>
        <w:rPr>
          <w:rFonts w:hint="eastAsia" w:ascii="仿宋_GB2312" w:hAnsi="Arial" w:eastAsia="仿宋_GB2312" w:cs="Arial"/>
          <w:color w:val="000000"/>
          <w:kern w:val="0"/>
          <w:sz w:val="32"/>
          <w:szCs w:val="32"/>
        </w:rPr>
        <w:t>是新建看守所基建工程款及人员经费</w:t>
      </w:r>
      <w:r>
        <w:rPr>
          <w:rFonts w:hint="eastAsia" w:ascii="仿宋_GB2312" w:hAnsi="仿宋" w:eastAsia="仿宋_GB2312"/>
          <w:sz w:val="32"/>
          <w:szCs w:val="32"/>
        </w:rPr>
        <w:t>的增加。</w:t>
      </w:r>
    </w:p>
    <w:p>
      <w:pPr>
        <w:spacing w:line="360" w:lineRule="auto"/>
        <w:ind w:firstLine="315" w:firstLineChars="150"/>
        <w:rPr>
          <w:rFonts w:ascii="仿宋_GB2312" w:hAnsi="仿宋" w:eastAsia="仿宋_GB2312"/>
          <w:sz w:val="32"/>
          <w:szCs w:val="32"/>
        </w:rPr>
      </w:pPr>
      <w:r>
        <w:drawing>
          <wp:inline distT="0" distB="0" distL="0" distR="0">
            <wp:extent cx="4533900" cy="1647825"/>
            <wp:effectExtent l="0" t="0" r="1905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五、一般公共预算财政拨款支出决算情况说明</w:t>
      </w:r>
    </w:p>
    <w:p>
      <w:pPr>
        <w:widowControl/>
        <w:ind w:firstLine="642" w:firstLineChars="200"/>
        <w:jc w:val="left"/>
        <w:rPr>
          <w:rFonts w:ascii="楷体_GB2312" w:hAnsi="宋体" w:eastAsia="楷体_GB2312" w:cs="楷体_GB2312"/>
          <w:b/>
          <w:color w:val="000000"/>
          <w:kern w:val="0"/>
          <w:sz w:val="32"/>
          <w:szCs w:val="32"/>
        </w:rPr>
      </w:pPr>
      <w:r>
        <w:rPr>
          <w:rFonts w:ascii="楷体_GB2312" w:hAnsi="宋体" w:eastAsia="楷体_GB2312" w:cs="楷体_GB2312"/>
          <w:b/>
          <w:color w:val="000000"/>
          <w:kern w:val="0"/>
          <w:sz w:val="32"/>
          <w:szCs w:val="32"/>
        </w:rPr>
        <w:t>（一）财政拨款支出决算总体情况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（文字说明，并列图表）</w:t>
      </w:r>
    </w:p>
    <w:p>
      <w:pPr>
        <w:spacing w:line="360" w:lineRule="auto"/>
        <w:ind w:firstLine="480" w:firstLineChars="150"/>
        <w:rPr>
          <w:rFonts w:ascii="仿宋_GB2312" w:hAnsi="仿宋" w:eastAsia="仿宋_GB2312"/>
          <w:sz w:val="32"/>
          <w:szCs w:val="32"/>
        </w:rPr>
      </w:pPr>
      <w:r>
        <w:rPr>
          <w:rFonts w:ascii="仿宋_GB2312" w:hAnsi="宋体" w:eastAsia="仿宋_GB2312" w:cs="仿宋_GB2312"/>
          <w:color w:val="000000"/>
          <w:kern w:val="0"/>
          <w:sz w:val="32"/>
          <w:szCs w:val="32"/>
        </w:rPr>
        <w:t>2019年财政拨款支</w:t>
      </w:r>
      <w:r>
        <w:rPr>
          <w:rFonts w:hint="eastAsia" w:ascii="仿宋_GB2312" w:hAnsi="宋体" w:eastAsia="仿宋_GB2312" w:cs="仿宋_GB2312"/>
          <w:color w:val="000000"/>
          <w:kern w:val="0"/>
          <w:sz w:val="32"/>
          <w:szCs w:val="32"/>
        </w:rPr>
        <w:t>出7948.39</w:t>
      </w:r>
      <w:r>
        <w:rPr>
          <w:rFonts w:ascii="仿宋_GB2312" w:hAnsi="宋体" w:eastAsia="仿宋_GB2312" w:cs="仿宋_GB2312"/>
          <w:color w:val="000000"/>
          <w:kern w:val="0"/>
          <w:sz w:val="32"/>
          <w:szCs w:val="32"/>
        </w:rPr>
        <w:t>万元，占本年支出合</w:t>
      </w:r>
      <w:r>
        <w:rPr>
          <w:rFonts w:hint="eastAsia" w:ascii="仿宋_GB2312" w:hAnsi="宋体" w:eastAsia="仿宋_GB2312" w:cs="仿宋_GB2312"/>
          <w:color w:val="000000"/>
          <w:kern w:val="0"/>
          <w:sz w:val="32"/>
          <w:szCs w:val="32"/>
        </w:rPr>
        <w:t>计7949.39</w:t>
      </w:r>
      <w:r>
        <w:rPr>
          <w:rFonts w:ascii="仿宋_GB2312" w:hAnsi="宋体" w:eastAsia="仿宋_GB2312" w:cs="仿宋_GB2312"/>
          <w:color w:val="000000"/>
          <w:kern w:val="0"/>
          <w:sz w:val="32"/>
          <w:szCs w:val="32"/>
        </w:rPr>
        <w:t>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%。与</w:t>
      </w:r>
      <w:r>
        <w:rPr>
          <w:rFonts w:hint="eastAsia" w:ascii="仿宋_GB2312" w:hAnsi="宋体" w:eastAsia="仿宋_GB2312" w:cs="仿宋_GB2312"/>
          <w:color w:val="000000"/>
          <w:kern w:val="0"/>
          <w:sz w:val="32"/>
          <w:szCs w:val="32"/>
        </w:rPr>
        <w:t>上年</w:t>
      </w:r>
      <w:r>
        <w:rPr>
          <w:rFonts w:ascii="仿宋_GB2312" w:hAnsi="宋体" w:eastAsia="仿宋_GB2312" w:cs="仿宋_GB2312"/>
          <w:color w:val="000000"/>
          <w:kern w:val="0"/>
          <w:sz w:val="32"/>
          <w:szCs w:val="32"/>
        </w:rPr>
        <w:t>相比，财政拨款支出增加</w:t>
      </w:r>
      <w:r>
        <w:rPr>
          <w:rFonts w:hint="eastAsia" w:ascii="仿宋_GB2312" w:hAnsi="宋体" w:eastAsia="仿宋_GB2312" w:cs="仿宋_GB2312"/>
          <w:color w:val="000000"/>
          <w:kern w:val="0"/>
          <w:sz w:val="32"/>
          <w:szCs w:val="32"/>
        </w:rPr>
        <w:t>2307.62</w:t>
      </w:r>
      <w:r>
        <w:rPr>
          <w:rFonts w:ascii="仿宋_GB2312" w:hAnsi="宋体" w:eastAsia="仿宋_GB2312" w:cs="仿宋_GB2312"/>
          <w:color w:val="000000"/>
          <w:kern w:val="0"/>
          <w:sz w:val="32"/>
          <w:szCs w:val="32"/>
        </w:rPr>
        <w:t>万元，增长</w:t>
      </w:r>
      <w:r>
        <w:rPr>
          <w:rFonts w:hint="eastAsia" w:ascii="仿宋_GB2312" w:hAnsi="宋体" w:eastAsia="仿宋_GB2312" w:cs="仿宋_GB2312"/>
          <w:color w:val="000000"/>
          <w:kern w:val="0"/>
          <w:sz w:val="32"/>
          <w:szCs w:val="32"/>
        </w:rPr>
        <w:t>了41</w:t>
      </w:r>
      <w:r>
        <w:rPr>
          <w:rFonts w:ascii="仿宋_GB2312" w:hAnsi="宋体" w:eastAsia="仿宋_GB2312" w:cs="仿宋_GB2312"/>
          <w:color w:val="000000"/>
          <w:kern w:val="0"/>
          <w:sz w:val="32"/>
          <w:szCs w:val="32"/>
        </w:rPr>
        <w:t>%，</w:t>
      </w:r>
      <w:r>
        <w:rPr>
          <w:rFonts w:hint="eastAsia" w:ascii="仿宋_GB2312" w:hAnsi="仿宋" w:eastAsia="仿宋_GB2312"/>
          <w:sz w:val="32"/>
          <w:szCs w:val="32"/>
        </w:rPr>
        <w:t>增长的主要原因</w:t>
      </w:r>
      <w:r>
        <w:rPr>
          <w:rFonts w:hint="eastAsia" w:ascii="仿宋_GB2312" w:hAnsi="Arial" w:eastAsia="仿宋_GB2312" w:cs="Arial"/>
          <w:color w:val="000000"/>
          <w:kern w:val="0"/>
          <w:sz w:val="32"/>
          <w:szCs w:val="32"/>
        </w:rPr>
        <w:t>是新建看守所基建工程款及人员经费</w:t>
      </w:r>
      <w:r>
        <w:rPr>
          <w:rFonts w:hint="eastAsia" w:ascii="仿宋_GB2312" w:hAnsi="仿宋" w:eastAsia="仿宋_GB2312"/>
          <w:sz w:val="32"/>
          <w:szCs w:val="32"/>
        </w:rPr>
        <w:t>的增加。</w:t>
      </w:r>
    </w:p>
    <w:p>
      <w:pPr>
        <w:spacing w:line="360" w:lineRule="auto"/>
        <w:ind w:firstLine="315" w:firstLineChars="150"/>
        <w:rPr>
          <w:rFonts w:ascii="仿宋_GB2312" w:hAnsi="仿宋" w:eastAsia="仿宋_GB2312"/>
          <w:sz w:val="32"/>
          <w:szCs w:val="32"/>
        </w:rPr>
      </w:pPr>
      <w:r>
        <w:drawing>
          <wp:inline distT="0" distB="0" distL="0" distR="0">
            <wp:extent cx="4533900" cy="1647825"/>
            <wp:effectExtent l="0" t="0" r="1905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4"/>
        <w:numPr>
          <w:ilvl w:val="0"/>
          <w:numId w:val="1"/>
        </w:numPr>
        <w:spacing w:line="360" w:lineRule="auto"/>
        <w:ind w:firstLineChars="0"/>
        <w:rPr>
          <w:rFonts w:ascii="楷体_GB2312" w:hAnsi="宋体" w:eastAsia="楷体_GB2312" w:cs="楷体_GB2312"/>
          <w:b/>
          <w:color w:val="000000"/>
          <w:kern w:val="0"/>
          <w:sz w:val="32"/>
          <w:szCs w:val="32"/>
        </w:rPr>
      </w:pPr>
      <w:r>
        <w:rPr>
          <w:rFonts w:ascii="楷体_GB2312" w:hAnsi="宋体" w:eastAsia="楷体_GB2312" w:cs="楷体_GB2312"/>
          <w:b/>
          <w:color w:val="000000"/>
          <w:kern w:val="0"/>
          <w:sz w:val="32"/>
          <w:szCs w:val="32"/>
        </w:rPr>
        <w:t>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2019年财政拨款支出年初预算为</w:t>
      </w:r>
      <w:r>
        <w:rPr>
          <w:rFonts w:hint="eastAsia" w:ascii="仿宋_GB2312" w:hAnsi="宋体" w:eastAsia="仿宋_GB2312" w:cs="仿宋_GB2312"/>
          <w:color w:val="000000"/>
          <w:kern w:val="0"/>
          <w:sz w:val="32"/>
          <w:szCs w:val="32"/>
        </w:rPr>
        <w:t>7948.39</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7948.39</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按照政府功能分类科目，</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w:t>
      </w:r>
      <w:r>
        <w:rPr>
          <w:rFonts w:hint="eastAsia" w:ascii="仿宋_GB2312" w:hAnsi="宋体" w:eastAsia="仿宋_GB2312" w:cs="仿宋_GB2312"/>
          <w:b/>
          <w:color w:val="000000"/>
          <w:kern w:val="0"/>
          <w:sz w:val="32"/>
          <w:szCs w:val="32"/>
        </w:rPr>
        <w:t>一般公共服务支出（类）财政事务类（款）机关服务（项）公务员事务（项）：</w:t>
      </w:r>
      <w:r>
        <w:rPr>
          <w:rFonts w:hint="eastAsia" w:ascii="仿宋_GB2312" w:hAnsi="宋体" w:eastAsia="仿宋_GB2312" w:cs="仿宋_GB2312"/>
          <w:color w:val="000000"/>
          <w:kern w:val="0"/>
          <w:sz w:val="32"/>
          <w:szCs w:val="32"/>
        </w:rPr>
        <w:t>年初预算为12.35万元，支出决算为12.35元，其中：机关事务支出5万元，公务员事务支出7.35万元，完成年初预算的100%。决算数与预算数持平公。</w:t>
      </w:r>
    </w:p>
    <w:p>
      <w:pPr>
        <w:widowControl/>
        <w:ind w:firstLine="640" w:firstLineChars="200"/>
        <w:jc w:val="left"/>
        <w:rPr>
          <w:rFonts w:ascii="仿宋_GB2312" w:hAnsi="宋体" w:eastAsia="仿宋_GB2312" w:cs="仿宋_GB2312"/>
          <w:b/>
          <w:color w:val="000000"/>
          <w:kern w:val="0"/>
          <w:sz w:val="32"/>
          <w:szCs w:val="32"/>
        </w:rPr>
      </w:pPr>
      <w:r>
        <w:rPr>
          <w:rFonts w:hint="eastAsia" w:ascii="仿宋_GB2312" w:hAnsi="宋体" w:eastAsia="仿宋_GB2312" w:cs="仿宋_GB2312"/>
          <w:color w:val="000000"/>
          <w:kern w:val="0"/>
          <w:sz w:val="32"/>
          <w:szCs w:val="32"/>
        </w:rPr>
        <w:t>2</w:t>
      </w:r>
      <w:r>
        <w:rPr>
          <w:rFonts w:hint="eastAsia" w:ascii="仿宋_GB2312" w:hAnsi="宋体" w:eastAsia="仿宋_GB2312" w:cs="仿宋_GB2312"/>
          <w:b/>
          <w:color w:val="000000"/>
          <w:kern w:val="0"/>
          <w:sz w:val="32"/>
          <w:szCs w:val="32"/>
        </w:rPr>
        <w:t>、共安全支出（类）</w:t>
      </w:r>
    </w:p>
    <w:p>
      <w:pPr>
        <w:widowControl/>
        <w:ind w:firstLine="642"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(1)公安（款）行政运行（项）一般政管理事务（项）信息化建设（项）执法办案（项）特别业务（项）其他公安支出（项）</w:t>
      </w:r>
      <w:r>
        <w:rPr>
          <w:rFonts w:hint="eastAsia" w:ascii="仿宋_GB2312" w:hAnsi="宋体" w:eastAsia="仿宋_GB2312" w:cs="仿宋_GB2312"/>
          <w:color w:val="000000"/>
          <w:kern w:val="0"/>
          <w:sz w:val="32"/>
          <w:szCs w:val="32"/>
        </w:rPr>
        <w:t>：年初预算为7314.24万元，支出决算为7314.24万元，其中：行政运行2323.93万元，一般政管理事务974.7万元，信息化建设700万元，执法办案421.62万元，特别业务62万元，其他公安支出1212.99万元，完成年初预算的100%，决算数与预算数持平。</w:t>
      </w:r>
    </w:p>
    <w:p>
      <w:pPr>
        <w:widowControl/>
        <w:ind w:firstLine="642" w:firstLineChars="200"/>
        <w:jc w:val="left"/>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(2)监狱（款）一般</w:t>
      </w:r>
      <w:r>
        <w:rPr>
          <w:rFonts w:hint="eastAsia" w:ascii="仿宋_GB2312" w:hAnsi="宋体" w:eastAsia="仿宋_GB2312" w:cs="仿宋_GB2312"/>
          <w:b/>
          <w:color w:val="000000"/>
          <w:kern w:val="0"/>
          <w:sz w:val="32"/>
          <w:szCs w:val="32"/>
          <w:lang w:eastAsia="zh-CN"/>
        </w:rPr>
        <w:t>行</w:t>
      </w:r>
      <w:bookmarkStart w:id="8" w:name="_GoBack"/>
      <w:bookmarkEnd w:id="8"/>
      <w:r>
        <w:rPr>
          <w:rFonts w:hint="eastAsia" w:ascii="仿宋_GB2312" w:hAnsi="宋体" w:eastAsia="仿宋_GB2312" w:cs="仿宋_GB2312"/>
          <w:b/>
          <w:color w:val="000000"/>
          <w:kern w:val="0"/>
          <w:sz w:val="32"/>
          <w:szCs w:val="32"/>
        </w:rPr>
        <w:t>政管理事务（项）狱政设施建设（项）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年初预算为80万元，支出决算为40万元.其中一般政管理事务40万，狱政设施建设40万。完成年初预算的100%，决算数与预算数持平。</w:t>
      </w:r>
    </w:p>
    <w:p>
      <w:pPr>
        <w:widowControl/>
        <w:ind w:firstLine="642" w:firstLineChars="200"/>
        <w:jc w:val="left"/>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（3）、强制隔离戒毒（款）一般</w:t>
      </w:r>
      <w:r>
        <w:rPr>
          <w:rFonts w:hint="eastAsia" w:ascii="仿宋_GB2312" w:hAnsi="宋体" w:eastAsia="仿宋_GB2312" w:cs="仿宋_GB2312"/>
          <w:b/>
          <w:color w:val="000000"/>
          <w:kern w:val="0"/>
          <w:sz w:val="32"/>
          <w:szCs w:val="32"/>
          <w:lang w:eastAsia="zh-CN"/>
        </w:rPr>
        <w:t>行</w:t>
      </w:r>
      <w:r>
        <w:rPr>
          <w:rFonts w:hint="eastAsia" w:ascii="仿宋_GB2312" w:hAnsi="宋体" w:eastAsia="仿宋_GB2312" w:cs="仿宋_GB2312"/>
          <w:b/>
          <w:color w:val="000000"/>
          <w:kern w:val="0"/>
          <w:sz w:val="32"/>
          <w:szCs w:val="32"/>
        </w:rPr>
        <w:t>政管理事务（项）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年初预算为5万元，支出决算为5万元.完成年初预算的100%，决算数与预算数持平。</w:t>
      </w:r>
    </w:p>
    <w:p>
      <w:pPr>
        <w:pStyle w:val="14"/>
        <w:widowControl/>
        <w:numPr>
          <w:ilvl w:val="0"/>
          <w:numId w:val="2"/>
        </w:numPr>
        <w:ind w:firstLineChars="0"/>
        <w:jc w:val="left"/>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、其他公共安全支出（款）其他公共安全支出（项）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年初预算为1531万元，支出决算为1531万元，完成年初预算的100%，决算数与预算数持平。</w:t>
      </w:r>
    </w:p>
    <w:p>
      <w:pPr>
        <w:widowControl/>
        <w:ind w:firstLine="642"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3、社会保障和就业（类）</w:t>
      </w:r>
    </w:p>
    <w:p>
      <w:pPr>
        <w:widowControl/>
        <w:ind w:firstLine="630"/>
        <w:jc w:val="left"/>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（1）行政事业单位离退休（款）机关事业单位基本养老保险缴费支出（项）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年初预算为272.63万元，支出决算为272.63万元，完成年初预算的100%，决算数与预算数持平。</w:t>
      </w:r>
    </w:p>
    <w:p>
      <w:pPr>
        <w:widowControl/>
        <w:ind w:firstLine="642" w:firstLineChars="200"/>
        <w:jc w:val="left"/>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（2）抚恤（款）死亡抚恤（项）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年初预算为122.92万元，支出决算为122.92万元，完成年初预算的100%，决算数与预算数持平</w:t>
      </w:r>
    </w:p>
    <w:p>
      <w:pPr>
        <w:widowControl/>
        <w:ind w:firstLine="642" w:firstLineChars="200"/>
        <w:jc w:val="left"/>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（3）、退役安置（款）退役士兵安置（项）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年初预算为68.82万元，支出决算为68.82万元，完成年初预算的100%，决算数与预算数持平</w:t>
      </w:r>
    </w:p>
    <w:p>
      <w:pPr>
        <w:widowControl/>
        <w:ind w:firstLine="642" w:firstLineChars="200"/>
        <w:jc w:val="left"/>
        <w:rPr>
          <w:b/>
        </w:rPr>
      </w:pPr>
      <w:r>
        <w:rPr>
          <w:rFonts w:hint="eastAsia" w:ascii="仿宋_GB2312" w:hAnsi="宋体" w:eastAsia="仿宋_GB2312" w:cs="仿宋_GB2312"/>
          <w:b/>
          <w:color w:val="000000"/>
          <w:kern w:val="0"/>
          <w:sz w:val="32"/>
          <w:szCs w:val="32"/>
        </w:rPr>
        <w:t>4、卫生健康支出（类）行政事业单位医疗（款）行政事业单位医疗（项）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年初预算为78.27万元，支出决算为78.27万元，完成年初预算的100%，决算数与预算数持平</w:t>
      </w:r>
    </w:p>
    <w:p>
      <w:pPr>
        <w:widowControl/>
        <w:ind w:firstLine="642" w:firstLineChars="200"/>
        <w:jc w:val="left"/>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5、住房保障支出（类）住房保障支出（款）住房公积金（项）</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年初预算为79.17万元，支出决算为79.17万元，完成年初预算的100%，决算数与预算数持平</w:t>
      </w:r>
    </w:p>
    <w:p>
      <w:pPr>
        <w:spacing w:line="360" w:lineRule="auto"/>
        <w:ind w:firstLine="800" w:firstLineChars="250"/>
        <w:rPr>
          <w:rFonts w:ascii="仿宋_GB2312" w:hAnsi="仿宋" w:eastAsia="仿宋_GB2312"/>
          <w:sz w:val="32"/>
          <w:szCs w:val="32"/>
        </w:rPr>
      </w:pPr>
      <w:r>
        <w:rPr>
          <w:rFonts w:hint="eastAsia" w:ascii="黑体" w:hAnsi="黑体" w:eastAsia="黑体"/>
          <w:color w:val="000000"/>
          <w:kern w:val="0"/>
          <w:sz w:val="32"/>
          <w:szCs w:val="32"/>
        </w:rPr>
        <w:t xml:space="preserve">六、一般公共预算财政拨款基本支出决算情况说明 </w:t>
      </w:r>
    </w:p>
    <w:p>
      <w:pPr>
        <w:widowControl/>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年一般公共预算财政拨款基本支出</w:t>
      </w:r>
      <w:r>
        <w:rPr>
          <w:rFonts w:hint="eastAsia" w:ascii="仿宋_GB2312" w:hAnsi="仿宋_GB2312" w:eastAsia="仿宋_GB2312" w:cs="仿宋_GB2312"/>
          <w:color w:val="000000"/>
          <w:kern w:val="0"/>
          <w:sz w:val="31"/>
          <w:szCs w:val="31"/>
        </w:rPr>
        <w:t>4792.69</w:t>
      </w:r>
      <w:r>
        <w:rPr>
          <w:rFonts w:ascii="仿宋_GB2312" w:hAnsi="仿宋_GB2312" w:eastAsia="仿宋_GB2312" w:cs="仿宋_GB2312"/>
          <w:color w:val="000000"/>
          <w:kern w:val="0"/>
          <w:sz w:val="31"/>
          <w:szCs w:val="31"/>
        </w:rPr>
        <w:t>万元，包括：人员经费支</w:t>
      </w:r>
      <w:r>
        <w:rPr>
          <w:rFonts w:hint="eastAsia" w:ascii="仿宋_GB2312" w:hAnsi="仿宋_GB2312" w:eastAsia="仿宋_GB2312" w:cs="仿宋_GB2312"/>
          <w:color w:val="000000"/>
          <w:kern w:val="0"/>
          <w:sz w:val="31"/>
          <w:szCs w:val="31"/>
        </w:rPr>
        <w:t>出3432.73</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1359.96</w:t>
      </w:r>
      <w:r>
        <w:rPr>
          <w:rFonts w:ascii="仿宋_GB2312" w:hAnsi="仿宋_GB2312" w:eastAsia="仿宋_GB2312" w:cs="仿宋_GB2312"/>
          <w:color w:val="000000"/>
          <w:kern w:val="0"/>
          <w:sz w:val="31"/>
          <w:szCs w:val="31"/>
        </w:rPr>
        <w:t>万元。</w:t>
      </w:r>
    </w:p>
    <w:p>
      <w:pPr>
        <w:widowControl/>
        <w:ind w:firstLine="642" w:firstLineChars="200"/>
        <w:jc w:val="left"/>
        <w:rPr>
          <w:rFonts w:ascii="仿宋_GB2312" w:hAnsi="仿宋_GB2312" w:eastAsia="仿宋_GB2312" w:cs="仿宋_GB2312"/>
          <w:color w:val="000000"/>
          <w:kern w:val="0"/>
          <w:sz w:val="31"/>
          <w:szCs w:val="31"/>
        </w:rPr>
      </w:pPr>
      <w:r>
        <w:rPr>
          <w:rFonts w:ascii="仿宋_GB2312" w:hAnsi="宋体" w:eastAsia="仿宋_GB2312" w:cs="仿宋_GB2312"/>
          <w:b/>
          <w:bCs/>
          <w:color w:val="000000"/>
          <w:kern w:val="0"/>
          <w:sz w:val="32"/>
          <w:szCs w:val="32"/>
        </w:rPr>
        <w:t>人员经费</w:t>
      </w:r>
      <w:r>
        <w:rPr>
          <w:rFonts w:hint="eastAsia" w:ascii="仿宋_GB2312" w:hAnsi="宋体" w:eastAsia="仿宋_GB2312" w:cs="仿宋_GB2312"/>
          <w:color w:val="000000"/>
          <w:kern w:val="0"/>
          <w:sz w:val="32"/>
          <w:szCs w:val="32"/>
        </w:rPr>
        <w:t>3432.73</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rPr>
        <w:t>其中：工资福利支出3304.81万元，（基本工资708.78</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，津贴补贴991.02</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，奖金65.21</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，伙食补助56.37</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，机关事业单位基本养老保险缴费629.36</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，职工基本医疗保险缴费15.48</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，公务员医疗补助缴费62.78</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，其他社会保障缴费475.76</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，住房公积金139.9</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，其他工资福利支出160.14</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），以上支出主要为我局民辅警的工资及社保费用。对个人和家庭的补助127.92万元，（抚恤金122.92</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，救济费5</w:t>
      </w:r>
      <w:r>
        <w:rPr>
          <w:rFonts w:ascii="仿宋_GB2312" w:hAnsi="仿宋_GB2312" w:eastAsia="仿宋_GB2312" w:cs="仿宋_GB2312"/>
          <w:color w:val="000000"/>
          <w:kern w:val="0"/>
          <w:sz w:val="31"/>
          <w:szCs w:val="31"/>
        </w:rPr>
        <w:t>万元</w:t>
      </w:r>
      <w:r>
        <w:rPr>
          <w:rFonts w:hint="eastAsia" w:ascii="仿宋_GB2312" w:hAnsi="宋体" w:eastAsia="仿宋_GB2312" w:cs="仿宋_GB2312"/>
          <w:color w:val="000000"/>
          <w:kern w:val="0"/>
          <w:sz w:val="32"/>
          <w:szCs w:val="32"/>
        </w:rPr>
        <w:t>），支出主要为因公牺牲民警抚恤金和法律动援助</w:t>
      </w:r>
    </w:p>
    <w:p>
      <w:pPr>
        <w:widowControl/>
        <w:ind w:firstLine="642" w:firstLineChars="200"/>
        <w:jc w:val="left"/>
        <w:rPr>
          <w:rFonts w:ascii="仿宋_GB2312" w:hAnsi="宋体" w:eastAsia="仿宋_GB2312" w:cs="仿宋_GB2312"/>
          <w:color w:val="000000"/>
          <w:kern w:val="0"/>
          <w:sz w:val="32"/>
          <w:szCs w:val="32"/>
        </w:rPr>
      </w:pPr>
      <w:r>
        <w:rPr>
          <w:rFonts w:ascii="仿宋_GB2312" w:hAnsi="宋体" w:eastAsia="仿宋_GB2312" w:cs="仿宋_GB2312"/>
          <w:b/>
          <w:bCs/>
          <w:color w:val="000000"/>
          <w:kern w:val="0"/>
          <w:sz w:val="32"/>
          <w:szCs w:val="32"/>
        </w:rPr>
        <w:t>公用经费</w:t>
      </w:r>
      <w:r>
        <w:rPr>
          <w:rFonts w:hint="eastAsia" w:ascii="仿宋_GB2312" w:hAnsi="宋体" w:eastAsia="仿宋_GB2312" w:cs="仿宋_GB2312"/>
          <w:color w:val="000000"/>
          <w:kern w:val="0"/>
          <w:sz w:val="32"/>
          <w:szCs w:val="32"/>
        </w:rPr>
        <w:t>1359.96</w:t>
      </w:r>
      <w:r>
        <w:rPr>
          <w:rFonts w:ascii="仿宋_GB2312" w:hAnsi="宋体" w:eastAsia="仿宋_GB2312" w:cs="仿宋_GB2312"/>
          <w:color w:val="000000"/>
          <w:kern w:val="0"/>
          <w:sz w:val="32"/>
          <w:szCs w:val="32"/>
        </w:rPr>
        <w:t>万元，主要包括办公费</w:t>
      </w:r>
      <w:r>
        <w:rPr>
          <w:rFonts w:hint="eastAsia" w:ascii="仿宋_GB2312" w:hAnsi="宋体" w:eastAsia="仿宋_GB2312" w:cs="仿宋_GB2312"/>
          <w:color w:val="000000"/>
          <w:kern w:val="0"/>
          <w:sz w:val="32"/>
          <w:szCs w:val="32"/>
        </w:rPr>
        <w:t>239.09万元，印刷费48.93</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水费11.34</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电费45.03</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邮电费9.52</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取暖费4.18</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物业管理费0.78</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差旅费101.02</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维修(护)费206.82</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租赁费88.18</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培训费1.59</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被装购置费42.56</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劳务费3.96</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委托业务费12.79</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工会经费61.09</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公务用车运行维护费131.86</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仿宋_GB2312"/>
          <w:color w:val="000000"/>
          <w:kern w:val="0"/>
          <w:sz w:val="32"/>
          <w:szCs w:val="32"/>
        </w:rPr>
        <w:t>其他交通费用109.45</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Arial"/>
          <w:color w:val="000000"/>
          <w:kern w:val="0"/>
          <w:sz w:val="32"/>
          <w:szCs w:val="32"/>
        </w:rPr>
        <w:t>其他商品和服务支出241.77</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w:t>
      </w:r>
      <w:r>
        <w:rPr>
          <w:rFonts w:hint="eastAsia" w:ascii="仿宋_GB2312" w:hAnsi="宋体" w:eastAsia="仿宋_GB2312" w:cs="Arial"/>
          <w:color w:val="000000"/>
          <w:kern w:val="0"/>
          <w:sz w:val="32"/>
          <w:szCs w:val="32"/>
        </w:rPr>
        <w:t>以上费用的列支主要用于办公经费的正常支出。</w:t>
      </w:r>
    </w:p>
    <w:p>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七、一般公共预算财政拨款“三公”经费及会议费、培训费支出决算情况说明 </w:t>
      </w:r>
    </w:p>
    <w:p>
      <w:pPr>
        <w:widowControl/>
        <w:ind w:firstLine="642" w:firstLineChars="200"/>
        <w:jc w:val="left"/>
      </w:pPr>
      <w:r>
        <w:rPr>
          <w:rFonts w:ascii="楷体_GB2312" w:hAnsi="宋体" w:eastAsia="楷体_GB2312" w:cs="楷体_GB2312"/>
          <w:b/>
          <w:color w:val="000000"/>
          <w:kern w:val="0"/>
          <w:sz w:val="32"/>
          <w:szCs w:val="32"/>
        </w:rPr>
        <w:t>（一）“三公”经费财政拨款支出决算总体情况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 xml:space="preserve">。 </w:t>
      </w:r>
    </w:p>
    <w:p>
      <w:pPr>
        <w:widowControl/>
        <w:ind w:firstLine="480" w:firstLineChars="150"/>
        <w:jc w:val="left"/>
      </w:pPr>
      <w:r>
        <w:rPr>
          <w:rFonts w:ascii="仿宋_GB2312" w:hAnsi="宋体" w:eastAsia="仿宋_GB2312" w:cs="仿宋_GB2312"/>
          <w:color w:val="000000"/>
          <w:kern w:val="0"/>
          <w:sz w:val="32"/>
          <w:szCs w:val="32"/>
        </w:rPr>
        <w:t>2019年“三公”经费财政拨款支出预算为</w:t>
      </w:r>
      <w:r>
        <w:rPr>
          <w:rFonts w:hint="eastAsia" w:ascii="仿宋_GB2312" w:hAnsi="宋体" w:eastAsia="仿宋_GB2312" w:cs="仿宋_GB2312"/>
          <w:color w:val="000000"/>
          <w:kern w:val="0"/>
          <w:sz w:val="32"/>
          <w:szCs w:val="32"/>
        </w:rPr>
        <w:t>156.85</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165.85</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支出主要为公务接待0.42万元，公车运行费165.43万元。</w:t>
      </w:r>
    </w:p>
    <w:p>
      <w:pPr>
        <w:spacing w:line="360" w:lineRule="auto"/>
        <w:ind w:firstLine="642"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“三公”经费财政拨款支出决算具体情况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ind w:firstLine="640" w:firstLineChars="200"/>
        <w:jc w:val="left"/>
      </w:pPr>
      <w:r>
        <w:rPr>
          <w:rFonts w:ascii="仿宋_GB2312" w:hAnsi="宋体" w:eastAsia="仿宋_GB2312" w:cs="仿宋_GB2312"/>
          <w:color w:val="000000"/>
          <w:kern w:val="0"/>
          <w:sz w:val="32"/>
          <w:szCs w:val="32"/>
        </w:rPr>
        <w:t>2019年“三公”经费财政拨款支出决算中，因公出国（境）费支出决算</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万元，；公务用车购置</w:t>
      </w:r>
      <w:r>
        <w:rPr>
          <w:rFonts w:hint="eastAsia" w:ascii="仿宋_GB2312" w:hAnsi="宋体" w:eastAsia="仿宋_GB2312" w:cs="仿宋_GB2312"/>
          <w:color w:val="000000"/>
          <w:kern w:val="0"/>
          <w:sz w:val="32"/>
          <w:szCs w:val="32"/>
        </w:rPr>
        <w:t>费支出0万元，占</w:t>
      </w:r>
      <w:r>
        <w:rPr>
          <w:rFonts w:ascii="仿宋_GB2312" w:hAnsi="宋体" w:eastAsia="仿宋_GB2312" w:cs="仿宋_GB2312"/>
          <w:color w:val="000000"/>
          <w:kern w:val="0"/>
          <w:sz w:val="32"/>
          <w:szCs w:val="32"/>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rPr>
        <w:t>费支出决算</w:t>
      </w:r>
      <w:r>
        <w:rPr>
          <w:rFonts w:hint="eastAsia" w:ascii="仿宋_GB2312" w:hAnsi="宋体" w:eastAsia="仿宋_GB2312" w:cs="仿宋_GB2312"/>
          <w:color w:val="000000"/>
          <w:kern w:val="0"/>
          <w:sz w:val="32"/>
          <w:szCs w:val="32"/>
        </w:rPr>
        <w:t>165.43</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三公经费支出的99</w:t>
      </w:r>
      <w:r>
        <w:rPr>
          <w:rFonts w:ascii="仿宋_GB2312" w:hAnsi="宋体" w:eastAsia="仿宋_GB2312" w:cs="仿宋_GB2312"/>
          <w:color w:val="000000"/>
          <w:kern w:val="0"/>
          <w:sz w:val="32"/>
          <w:szCs w:val="32"/>
        </w:rPr>
        <w:t>%；公务接待费支出决算</w:t>
      </w:r>
      <w:r>
        <w:rPr>
          <w:rFonts w:hint="eastAsia" w:ascii="仿宋_GB2312" w:hAnsi="宋体" w:eastAsia="仿宋_GB2312" w:cs="仿宋_GB2312"/>
          <w:color w:val="000000"/>
          <w:kern w:val="0"/>
          <w:sz w:val="32"/>
          <w:szCs w:val="32"/>
        </w:rPr>
        <w:t>0.42</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三公经费支出的1</w:t>
      </w:r>
      <w:r>
        <w:rPr>
          <w:rFonts w:ascii="仿宋_GB2312" w:hAnsi="宋体" w:eastAsia="仿宋_GB2312" w:cs="仿宋_GB2312"/>
          <w:color w:val="000000"/>
          <w:kern w:val="0"/>
          <w:sz w:val="32"/>
          <w:szCs w:val="32"/>
        </w:rPr>
        <w:t>%。具体情况如下：</w:t>
      </w:r>
    </w:p>
    <w:p>
      <w:pPr>
        <w:ind w:firstLine="642" w:firstLineChars="200"/>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pPr>
      <w:r>
        <w:rPr>
          <w:rFonts w:hint="eastAsia" w:ascii="仿宋_GB2312" w:hAnsi="仿宋" w:eastAsia="仿宋_GB2312"/>
          <w:sz w:val="32"/>
          <w:szCs w:val="32"/>
        </w:rPr>
        <w:t>2019年因公出国（境）团组</w:t>
      </w:r>
      <w:r>
        <w:rPr>
          <w:rFonts w:hint="eastAsia" w:ascii="仿宋_GB2312" w:hAnsi="仿宋_GB2312" w:eastAsia="仿宋_GB2312" w:cs="仿宋_GB2312"/>
          <w:sz w:val="32"/>
          <w:szCs w:val="32"/>
        </w:rPr>
        <w:t>0个，0人次，</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w:t>
      </w:r>
      <w:r>
        <w:rPr>
          <w:rFonts w:hint="eastAsia" w:ascii="仿宋_GB2312" w:hAnsi="仿宋_GB2312" w:eastAsia="仿宋_GB2312" w:cs="仿宋_GB2312"/>
          <w:sz w:val="32"/>
          <w:szCs w:val="32"/>
        </w:rPr>
        <w:t>（如没有支出填0）</w:t>
      </w:r>
      <w:r>
        <w:rPr>
          <w:rFonts w:hint="eastAsia" w:ascii="仿宋_GB2312" w:hAnsi="宋体" w:eastAsia="仿宋_GB2312" w:cs="仿宋_GB2312"/>
          <w:color w:val="000000"/>
          <w:kern w:val="0"/>
          <w:sz w:val="32"/>
          <w:szCs w:val="32"/>
        </w:rPr>
        <w:t>。</w:t>
      </w:r>
    </w:p>
    <w:p>
      <w:pPr>
        <w:ind w:firstLine="642" w:firstLineChars="200"/>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pPr>
      <w:r>
        <w:rPr>
          <w:rFonts w:hint="eastAsia" w:ascii="仿宋_GB2312" w:hAnsi="仿宋" w:eastAsia="仿宋_GB2312"/>
          <w:sz w:val="32"/>
          <w:szCs w:val="32"/>
        </w:rPr>
        <w:t>2019年购置车辆</w:t>
      </w:r>
      <w:r>
        <w:rPr>
          <w:rFonts w:hint="eastAsia" w:ascii="仿宋_GB2312" w:hAnsi="仿宋_GB2312" w:eastAsia="仿宋_GB2312" w:cs="仿宋_GB2312"/>
          <w:sz w:val="32"/>
          <w:szCs w:val="32"/>
        </w:rPr>
        <w:t>0台（如没有支出填0），</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w:t>
      </w:r>
      <w:r>
        <w:rPr>
          <w:rFonts w:hint="eastAsia" w:ascii="仿宋_GB2312" w:hAnsi="仿宋_GB2312" w:eastAsia="仿宋_GB2312" w:cs="仿宋_GB2312"/>
          <w:sz w:val="32"/>
          <w:szCs w:val="32"/>
        </w:rPr>
        <w:t>（如没有支出填0）</w:t>
      </w:r>
      <w:r>
        <w:rPr>
          <w:rFonts w:hint="eastAsia" w:ascii="仿宋_GB2312" w:hAnsi="宋体" w:eastAsia="仿宋_GB2312" w:cs="仿宋_GB2312"/>
          <w:color w:val="000000"/>
          <w:kern w:val="0"/>
          <w:sz w:val="32"/>
          <w:szCs w:val="32"/>
        </w:rPr>
        <w:t>。</w:t>
      </w:r>
    </w:p>
    <w:p>
      <w:pPr>
        <w:ind w:firstLine="642" w:firstLineChars="200"/>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165.43</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165.43</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rPr>
        <w:t>100%。</w:t>
      </w:r>
    </w:p>
    <w:p>
      <w:pPr>
        <w:ind w:firstLine="642" w:firstLineChars="200"/>
        <w:rPr>
          <w:rFonts w:ascii="仿宋_GB2312" w:hAnsi="仿宋" w:eastAsia="仿宋_GB2312"/>
          <w:sz w:val="32"/>
          <w:szCs w:val="32"/>
        </w:rPr>
      </w:pPr>
      <w:r>
        <w:rPr>
          <w:rFonts w:hint="eastAsia" w:ascii="仿宋_GB2312" w:hAnsi="仿宋" w:eastAsia="仿宋_GB2312"/>
          <w:b/>
          <w:bCs/>
          <w:sz w:val="32"/>
          <w:szCs w:val="32"/>
        </w:rPr>
        <w:t>4.公务接待费支出情况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2019年公务接待</w:t>
      </w:r>
      <w:r>
        <w:rPr>
          <w:rFonts w:hint="eastAsia" w:ascii="仿宋_GB2312" w:hAnsi="仿宋_GB2312" w:eastAsia="仿宋_GB2312" w:cs="仿宋_GB2312"/>
          <w:color w:val="000000" w:themeColor="text1"/>
          <w:sz w:val="32"/>
          <w:szCs w:val="32"/>
          <w14:textFill>
            <w14:solidFill>
              <w14:schemeClr w14:val="tx1"/>
            </w14:solidFill>
          </w14:textFill>
        </w:rPr>
        <w:t>5批次，80余人次，</w:t>
      </w:r>
      <w:r>
        <w:rPr>
          <w:rFonts w:ascii="仿宋_GB2312" w:hAnsi="宋体" w:eastAsia="仿宋_GB2312" w:cs="仿宋_GB2312"/>
          <w:color w:val="000000" w:themeColor="text1"/>
          <w:kern w:val="0"/>
          <w:sz w:val="32"/>
          <w:szCs w:val="32"/>
          <w14:textFill>
            <w14:solidFill>
              <w14:schemeClr w14:val="tx1"/>
            </w14:solidFill>
          </w14:textFill>
        </w:rPr>
        <w:t>预算为</w:t>
      </w:r>
      <w:r>
        <w:rPr>
          <w:rFonts w:hint="eastAsia" w:ascii="仿宋_GB2312" w:hAnsi="宋体" w:eastAsia="仿宋_GB2312" w:cs="仿宋_GB2312"/>
          <w:color w:val="000000" w:themeColor="text1"/>
          <w:kern w:val="0"/>
          <w:sz w:val="32"/>
          <w:szCs w:val="32"/>
          <w14:textFill>
            <w14:solidFill>
              <w14:schemeClr w14:val="tx1"/>
            </w14:solidFill>
          </w14:textFill>
        </w:rPr>
        <w:t>0.42</w:t>
      </w:r>
      <w:r>
        <w:rPr>
          <w:rFonts w:ascii="仿宋_GB2312" w:hAnsi="宋体" w:eastAsia="仿宋_GB2312" w:cs="仿宋_GB2312"/>
          <w:color w:val="000000" w:themeColor="text1"/>
          <w:kern w:val="0"/>
          <w:sz w:val="32"/>
          <w:szCs w:val="32"/>
          <w14:textFill>
            <w14:solidFill>
              <w14:schemeClr w14:val="tx1"/>
            </w14:solidFill>
          </w14:textFill>
        </w:rPr>
        <w:t>万元，支出决算为</w:t>
      </w:r>
      <w:r>
        <w:rPr>
          <w:rFonts w:hint="eastAsia" w:ascii="仿宋_GB2312" w:hAnsi="宋体" w:eastAsia="仿宋_GB2312" w:cs="仿宋_GB2312"/>
          <w:color w:val="000000" w:themeColor="text1"/>
          <w:kern w:val="0"/>
          <w:sz w:val="32"/>
          <w:szCs w:val="32"/>
          <w14:textFill>
            <w14:solidFill>
              <w14:schemeClr w14:val="tx1"/>
            </w14:solidFill>
          </w14:textFill>
        </w:rPr>
        <w:t>0.42</w:t>
      </w:r>
      <w:r>
        <w:rPr>
          <w:rFonts w:ascii="仿宋_GB2312" w:hAnsi="宋体" w:eastAsia="仿宋_GB2312" w:cs="仿宋_GB2312"/>
          <w:color w:val="000000" w:themeColor="text1"/>
          <w:kern w:val="0"/>
          <w:sz w:val="32"/>
          <w:szCs w:val="32"/>
          <w14:textFill>
            <w14:solidFill>
              <w14:schemeClr w14:val="tx1"/>
            </w14:solidFill>
          </w14:textFill>
        </w:rPr>
        <w:t>万元，完成预算的</w:t>
      </w:r>
      <w:r>
        <w:rPr>
          <w:rFonts w:hint="eastAsia" w:ascii="仿宋_GB2312" w:hAnsi="宋体" w:eastAsia="仿宋_GB2312" w:cs="仿宋_GB2312"/>
          <w:color w:val="000000" w:themeColor="text1"/>
          <w:kern w:val="0"/>
          <w:sz w:val="32"/>
          <w:szCs w:val="32"/>
          <w14:textFill>
            <w14:solidFill>
              <w14:schemeClr w14:val="tx1"/>
            </w14:solidFill>
          </w14:textFill>
        </w:rPr>
        <w:t>100%，</w:t>
      </w:r>
      <w:r>
        <w:rPr>
          <w:rFonts w:ascii="仿宋_GB2312" w:hAnsi="宋体" w:eastAsia="仿宋_GB2312" w:cs="仿宋_GB2312"/>
          <w:color w:val="000000" w:themeColor="text1"/>
          <w:kern w:val="0"/>
          <w:sz w:val="32"/>
          <w:szCs w:val="32"/>
          <w14:textFill>
            <w14:solidFill>
              <w14:schemeClr w14:val="tx1"/>
            </w14:solidFill>
          </w14:textFill>
        </w:rPr>
        <w:t xml:space="preserve"> </w:t>
      </w:r>
    </w:p>
    <w:p>
      <w:pPr>
        <w:ind w:firstLine="642"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（三）培训费支出情况说明。</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2.32</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2.32</w:t>
      </w:r>
      <w:r>
        <w:rPr>
          <w:rFonts w:ascii="仿宋_GB2312" w:hAnsi="宋体" w:eastAsia="仿宋_GB2312" w:cs="仿宋_GB2312"/>
          <w:color w:val="000000"/>
          <w:kern w:val="0"/>
          <w:sz w:val="32"/>
          <w:szCs w:val="32"/>
        </w:rPr>
        <w:t>万元</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2"/>
          <w:szCs w:val="32"/>
        </w:rPr>
        <w:t>完成预算的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 xml:space="preserve"> </w:t>
      </w:r>
    </w:p>
    <w:p>
      <w:pPr>
        <w:spacing w:line="360" w:lineRule="auto"/>
        <w:ind w:firstLine="642"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（四）会议费支出情况说明。</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w:t>
      </w:r>
      <w:r>
        <w:rPr>
          <w:rFonts w:hint="eastAsia" w:ascii="仿宋_GB2312" w:hAnsi="仿宋_GB2312" w:eastAsia="仿宋_GB2312" w:cs="仿宋_GB2312"/>
          <w:sz w:val="32"/>
          <w:szCs w:val="32"/>
        </w:rPr>
        <w:t>（如没有支出填0）</w:t>
      </w:r>
      <w:r>
        <w:rPr>
          <w:rFonts w:hint="eastAsia" w:ascii="仿宋_GB2312" w:hAnsi="宋体" w:eastAsia="仿宋_GB2312" w:cs="仿宋_GB2312"/>
          <w:color w:val="000000"/>
          <w:kern w:val="0"/>
          <w:sz w:val="32"/>
          <w:szCs w:val="32"/>
        </w:rPr>
        <w:t>。</w:t>
      </w:r>
    </w:p>
    <w:p>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八、政府性基金预算财政拨款收入支出情况说明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九、国有资本经营财政拨款收入支出情况说明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十、预算绩效情况说明</w:t>
      </w:r>
    </w:p>
    <w:p>
      <w:pPr>
        <w:widowControl/>
        <w:ind w:left="1280" w:leftChars="304" w:hanging="642" w:hanging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（一）</w:t>
      </w:r>
      <w:r>
        <w:rPr>
          <w:rFonts w:ascii="楷体_GB2312" w:hAnsi="宋体" w:eastAsia="楷体_GB2312" w:cs="楷体_GB2312"/>
          <w:b/>
          <w:color w:val="000000"/>
          <w:kern w:val="0"/>
          <w:sz w:val="32"/>
          <w:szCs w:val="32"/>
        </w:rPr>
        <w:t>预算绩效管理工作开展情况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ind w:firstLine="640" w:firstLineChars="200"/>
        <w:jc w:val="left"/>
      </w:pPr>
      <w:r>
        <w:rPr>
          <w:rFonts w:hint="eastAsia" w:ascii="仿宋_GB2312" w:hAnsi="仿宋_GB2312" w:eastAsia="仿宋_GB2312" w:cs="仿宋_GB2312"/>
          <w:sz w:val="32"/>
          <w:szCs w:val="32"/>
        </w:rPr>
        <w:t>根据预算绩效管理要求，本部门组织对2019</w:t>
      </w:r>
      <w:r>
        <w:rPr>
          <w:rFonts w:ascii="仿宋_GB2312" w:hAnsi="仿宋_GB2312" w:eastAsia="仿宋_GB2312" w:cs="仿宋_GB2312"/>
          <w:sz w:val="32"/>
          <w:szCs w:val="32"/>
        </w:rPr>
        <w:t>年一般公共预算项目支出全面开展绩效自评，其中，项目</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rPr>
        <w:t>3155.7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占一般公共预算项目支出总额的100%。</w:t>
      </w:r>
      <w:r>
        <w:rPr>
          <w:rFonts w:hint="eastAsia" w:ascii="仿宋_GB2312" w:hAnsi="仿宋_GB2312" w:eastAsia="仿宋_GB2312" w:cs="仿宋_GB2312"/>
          <w:color w:val="000000"/>
          <w:kern w:val="0"/>
          <w:sz w:val="31"/>
          <w:szCs w:val="31"/>
        </w:rPr>
        <w:t>2019年</w:t>
      </w:r>
      <w:r>
        <w:rPr>
          <w:rFonts w:hint="eastAsia" w:ascii="仿宋_GB2312" w:hAnsi="仿宋_GB2312" w:eastAsia="仿宋_GB2312" w:cs="仿宋_GB2312"/>
          <w:sz w:val="32"/>
          <w:szCs w:val="32"/>
        </w:rPr>
        <w:t>本部门无政府性基金预算项目。</w:t>
      </w:r>
    </w:p>
    <w:p>
      <w:pPr>
        <w:widowControl/>
        <w:ind w:firstLine="642"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部门决算中项目绩效自评结果。</w:t>
      </w:r>
    </w:p>
    <w:p>
      <w:pPr>
        <w:widowControl/>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执法办案资金自评综述：根据年初设定的绩效目标，项目自评得分100分。项目全年预算数3155.7万元，执行数3155.7万元，完成预算的100%。主要产出和效果：通过项目实施有效维护了社会治安秩序，群众安全感、满意度增加。</w:t>
      </w:r>
    </w:p>
    <w:p>
      <w:pPr>
        <w:widowControl/>
        <w:jc w:val="left"/>
        <w:rPr>
          <w:rFonts w:ascii="楷体" w:hAnsi="楷体" w:eastAsia="楷体" w:cs="楷体"/>
          <w:sz w:val="32"/>
          <w:szCs w:val="32"/>
        </w:rPr>
        <w:sectPr>
          <w:pgSz w:w="11906" w:h="16838"/>
          <w:pgMar w:top="1985" w:right="1588" w:bottom="2098" w:left="1474" w:header="851" w:footer="992" w:gutter="0"/>
          <w:cols w:space="0" w:num="1"/>
          <w:docGrid w:type="lines" w:linePitch="315" w:charSpace="0"/>
        </w:sectPr>
      </w:pPr>
      <w:bookmarkStart w:id="0" w:name="_MON_1662991128"/>
      <w:bookmarkEnd w:id="0"/>
      <w:bookmarkStart w:id="1" w:name="_MON_1662991753"/>
      <w:bookmarkEnd w:id="1"/>
      <w:r>
        <w:rPr>
          <w:rFonts w:hint="eastAsia" w:ascii="楷体" w:hAnsi="楷体" w:eastAsia="楷体" w:cs="楷体"/>
          <w:sz w:val="32"/>
          <w:szCs w:val="32"/>
        </w:rPr>
        <w:object>
          <v:shape id="_x0000_i1025" o:spt="75" type="#_x0000_t75" style="height:627.75pt;width:476.25pt;" o:ole="t" filled="f" o:preferrelative="t" stroked="f" coordsize="21600,21600">
            <v:path/>
            <v:fill on="f" focussize="0,0"/>
            <v:stroke on="f" joinstyle="miter"/>
            <v:imagedata r:id="rId15" o:title=""/>
            <o:lock v:ext="edit" aspectratio="t"/>
            <w10:wrap type="none"/>
            <w10:anchorlock/>
          </v:shape>
          <o:OLEObject Type="Embed" ProgID="Excel.Sheet.8" ShapeID="_x0000_i1025" DrawAspect="Content" ObjectID="_1468075725" r:id="rId14">
            <o:LockedField>false</o:LockedField>
          </o:OLEObject>
        </w:object>
      </w:r>
    </w:p>
    <w:tbl>
      <w:tblPr>
        <w:tblStyle w:val="7"/>
        <w:tblW w:w="14742" w:type="dxa"/>
        <w:tblInd w:w="-459" w:type="dxa"/>
        <w:tblLayout w:type="autofit"/>
        <w:tblCellMar>
          <w:top w:w="0" w:type="dxa"/>
          <w:left w:w="108" w:type="dxa"/>
          <w:bottom w:w="0" w:type="dxa"/>
          <w:right w:w="108" w:type="dxa"/>
        </w:tblCellMar>
      </w:tblPr>
      <w:tblGrid>
        <w:gridCol w:w="634"/>
        <w:gridCol w:w="720"/>
        <w:gridCol w:w="720"/>
        <w:gridCol w:w="720"/>
        <w:gridCol w:w="3302"/>
        <w:gridCol w:w="3118"/>
        <w:gridCol w:w="400"/>
        <w:gridCol w:w="592"/>
        <w:gridCol w:w="993"/>
        <w:gridCol w:w="708"/>
        <w:gridCol w:w="993"/>
        <w:gridCol w:w="850"/>
        <w:gridCol w:w="992"/>
      </w:tblGrid>
      <w:tr>
        <w:tblPrEx>
          <w:tblCellMar>
            <w:top w:w="0" w:type="dxa"/>
            <w:left w:w="108" w:type="dxa"/>
            <w:bottom w:w="0" w:type="dxa"/>
            <w:right w:w="108" w:type="dxa"/>
          </w:tblCellMar>
        </w:tblPrEx>
        <w:trPr>
          <w:trHeight w:val="705" w:hRule="atLeast"/>
        </w:trPr>
        <w:tc>
          <w:tcPr>
            <w:tcW w:w="14742" w:type="dxa"/>
            <w:gridSpan w:val="13"/>
            <w:tcBorders>
              <w:top w:val="nil"/>
              <w:left w:val="nil"/>
              <w:bottom w:val="nil"/>
              <w:right w:val="nil"/>
            </w:tcBorders>
            <w:shd w:val="clear" w:color="auto" w:fill="auto"/>
            <w:vAlign w:val="bottom"/>
          </w:tcPr>
          <w:p>
            <w:pPr>
              <w:widowControl/>
              <w:jc w:val="center"/>
              <w:rPr>
                <w:rFonts w:ascii="宋体" w:hAnsi="宋体" w:cs="宋体"/>
                <w:b/>
                <w:bCs/>
                <w:color w:val="000000"/>
                <w:kern w:val="0"/>
                <w:sz w:val="22"/>
                <w:szCs w:val="22"/>
              </w:rPr>
            </w:pPr>
            <w:bookmarkStart w:id="2" w:name="_MON_1663738423"/>
            <w:bookmarkEnd w:id="2"/>
            <w:bookmarkStart w:id="3" w:name="_MON_1663738291"/>
            <w:bookmarkEnd w:id="3"/>
            <w:r>
              <w:rPr>
                <w:rFonts w:hint="eastAsia" w:ascii="宋体" w:hAnsi="宋体" w:cs="宋体"/>
                <w:b/>
                <w:bCs/>
                <w:color w:val="000000"/>
                <w:kern w:val="0"/>
                <w:sz w:val="32"/>
                <w:szCs w:val="32"/>
              </w:rPr>
              <w:t>部门整体支出绩效自评表</w:t>
            </w:r>
            <w:r>
              <w:rPr>
                <w:rFonts w:hint="eastAsia" w:ascii="宋体" w:hAnsi="宋体" w:cs="宋体"/>
                <w:b/>
                <w:bCs/>
                <w:color w:val="000000"/>
                <w:kern w:val="0"/>
                <w:sz w:val="32"/>
                <w:szCs w:val="32"/>
              </w:rPr>
              <w:br w:type="textWrapping"/>
            </w:r>
            <w:r>
              <w:rPr>
                <w:rFonts w:hint="eastAsia" w:ascii="宋体" w:hAnsi="宋体" w:cs="宋体"/>
                <w:color w:val="000000"/>
                <w:kern w:val="0"/>
                <w:sz w:val="18"/>
                <w:szCs w:val="18"/>
              </w:rPr>
              <w:t>（2019年度）</w:t>
            </w:r>
          </w:p>
        </w:tc>
      </w:tr>
      <w:tr>
        <w:tblPrEx>
          <w:tblCellMar>
            <w:top w:w="0" w:type="dxa"/>
            <w:left w:w="108" w:type="dxa"/>
            <w:bottom w:w="0" w:type="dxa"/>
            <w:right w:w="108" w:type="dxa"/>
          </w:tblCellMar>
        </w:tblPrEx>
        <w:trPr>
          <w:gridAfter w:val="6"/>
          <w:wAfter w:w="5128" w:type="dxa"/>
          <w:trHeight w:val="331" w:hRule="atLeast"/>
        </w:trPr>
        <w:tc>
          <w:tcPr>
            <w:tcW w:w="6096" w:type="dxa"/>
            <w:gridSpan w:val="5"/>
            <w:tcBorders>
              <w:top w:val="nil"/>
              <w:left w:val="nil"/>
              <w:bottom w:val="nil"/>
              <w:right w:val="nil"/>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填报单位:眉县公安局</w:t>
            </w:r>
          </w:p>
        </w:tc>
        <w:tc>
          <w:tcPr>
            <w:tcW w:w="3518" w:type="dxa"/>
            <w:gridSpan w:val="2"/>
            <w:tcBorders>
              <w:top w:val="nil"/>
              <w:left w:val="nil"/>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自评得分：</w:t>
            </w:r>
          </w:p>
        </w:tc>
      </w:tr>
      <w:tr>
        <w:tblPrEx>
          <w:tblCellMar>
            <w:top w:w="0" w:type="dxa"/>
            <w:left w:w="108" w:type="dxa"/>
            <w:bottom w:w="0" w:type="dxa"/>
            <w:right w:w="108" w:type="dxa"/>
          </w:tblCellMar>
        </w:tblPrEx>
        <w:trPr>
          <w:trHeight w:val="695" w:hRule="atLeast"/>
        </w:trPr>
        <w:tc>
          <w:tcPr>
            <w:tcW w:w="6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（一）简要概述部门职能与职责。</w:t>
            </w:r>
          </w:p>
        </w:tc>
        <w:tc>
          <w:tcPr>
            <w:tcW w:w="8646"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贯彻执行党和国家关于公安工作的方针、政策和法律法规，对全县范围内各类危害国家安全案件、刑事案件的侦破，预防和处置危害社会安定的聚众闹事,依法管理社会治安、户籍、居民身份证、人口统计、保卫和出入境事务以及外国人旅行的有关事务,负责维护全县交通安全和交通秩序，处理交通事故。</w:t>
            </w:r>
          </w:p>
        </w:tc>
      </w:tr>
      <w:tr>
        <w:tblPrEx>
          <w:tblCellMar>
            <w:top w:w="0" w:type="dxa"/>
            <w:left w:w="108" w:type="dxa"/>
            <w:bottom w:w="0" w:type="dxa"/>
            <w:right w:w="108" w:type="dxa"/>
          </w:tblCellMar>
        </w:tblPrEx>
        <w:trPr>
          <w:trHeight w:val="270" w:hRule="atLeast"/>
        </w:trPr>
        <w:tc>
          <w:tcPr>
            <w:tcW w:w="6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（二）简要概述部门支出情况，按活动内容分类。</w:t>
            </w:r>
          </w:p>
        </w:tc>
        <w:tc>
          <w:tcPr>
            <w:tcW w:w="8646"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支出总额：7948.39万元，其中：基本支出4792.69万元，项目支出3155.7万元</w:t>
            </w:r>
          </w:p>
        </w:tc>
      </w:tr>
      <w:tr>
        <w:tblPrEx>
          <w:tblCellMar>
            <w:top w:w="0" w:type="dxa"/>
            <w:left w:w="108" w:type="dxa"/>
            <w:bottom w:w="0" w:type="dxa"/>
            <w:right w:w="108" w:type="dxa"/>
          </w:tblCellMar>
        </w:tblPrEx>
        <w:trPr>
          <w:trHeight w:val="270" w:hRule="atLeast"/>
        </w:trPr>
        <w:tc>
          <w:tcPr>
            <w:tcW w:w="6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（三）简要概述当年省委省政府下达的重点工作。</w:t>
            </w:r>
          </w:p>
        </w:tc>
        <w:tc>
          <w:tcPr>
            <w:tcW w:w="86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　</w:t>
            </w:r>
          </w:p>
        </w:tc>
      </w:tr>
      <w:tr>
        <w:tblPrEx>
          <w:tblCellMar>
            <w:top w:w="0" w:type="dxa"/>
            <w:left w:w="108" w:type="dxa"/>
            <w:bottom w:w="0" w:type="dxa"/>
            <w:right w:w="108" w:type="dxa"/>
          </w:tblCellMar>
        </w:tblPrEx>
        <w:trPr>
          <w:trHeight w:val="960" w:hRule="atLeast"/>
        </w:trPr>
        <w:tc>
          <w:tcPr>
            <w:tcW w:w="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一级</w:t>
            </w:r>
            <w:r>
              <w:rPr>
                <w:rFonts w:hint="eastAsia" w:ascii="楷体_GB2312" w:hAnsi="宋体" w:eastAsia="楷体_GB2312" w:cs="宋体"/>
                <w:b/>
                <w:bCs/>
                <w:kern w:val="0"/>
                <w:sz w:val="15"/>
                <w:szCs w:val="15"/>
              </w:rPr>
              <w:br w:type="textWrapping"/>
            </w:r>
            <w:r>
              <w:rPr>
                <w:rFonts w:hint="eastAsia" w:ascii="楷体_GB2312" w:hAnsi="宋体" w:eastAsia="楷体_GB2312" w:cs="宋体"/>
                <w:b/>
                <w:bCs/>
                <w:kern w:val="0"/>
                <w:sz w:val="15"/>
                <w:szCs w:val="15"/>
              </w:rPr>
              <w:t>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二级</w:t>
            </w:r>
            <w:r>
              <w:rPr>
                <w:rFonts w:hint="eastAsia" w:ascii="楷体_GB2312" w:hAnsi="宋体" w:eastAsia="楷体_GB2312" w:cs="宋体"/>
                <w:b/>
                <w:bCs/>
                <w:kern w:val="0"/>
                <w:sz w:val="15"/>
                <w:szCs w:val="15"/>
              </w:rPr>
              <w:br w:type="textWrapping"/>
            </w:r>
            <w:r>
              <w:rPr>
                <w:rFonts w:hint="eastAsia" w:ascii="楷体_GB2312" w:hAnsi="宋体" w:eastAsia="楷体_GB2312" w:cs="宋体"/>
                <w:b/>
                <w:bCs/>
                <w:kern w:val="0"/>
                <w:sz w:val="15"/>
                <w:szCs w:val="15"/>
              </w:rPr>
              <w:t>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三级指标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分值</w:t>
            </w:r>
          </w:p>
        </w:tc>
        <w:tc>
          <w:tcPr>
            <w:tcW w:w="3302"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指标说明</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评分标准</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指标值计算公式和数据获取方式</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年初目标值</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实际完成值</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kern w:val="0"/>
                <w:sz w:val="15"/>
                <w:szCs w:val="15"/>
              </w:rPr>
            </w:pPr>
            <w:r>
              <w:rPr>
                <w:rFonts w:hint="eastAsia" w:ascii="楷体_GB2312" w:hAnsi="宋体" w:eastAsia="楷体_GB2312" w:cs="宋体"/>
                <w:b/>
                <w:bCs/>
                <w:kern w:val="0"/>
                <w:sz w:val="15"/>
                <w:szCs w:val="15"/>
              </w:rPr>
              <w:t>得分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未完成原因分析与改进措施</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绩效指标分析与建议</w:t>
            </w:r>
          </w:p>
        </w:tc>
      </w:tr>
      <w:tr>
        <w:tblPrEx>
          <w:tblCellMar>
            <w:top w:w="0" w:type="dxa"/>
            <w:left w:w="108" w:type="dxa"/>
            <w:bottom w:w="0" w:type="dxa"/>
            <w:right w:w="108" w:type="dxa"/>
          </w:tblCellMar>
        </w:tblPrEx>
        <w:trPr>
          <w:trHeight w:val="2180" w:hRule="atLeast"/>
        </w:trPr>
        <w:tc>
          <w:tcPr>
            <w:tcW w:w="634"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宋体" w:eastAsia="楷体_GB2312" w:cs="宋体"/>
                <w:kern w:val="0"/>
                <w:sz w:val="15"/>
                <w:szCs w:val="15"/>
              </w:rPr>
            </w:pPr>
            <w:r>
              <w:rPr>
                <w:rFonts w:hint="eastAsia" w:ascii="楷体_GB2312" w:hAnsi="宋体" w:eastAsia="楷体_GB2312" w:cs="宋体"/>
                <w:kern w:val="0"/>
                <w:sz w:val="15"/>
                <w:szCs w:val="15"/>
              </w:rPr>
              <w:t>投入</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15"/>
                <w:szCs w:val="15"/>
              </w:rPr>
            </w:pPr>
            <w:r>
              <w:rPr>
                <w:rFonts w:hint="eastAsia" w:ascii="楷体_GB2312" w:hAnsi="宋体" w:eastAsia="楷体_GB2312" w:cs="宋体"/>
                <w:kern w:val="0"/>
                <w:sz w:val="15"/>
                <w:szCs w:val="15"/>
              </w:rPr>
              <w:t>预算执行（25分）</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预算</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完成率</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（10分）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15"/>
                <w:szCs w:val="15"/>
              </w:rPr>
            </w:pPr>
            <w:r>
              <w:rPr>
                <w:rFonts w:hint="eastAsia" w:ascii="楷体_GB2312" w:hAnsi="宋体" w:eastAsia="楷体_GB2312" w:cs="宋体"/>
                <w:kern w:val="0"/>
                <w:sz w:val="15"/>
                <w:szCs w:val="15"/>
              </w:rPr>
              <w:t>10</w:t>
            </w:r>
          </w:p>
        </w:tc>
        <w:tc>
          <w:tcPr>
            <w:tcW w:w="3302"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预算完成率=（预算完成数/预算数）×100%，用以反映和考核部门（单位）预算完成程度。</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预算完成数：部门（单位）本年度实际完成的预算数。</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预算数：财政部门批复的本年度部门（单位）预算数。</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预算完成率＝100%的，得10分。</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预算完成率≥95%的，得9分。</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预算完成率在90%（含）和95%之间，得8分。</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预算完成率在85%（含）和90%之间，得7分。</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预算完成率在80%（含）和85%之间，得6分。</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预算完成率在70%（含）和80%之间，得4分。</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预算完成率＜70%的，得0分。</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　</w:t>
            </w:r>
          </w:p>
        </w:tc>
        <w:tc>
          <w:tcPr>
            <w:tcW w:w="993" w:type="dxa"/>
            <w:tcBorders>
              <w:top w:val="nil"/>
              <w:left w:val="nil"/>
              <w:bottom w:val="single" w:color="auto" w:sz="4" w:space="0"/>
              <w:right w:val="single" w:color="auto" w:sz="4" w:space="0"/>
            </w:tcBorders>
            <w:shd w:val="clear" w:color="auto" w:fill="auto"/>
            <w:vAlign w:val="center"/>
          </w:tcPr>
          <w:p>
            <w:pPr>
              <w:widowControl/>
              <w:jc w:val="right"/>
              <w:rPr>
                <w:rFonts w:ascii="楷体_GB2312" w:hAnsi="宋体" w:eastAsia="楷体_GB2312" w:cs="宋体"/>
                <w:kern w:val="0"/>
                <w:sz w:val="15"/>
                <w:szCs w:val="15"/>
              </w:rPr>
            </w:pPr>
            <w:r>
              <w:rPr>
                <w:rFonts w:hint="eastAsia" w:ascii="楷体_GB2312" w:hAnsi="宋体" w:eastAsia="楷体_GB2312" w:cs="宋体"/>
                <w:kern w:val="0"/>
                <w:sz w:val="15"/>
                <w:szCs w:val="15"/>
              </w:rPr>
              <w:t>10</w:t>
            </w:r>
          </w:p>
        </w:tc>
        <w:tc>
          <w:tcPr>
            <w:tcW w:w="708" w:type="dxa"/>
            <w:tcBorders>
              <w:top w:val="nil"/>
              <w:left w:val="nil"/>
              <w:bottom w:val="single" w:color="auto" w:sz="4" w:space="0"/>
              <w:right w:val="single" w:color="auto" w:sz="4" w:space="0"/>
            </w:tcBorders>
            <w:shd w:val="clear" w:color="auto" w:fill="auto"/>
            <w:vAlign w:val="center"/>
          </w:tcPr>
          <w:p>
            <w:pPr>
              <w:widowControl/>
              <w:jc w:val="right"/>
              <w:rPr>
                <w:rFonts w:ascii="楷体_GB2312" w:hAnsi="宋体" w:eastAsia="楷体_GB2312" w:cs="宋体"/>
                <w:kern w:val="0"/>
                <w:sz w:val="15"/>
                <w:szCs w:val="15"/>
              </w:rPr>
            </w:pPr>
            <w:r>
              <w:rPr>
                <w:rFonts w:hint="eastAsia" w:ascii="楷体_GB2312" w:hAnsi="宋体" w:eastAsia="楷体_GB2312" w:cs="宋体"/>
                <w:kern w:val="0"/>
                <w:sz w:val="15"/>
                <w:szCs w:val="15"/>
              </w:rPr>
              <w:t>10</w:t>
            </w:r>
          </w:p>
        </w:tc>
        <w:tc>
          <w:tcPr>
            <w:tcW w:w="993" w:type="dxa"/>
            <w:tcBorders>
              <w:top w:val="nil"/>
              <w:left w:val="nil"/>
              <w:bottom w:val="single" w:color="auto" w:sz="4" w:space="0"/>
              <w:right w:val="single" w:color="auto" w:sz="4" w:space="0"/>
            </w:tcBorders>
            <w:shd w:val="clear" w:color="auto" w:fill="auto"/>
            <w:vAlign w:val="center"/>
          </w:tcPr>
          <w:p>
            <w:pPr>
              <w:widowControl/>
              <w:jc w:val="right"/>
              <w:rPr>
                <w:rFonts w:ascii="楷体_GB2312" w:hAnsi="宋体" w:eastAsia="楷体_GB2312" w:cs="宋体"/>
                <w:kern w:val="0"/>
                <w:sz w:val="15"/>
                <w:szCs w:val="15"/>
              </w:rPr>
            </w:pPr>
            <w:r>
              <w:rPr>
                <w:rFonts w:hint="eastAsia" w:ascii="楷体_GB2312" w:hAnsi="宋体" w:eastAsia="楷体_GB2312" w:cs="宋体"/>
                <w:kern w:val="0"/>
                <w:sz w:val="15"/>
                <w:szCs w:val="15"/>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　</w:t>
            </w:r>
          </w:p>
        </w:tc>
      </w:tr>
      <w:tr>
        <w:tblPrEx>
          <w:tblCellMar>
            <w:top w:w="0" w:type="dxa"/>
            <w:left w:w="108" w:type="dxa"/>
            <w:bottom w:w="0" w:type="dxa"/>
            <w:right w:w="108" w:type="dxa"/>
          </w:tblCellMar>
        </w:tblPrEx>
        <w:trPr>
          <w:trHeight w:val="408" w:hRule="atLeast"/>
        </w:trPr>
        <w:tc>
          <w:tcPr>
            <w:tcW w:w="634"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15"/>
                <w:szCs w:val="15"/>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 w:val="15"/>
                <w:szCs w:val="15"/>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预算调整率</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（5分）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15"/>
                <w:szCs w:val="15"/>
              </w:rPr>
            </w:pPr>
            <w:r>
              <w:rPr>
                <w:rFonts w:hint="eastAsia" w:ascii="楷体_GB2312" w:hAnsi="宋体" w:eastAsia="楷体_GB2312" w:cs="宋体"/>
                <w:kern w:val="0"/>
                <w:sz w:val="15"/>
                <w:szCs w:val="15"/>
              </w:rPr>
              <w:t>5</w:t>
            </w:r>
          </w:p>
        </w:tc>
        <w:tc>
          <w:tcPr>
            <w:tcW w:w="3302"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预算调整率=（预算调整数/预算数）×100%，用以反映和考核部门（单位）预算的调整程度。</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预算包括一般公共预算与政府性基金预算。</w:t>
            </w:r>
          </w:p>
        </w:tc>
        <w:tc>
          <w:tcPr>
            <w:tcW w:w="3118"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预算调整率绝对值≤5%，得5分。</w:t>
            </w:r>
            <w:r>
              <w:rPr>
                <w:rFonts w:hint="eastAsia" w:ascii="楷体_GB2312" w:hAnsi="宋体" w:eastAsia="楷体_GB2312" w:cs="宋体"/>
                <w:kern w:val="0"/>
                <w:sz w:val="15"/>
                <w:szCs w:val="15"/>
              </w:rPr>
              <w:br w:type="textWrapping"/>
            </w:r>
            <w:r>
              <w:rPr>
                <w:rFonts w:hint="eastAsia" w:ascii="楷体_GB2312" w:hAnsi="宋体" w:eastAsia="楷体_GB2312" w:cs="宋体"/>
                <w:kern w:val="0"/>
                <w:sz w:val="15"/>
                <w:szCs w:val="15"/>
              </w:rPr>
              <w:t>预算调整率绝对值＞5%的，每增加0.1个百分点扣0.1分，扣完为止。</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 w:val="15"/>
                <w:szCs w:val="15"/>
              </w:rPr>
            </w:pPr>
            <w:r>
              <w:rPr>
                <w:rFonts w:hint="eastAsia" w:ascii="楷体_GB2312" w:hAnsi="宋体" w:eastAsia="楷体_GB2312" w:cs="宋体"/>
                <w:kern w:val="0"/>
                <w:sz w:val="15"/>
                <w:szCs w:val="15"/>
              </w:rPr>
              <w:t>　</w:t>
            </w:r>
          </w:p>
        </w:tc>
        <w:tc>
          <w:tcPr>
            <w:tcW w:w="993" w:type="dxa"/>
            <w:tcBorders>
              <w:top w:val="nil"/>
              <w:left w:val="nil"/>
              <w:bottom w:val="single" w:color="auto" w:sz="4" w:space="0"/>
              <w:right w:val="single" w:color="auto" w:sz="4" w:space="0"/>
            </w:tcBorders>
            <w:shd w:val="clear" w:color="auto" w:fill="auto"/>
            <w:vAlign w:val="center"/>
          </w:tcPr>
          <w:p>
            <w:pPr>
              <w:widowControl/>
              <w:jc w:val="right"/>
              <w:rPr>
                <w:rFonts w:ascii="楷体_GB2312" w:hAnsi="宋体" w:eastAsia="楷体_GB2312" w:cs="宋体"/>
                <w:kern w:val="0"/>
                <w:sz w:val="15"/>
                <w:szCs w:val="15"/>
              </w:rPr>
            </w:pPr>
            <w:r>
              <w:rPr>
                <w:rFonts w:hint="eastAsia" w:ascii="楷体_GB2312" w:hAnsi="宋体" w:eastAsia="楷体_GB2312" w:cs="宋体"/>
                <w:kern w:val="0"/>
                <w:sz w:val="15"/>
                <w:szCs w:val="15"/>
              </w:rPr>
              <w:t>5</w:t>
            </w:r>
          </w:p>
        </w:tc>
        <w:tc>
          <w:tcPr>
            <w:tcW w:w="708" w:type="dxa"/>
            <w:tcBorders>
              <w:top w:val="nil"/>
              <w:left w:val="nil"/>
              <w:bottom w:val="single" w:color="auto" w:sz="4" w:space="0"/>
              <w:right w:val="single" w:color="auto" w:sz="4" w:space="0"/>
            </w:tcBorders>
            <w:shd w:val="clear" w:color="auto" w:fill="auto"/>
            <w:vAlign w:val="center"/>
          </w:tcPr>
          <w:p>
            <w:pPr>
              <w:widowControl/>
              <w:jc w:val="right"/>
              <w:rPr>
                <w:rFonts w:ascii="楷体_GB2312" w:hAnsi="宋体" w:eastAsia="楷体_GB2312" w:cs="宋体"/>
                <w:kern w:val="0"/>
                <w:sz w:val="15"/>
                <w:szCs w:val="15"/>
              </w:rPr>
            </w:pPr>
            <w:r>
              <w:rPr>
                <w:rFonts w:hint="eastAsia" w:ascii="楷体_GB2312" w:hAnsi="宋体" w:eastAsia="楷体_GB2312" w:cs="宋体"/>
                <w:kern w:val="0"/>
                <w:sz w:val="15"/>
                <w:szCs w:val="15"/>
              </w:rPr>
              <w:t>5</w:t>
            </w:r>
          </w:p>
        </w:tc>
        <w:tc>
          <w:tcPr>
            <w:tcW w:w="993" w:type="dxa"/>
            <w:tcBorders>
              <w:top w:val="nil"/>
              <w:left w:val="nil"/>
              <w:bottom w:val="single" w:color="auto" w:sz="4" w:space="0"/>
              <w:right w:val="single" w:color="auto" w:sz="4" w:space="0"/>
            </w:tcBorders>
            <w:shd w:val="clear" w:color="auto" w:fill="auto"/>
            <w:vAlign w:val="center"/>
          </w:tcPr>
          <w:p>
            <w:pPr>
              <w:widowControl/>
              <w:jc w:val="right"/>
              <w:rPr>
                <w:rFonts w:ascii="楷体_GB2312" w:hAnsi="宋体" w:eastAsia="楷体_GB2312" w:cs="宋体"/>
                <w:kern w:val="0"/>
                <w:sz w:val="15"/>
                <w:szCs w:val="15"/>
              </w:rPr>
            </w:pPr>
            <w:r>
              <w:rPr>
                <w:rFonts w:hint="eastAsia" w:ascii="楷体_GB2312" w:hAnsi="宋体" w:eastAsia="楷体_GB2312" w:cs="宋体"/>
                <w:kern w:val="0"/>
                <w:sz w:val="15"/>
                <w:szCs w:val="15"/>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　</w:t>
            </w:r>
          </w:p>
        </w:tc>
      </w:tr>
    </w:tbl>
    <w:p>
      <w:pPr>
        <w:widowControl/>
        <w:jc w:val="left"/>
        <w:rPr>
          <w:rFonts w:ascii="楷体" w:hAnsi="楷体" w:eastAsia="楷体" w:cs="楷体"/>
          <w:sz w:val="15"/>
          <w:szCs w:val="15"/>
        </w:rPr>
      </w:pPr>
    </w:p>
    <w:p>
      <w:pPr>
        <w:rPr>
          <w:rFonts w:ascii="楷体" w:hAnsi="楷体" w:eastAsia="楷体" w:cs="楷体"/>
          <w:sz w:val="32"/>
          <w:szCs w:val="32"/>
        </w:rPr>
        <w:sectPr>
          <w:pgSz w:w="16838" w:h="11906" w:orient="landscape"/>
          <w:pgMar w:top="1588" w:right="2098" w:bottom="1474" w:left="1985" w:header="851" w:footer="992" w:gutter="0"/>
          <w:cols w:space="0" w:num="1"/>
          <w:docGrid w:type="lines" w:linePitch="315" w:charSpace="0"/>
        </w:sectPr>
      </w:pPr>
      <w:bookmarkStart w:id="4" w:name="_MON_1661758457"/>
      <w:bookmarkEnd w:id="4"/>
      <w:r>
        <w:rPr>
          <w:rFonts w:hint="eastAsia" w:ascii="楷体" w:hAnsi="楷体" w:eastAsia="楷体" w:cs="楷体"/>
          <w:sz w:val="32"/>
          <w:szCs w:val="32"/>
        </w:rPr>
        <w:object>
          <v:shape id="_x0000_i1026" o:spt="75" type="#_x0000_t75" style="height:372.75pt;width:683.25pt;" o:ole="t" filled="f" o:preferrelative="t" stroked="f" coordsize="21600,21600">
            <v:path/>
            <v:fill on="f" focussize="0,0"/>
            <v:stroke on="f" joinstyle="miter"/>
            <v:imagedata r:id="rId17" o:title=""/>
            <o:lock v:ext="edit" aspectratio="t"/>
            <w10:wrap type="none"/>
            <w10:anchorlock/>
          </v:shape>
          <o:OLEObject Type="Embed" ProgID="Excel.Sheet.8" ShapeID="_x0000_i1026" DrawAspect="Content" ObjectID="_1468075726" r:id="rId16">
            <o:LockedField>false</o:LockedField>
          </o:OLEObject>
        </w:object>
      </w:r>
      <w:bookmarkStart w:id="5" w:name="_MON_1661758508"/>
      <w:bookmarkEnd w:id="5"/>
      <w:r>
        <w:rPr>
          <w:rFonts w:hint="eastAsia" w:ascii="楷体" w:hAnsi="楷体" w:eastAsia="楷体" w:cs="楷体"/>
          <w:sz w:val="32"/>
          <w:szCs w:val="32"/>
        </w:rPr>
        <w:object>
          <v:shape id="_x0000_i1027" o:spt="75" type="#_x0000_t75" style="height:415.5pt;width:729pt;" o:ole="t" filled="f" o:preferrelative="t" stroked="f" coordsize="21600,21600">
            <v:path/>
            <v:fill on="f" focussize="0,0"/>
            <v:stroke on="f" joinstyle="miter"/>
            <v:imagedata r:id="rId19" o:title=""/>
            <o:lock v:ext="edit" aspectratio="t"/>
            <w10:wrap type="none"/>
            <w10:anchorlock/>
          </v:shape>
          <o:OLEObject Type="Embed" ProgID="Excel.Sheet.8" ShapeID="_x0000_i1027" DrawAspect="Content" ObjectID="_1468075727" r:id="rId18">
            <o:LockedField>false</o:LockedField>
          </o:OLEObject>
        </w:object>
      </w:r>
      <w:bookmarkStart w:id="6" w:name="_MON_1662990736"/>
      <w:bookmarkEnd w:id="6"/>
      <w:bookmarkStart w:id="7" w:name="_MON_1662989095"/>
      <w:bookmarkEnd w:id="7"/>
    </w:p>
    <w:p>
      <w:pPr>
        <w:ind w:firstLine="640" w:firstLineChars="200"/>
        <w:rPr>
          <w:rFonts w:ascii="黑体" w:hAnsi="黑体" w:eastAsia="黑体"/>
          <w:sz w:val="32"/>
          <w:szCs w:val="32"/>
        </w:rPr>
      </w:pPr>
      <w:r>
        <w:rPr>
          <w:rFonts w:hint="eastAsia" w:ascii="黑体" w:hAnsi="黑体" w:eastAsia="黑体"/>
          <w:color w:val="000000"/>
          <w:kern w:val="0"/>
          <w:sz w:val="32"/>
          <w:szCs w:val="32"/>
        </w:rPr>
        <w:t>十一、其他重要事项说明</w:t>
      </w:r>
    </w:p>
    <w:p>
      <w:pPr>
        <w:widowControl/>
        <w:ind w:firstLine="602" w:firstLineChars="200"/>
        <w:jc w:val="left"/>
        <w:rPr>
          <w:sz w:val="30"/>
          <w:szCs w:val="30"/>
        </w:rPr>
      </w:pPr>
      <w:r>
        <w:rPr>
          <w:rFonts w:ascii="楷体_GB2312" w:hAnsi="宋体" w:eastAsia="楷体_GB2312" w:cs="楷体_GB2312"/>
          <w:b/>
          <w:color w:val="000000"/>
          <w:kern w:val="0"/>
          <w:sz w:val="30"/>
          <w:szCs w:val="30"/>
        </w:rPr>
        <w:t>（一）机关运行经费支出情况</w:t>
      </w:r>
      <w:r>
        <w:rPr>
          <w:rFonts w:hint="eastAsia" w:ascii="楷体_GB2312" w:hAnsi="宋体" w:eastAsia="楷体_GB2312" w:cs="楷体_GB2312"/>
          <w:b/>
          <w:color w:val="000000"/>
          <w:kern w:val="0"/>
          <w:sz w:val="30"/>
          <w:szCs w:val="30"/>
        </w:rPr>
        <w:t>说明</w:t>
      </w:r>
      <w:r>
        <w:rPr>
          <w:rFonts w:ascii="楷体_GB2312" w:hAnsi="宋体" w:eastAsia="楷体_GB2312" w:cs="楷体_GB2312"/>
          <w:b/>
          <w:color w:val="000000"/>
          <w:kern w:val="0"/>
          <w:sz w:val="30"/>
          <w:szCs w:val="30"/>
        </w:rPr>
        <w:t xml:space="preserve">。 </w:t>
      </w:r>
    </w:p>
    <w:p>
      <w:pPr>
        <w:widowControl/>
        <w:ind w:firstLine="600" w:firstLineChars="200"/>
        <w:jc w:val="left"/>
        <w:rPr>
          <w:rFonts w:ascii="仿宋_GB2312" w:hAnsi="宋体" w:eastAsia="仿宋_GB2312" w:cs="仿宋_GB2312"/>
          <w:color w:val="000000"/>
          <w:kern w:val="0"/>
          <w:sz w:val="30"/>
          <w:szCs w:val="30"/>
        </w:rPr>
      </w:pPr>
      <w:r>
        <w:rPr>
          <w:rFonts w:hint="eastAsia" w:ascii="仿宋_GB2312" w:hAnsi="仿宋_GB2312" w:eastAsia="仿宋_GB2312" w:cs="仿宋_GB2312"/>
          <w:sz w:val="30"/>
          <w:szCs w:val="30"/>
        </w:rPr>
        <w:t>示例：</w:t>
      </w:r>
      <w:r>
        <w:rPr>
          <w:rFonts w:ascii="仿宋_GB2312" w:hAnsi="仿宋_GB2312" w:eastAsia="仿宋_GB2312" w:cs="仿宋_GB2312"/>
          <w:color w:val="000000"/>
          <w:kern w:val="0"/>
          <w:sz w:val="30"/>
          <w:szCs w:val="30"/>
        </w:rPr>
        <w:t>2019年机关运行经费</w:t>
      </w:r>
      <w:r>
        <w:rPr>
          <w:rFonts w:ascii="仿宋_GB2312" w:hAnsi="宋体" w:eastAsia="仿宋_GB2312" w:cs="仿宋_GB2312"/>
          <w:color w:val="000000"/>
          <w:kern w:val="0"/>
          <w:sz w:val="30"/>
          <w:szCs w:val="30"/>
        </w:rPr>
        <w:t>预算为</w:t>
      </w:r>
      <w:r>
        <w:rPr>
          <w:rFonts w:hint="eastAsia" w:ascii="仿宋_GB2312" w:hAnsi="宋体" w:eastAsia="仿宋_GB2312" w:cs="仿宋_GB2312"/>
          <w:color w:val="000000"/>
          <w:kern w:val="0"/>
          <w:sz w:val="30"/>
          <w:szCs w:val="30"/>
        </w:rPr>
        <w:t>1359.96</w:t>
      </w:r>
      <w:r>
        <w:rPr>
          <w:rFonts w:ascii="仿宋_GB2312" w:hAnsi="宋体" w:eastAsia="仿宋_GB2312" w:cs="仿宋_GB2312"/>
          <w:color w:val="000000"/>
          <w:kern w:val="0"/>
          <w:sz w:val="30"/>
          <w:szCs w:val="30"/>
        </w:rPr>
        <w:t>万元，支出决算为</w:t>
      </w:r>
      <w:r>
        <w:rPr>
          <w:rFonts w:hint="eastAsia" w:ascii="仿宋_GB2312" w:hAnsi="宋体" w:eastAsia="仿宋_GB2312" w:cs="仿宋_GB2312"/>
          <w:color w:val="000000"/>
          <w:kern w:val="0"/>
          <w:sz w:val="30"/>
          <w:szCs w:val="30"/>
        </w:rPr>
        <w:t>1359.96</w:t>
      </w:r>
      <w:r>
        <w:rPr>
          <w:rFonts w:ascii="仿宋_GB2312" w:hAnsi="宋体" w:eastAsia="仿宋_GB2312" w:cs="仿宋_GB2312"/>
          <w:color w:val="000000"/>
          <w:kern w:val="0"/>
          <w:sz w:val="30"/>
          <w:szCs w:val="30"/>
        </w:rPr>
        <w:t>万元，完成预算的</w:t>
      </w:r>
      <w:r>
        <w:rPr>
          <w:rFonts w:hint="eastAsia" w:ascii="仿宋_GB2312" w:hAnsi="宋体" w:eastAsia="仿宋_GB2312" w:cs="仿宋_GB2312"/>
          <w:color w:val="000000"/>
          <w:kern w:val="0"/>
          <w:sz w:val="30"/>
          <w:szCs w:val="30"/>
        </w:rPr>
        <w:t>100</w:t>
      </w:r>
      <w:r>
        <w:rPr>
          <w:rFonts w:ascii="仿宋_GB2312" w:hAnsi="宋体" w:eastAsia="仿宋_GB2312" w:cs="仿宋_GB2312"/>
          <w:color w:val="000000"/>
          <w:kern w:val="0"/>
          <w:sz w:val="30"/>
          <w:szCs w:val="30"/>
        </w:rPr>
        <w:t>%。</w:t>
      </w:r>
    </w:p>
    <w:p>
      <w:pPr>
        <w:widowControl/>
        <w:ind w:firstLine="602" w:firstLineChars="200"/>
        <w:jc w:val="left"/>
        <w:rPr>
          <w:rFonts w:ascii="楷体_GB2312" w:hAnsi="宋体" w:eastAsia="楷体_GB2312" w:cs="楷体_GB2312"/>
          <w:b/>
          <w:color w:val="000000"/>
          <w:kern w:val="0"/>
          <w:sz w:val="30"/>
          <w:szCs w:val="30"/>
        </w:rPr>
      </w:pPr>
      <w:r>
        <w:rPr>
          <w:rFonts w:hint="eastAsia" w:ascii="楷体_GB2312" w:hAnsi="宋体" w:eastAsia="楷体_GB2312" w:cs="楷体_GB2312"/>
          <w:b/>
          <w:color w:val="000000"/>
          <w:kern w:val="0"/>
          <w:sz w:val="30"/>
          <w:szCs w:val="30"/>
        </w:rPr>
        <w:t>（二）政府采购支出情况说明。</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2019年本部门政府采购支出总额共454万元，政府采购服务类支出454万元，</w:t>
      </w:r>
      <w:r>
        <w:rPr>
          <w:rFonts w:ascii="仿宋_GB2312" w:hAnsi="宋体" w:eastAsia="仿宋_GB2312" w:cs="仿宋_GB2312"/>
          <w:color w:val="000000"/>
          <w:kern w:val="0"/>
          <w:sz w:val="30"/>
          <w:szCs w:val="30"/>
        </w:rPr>
        <w:t>占政府采购支出总额的</w:t>
      </w:r>
      <w:r>
        <w:rPr>
          <w:rFonts w:hint="eastAsia" w:ascii="仿宋_GB2312" w:hAnsi="宋体" w:eastAsia="仿宋_GB2312" w:cs="仿宋_GB2312"/>
          <w:color w:val="000000"/>
          <w:kern w:val="0"/>
          <w:sz w:val="30"/>
          <w:szCs w:val="30"/>
        </w:rPr>
        <w:t>100</w:t>
      </w:r>
      <w:r>
        <w:rPr>
          <w:rFonts w:ascii="仿宋_GB2312" w:hAnsi="宋体" w:eastAsia="仿宋_GB2312" w:cs="仿宋_GB2312"/>
          <w:color w:val="000000"/>
          <w:kern w:val="0"/>
          <w:sz w:val="30"/>
          <w:szCs w:val="30"/>
        </w:rPr>
        <w:t>%</w:t>
      </w:r>
      <w:r>
        <w:rPr>
          <w:rFonts w:hint="eastAsia" w:ascii="仿宋_GB2312" w:hAnsi="宋体" w:eastAsia="仿宋_GB2312" w:cs="仿宋_GB2312"/>
          <w:color w:val="000000"/>
          <w:kern w:val="0"/>
          <w:sz w:val="30"/>
          <w:szCs w:val="30"/>
        </w:rPr>
        <w:t>。</w:t>
      </w:r>
    </w:p>
    <w:p>
      <w:pPr>
        <w:widowControl/>
        <w:ind w:firstLine="602" w:firstLineChars="200"/>
        <w:jc w:val="left"/>
        <w:rPr>
          <w:rFonts w:ascii="楷体_GB2312" w:hAnsi="宋体" w:eastAsia="楷体_GB2312" w:cs="楷体_GB2312"/>
          <w:b/>
          <w:color w:val="000000"/>
          <w:kern w:val="0"/>
          <w:sz w:val="30"/>
          <w:szCs w:val="30"/>
        </w:rPr>
      </w:pPr>
      <w:r>
        <w:rPr>
          <w:rFonts w:hint="eastAsia" w:ascii="楷体_GB2312" w:hAnsi="宋体" w:eastAsia="楷体_GB2312" w:cs="楷体_GB2312"/>
          <w:b/>
          <w:color w:val="000000"/>
          <w:kern w:val="0"/>
          <w:sz w:val="30"/>
          <w:szCs w:val="30"/>
        </w:rPr>
        <w:t>（三）国有资产占用及购置情况说明。</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截至2019年末，本部门机关及所属单位共有车辆55辆；单价50万元以上的通用设备0台（套）；单价100万元以上的专用设备0台（套）。201</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年当年购置车辆0辆；购置单价50万元以上的通用设备0台（套）；购置单价100万元以上的专用设备0台（套）。</w:t>
      </w:r>
    </w:p>
    <w:p>
      <w:pPr>
        <w:jc w:val="center"/>
        <w:rPr>
          <w:sz w:val="30"/>
          <w:szCs w:val="30"/>
        </w:rPr>
      </w:pPr>
      <w:r>
        <w:rPr>
          <w:rFonts w:hint="eastAsia" w:ascii="黑体" w:hAnsi="宋体" w:eastAsia="黑体"/>
          <w:color w:val="000000"/>
          <w:kern w:val="0"/>
          <w:sz w:val="30"/>
          <w:szCs w:val="30"/>
        </w:rPr>
        <w:t>第四部分 专业名词解释</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1.基本支出</w:t>
      </w:r>
      <w:r>
        <w:rPr>
          <w:rFonts w:hint="eastAsia" w:ascii="仿宋_GB2312" w:hAnsi="仿宋_GB2312" w:eastAsia="仿宋_GB2312" w:cs="仿宋_GB2312"/>
          <w:sz w:val="30"/>
          <w:szCs w:val="30"/>
        </w:rPr>
        <w:t>：指为保障机构正常运转、完成日常工作任务而发生的各项支出。</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2.项目支出</w:t>
      </w:r>
      <w:r>
        <w:rPr>
          <w:rFonts w:hint="eastAsia" w:ascii="仿宋_GB2312" w:hAnsi="仿宋_GB2312" w:eastAsia="仿宋_GB2312" w:cs="仿宋_GB2312"/>
          <w:sz w:val="30"/>
          <w:szCs w:val="30"/>
        </w:rPr>
        <w:t>：指单位为完成特定的行政工作任务或事业发展目标所发生的各项支出。</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3.“三公”经费</w:t>
      </w:r>
      <w:r>
        <w:rPr>
          <w:rFonts w:hint="eastAsia" w:ascii="仿宋_GB2312" w:hAnsi="仿宋_GB2312" w:eastAsia="仿宋_GB2312" w:cs="仿宋_GB2312"/>
          <w:sz w:val="30"/>
          <w:szCs w:val="30"/>
        </w:rPr>
        <w:t>：指部门使用一般公共预算财政拨款安排的因公出国（境）费、公务用车购置及运行费和公务接待费支出。</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4.财政拨款收入</w:t>
      </w:r>
      <w:r>
        <w:rPr>
          <w:rFonts w:hint="eastAsia" w:ascii="仿宋_GB2312" w:hAnsi="仿宋_GB2312" w:eastAsia="仿宋_GB2312" w:cs="仿宋_GB2312"/>
          <w:sz w:val="30"/>
          <w:szCs w:val="30"/>
        </w:rPr>
        <w:t>：指本级财政当年拨付的资金。</w:t>
      </w: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14F52"/>
    <w:multiLevelType w:val="multilevel"/>
    <w:tmpl w:val="1DB14F52"/>
    <w:lvl w:ilvl="0" w:tentative="0">
      <w:start w:val="2"/>
      <w:numFmt w:val="japaneseCounting"/>
      <w:lvlText w:val="（%1）"/>
      <w:lvlJc w:val="left"/>
      <w:pPr>
        <w:ind w:left="1723" w:hanging="1080"/>
      </w:pPr>
      <w:rPr>
        <w:rFonts w:hint="default" w:ascii="仿宋_GB2312" w:eastAsia="仿宋_GB2312" w:cs="仿宋_GB2312"/>
        <w:b w:val="0"/>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1FDE336C"/>
    <w:multiLevelType w:val="multilevel"/>
    <w:tmpl w:val="1FDE336C"/>
    <w:lvl w:ilvl="0" w:tentative="0">
      <w:start w:val="4"/>
      <w:numFmt w:val="decimal"/>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315"/>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A6038"/>
    <w:rsid w:val="00006F35"/>
    <w:rsid w:val="00050E89"/>
    <w:rsid w:val="00053317"/>
    <w:rsid w:val="000556F8"/>
    <w:rsid w:val="00092158"/>
    <w:rsid w:val="00094ECC"/>
    <w:rsid w:val="000C4B8B"/>
    <w:rsid w:val="000E3B51"/>
    <w:rsid w:val="0011190B"/>
    <w:rsid w:val="0011661B"/>
    <w:rsid w:val="00124897"/>
    <w:rsid w:val="00134523"/>
    <w:rsid w:val="00146787"/>
    <w:rsid w:val="00153037"/>
    <w:rsid w:val="00164001"/>
    <w:rsid w:val="001803C1"/>
    <w:rsid w:val="00183402"/>
    <w:rsid w:val="001863D0"/>
    <w:rsid w:val="001C3AAA"/>
    <w:rsid w:val="001D0E6F"/>
    <w:rsid w:val="001D542C"/>
    <w:rsid w:val="001D7568"/>
    <w:rsid w:val="002238F8"/>
    <w:rsid w:val="002424C8"/>
    <w:rsid w:val="00246FFC"/>
    <w:rsid w:val="00274FC0"/>
    <w:rsid w:val="002932BE"/>
    <w:rsid w:val="002A7893"/>
    <w:rsid w:val="002A7DC6"/>
    <w:rsid w:val="002F7E05"/>
    <w:rsid w:val="003017B4"/>
    <w:rsid w:val="003364E9"/>
    <w:rsid w:val="00344526"/>
    <w:rsid w:val="00344BCB"/>
    <w:rsid w:val="00344C05"/>
    <w:rsid w:val="00381342"/>
    <w:rsid w:val="003B5586"/>
    <w:rsid w:val="003C336F"/>
    <w:rsid w:val="003C345F"/>
    <w:rsid w:val="003D2868"/>
    <w:rsid w:val="003D44DE"/>
    <w:rsid w:val="003D54EF"/>
    <w:rsid w:val="003F1723"/>
    <w:rsid w:val="004070A5"/>
    <w:rsid w:val="00441615"/>
    <w:rsid w:val="00452E2E"/>
    <w:rsid w:val="00486C56"/>
    <w:rsid w:val="00491A41"/>
    <w:rsid w:val="004A1F8F"/>
    <w:rsid w:val="004B6D6E"/>
    <w:rsid w:val="004C794C"/>
    <w:rsid w:val="004D6F63"/>
    <w:rsid w:val="004E131E"/>
    <w:rsid w:val="004E25FD"/>
    <w:rsid w:val="004F7265"/>
    <w:rsid w:val="005213FF"/>
    <w:rsid w:val="00581904"/>
    <w:rsid w:val="0058200D"/>
    <w:rsid w:val="00585846"/>
    <w:rsid w:val="005E7E7C"/>
    <w:rsid w:val="005F1201"/>
    <w:rsid w:val="005F7B9D"/>
    <w:rsid w:val="00602A0C"/>
    <w:rsid w:val="00614584"/>
    <w:rsid w:val="00621815"/>
    <w:rsid w:val="006367E0"/>
    <w:rsid w:val="00642D57"/>
    <w:rsid w:val="00653DA3"/>
    <w:rsid w:val="006614AE"/>
    <w:rsid w:val="00681761"/>
    <w:rsid w:val="006A53A6"/>
    <w:rsid w:val="006B08E7"/>
    <w:rsid w:val="006C4F04"/>
    <w:rsid w:val="006F01C7"/>
    <w:rsid w:val="007763CE"/>
    <w:rsid w:val="007A649B"/>
    <w:rsid w:val="007B3F41"/>
    <w:rsid w:val="007E2125"/>
    <w:rsid w:val="007F5D23"/>
    <w:rsid w:val="00813F4A"/>
    <w:rsid w:val="00821D66"/>
    <w:rsid w:val="00850BA2"/>
    <w:rsid w:val="00885760"/>
    <w:rsid w:val="008946D8"/>
    <w:rsid w:val="008C411C"/>
    <w:rsid w:val="008F657B"/>
    <w:rsid w:val="00933499"/>
    <w:rsid w:val="00946882"/>
    <w:rsid w:val="00996423"/>
    <w:rsid w:val="00A10BE0"/>
    <w:rsid w:val="00A119C3"/>
    <w:rsid w:val="00A501DB"/>
    <w:rsid w:val="00AB46B3"/>
    <w:rsid w:val="00AE4C81"/>
    <w:rsid w:val="00AE5022"/>
    <w:rsid w:val="00B11B60"/>
    <w:rsid w:val="00B36D34"/>
    <w:rsid w:val="00B56067"/>
    <w:rsid w:val="00B7276D"/>
    <w:rsid w:val="00B80654"/>
    <w:rsid w:val="00BA28A8"/>
    <w:rsid w:val="00BD1BCB"/>
    <w:rsid w:val="00BE5A8F"/>
    <w:rsid w:val="00C11E88"/>
    <w:rsid w:val="00C14F30"/>
    <w:rsid w:val="00C2538D"/>
    <w:rsid w:val="00C356CB"/>
    <w:rsid w:val="00C62208"/>
    <w:rsid w:val="00CB3194"/>
    <w:rsid w:val="00CB58D6"/>
    <w:rsid w:val="00CB5EF5"/>
    <w:rsid w:val="00CB7771"/>
    <w:rsid w:val="00CC1BFD"/>
    <w:rsid w:val="00CE7F71"/>
    <w:rsid w:val="00D2119A"/>
    <w:rsid w:val="00D32994"/>
    <w:rsid w:val="00D462EE"/>
    <w:rsid w:val="00D62E84"/>
    <w:rsid w:val="00D80A5E"/>
    <w:rsid w:val="00D82906"/>
    <w:rsid w:val="00D849A3"/>
    <w:rsid w:val="00D85AC8"/>
    <w:rsid w:val="00DC5914"/>
    <w:rsid w:val="00DC6A7B"/>
    <w:rsid w:val="00DD0B36"/>
    <w:rsid w:val="00DE3DF0"/>
    <w:rsid w:val="00E024EA"/>
    <w:rsid w:val="00E16CC2"/>
    <w:rsid w:val="00E3533E"/>
    <w:rsid w:val="00E569EB"/>
    <w:rsid w:val="00E64456"/>
    <w:rsid w:val="00E664D0"/>
    <w:rsid w:val="00E8111E"/>
    <w:rsid w:val="00EA0354"/>
    <w:rsid w:val="00ED05D2"/>
    <w:rsid w:val="00ED2264"/>
    <w:rsid w:val="00ED79EC"/>
    <w:rsid w:val="00EF1AD5"/>
    <w:rsid w:val="00EF70B6"/>
    <w:rsid w:val="00F9594F"/>
    <w:rsid w:val="00F9628B"/>
    <w:rsid w:val="00FC5E75"/>
    <w:rsid w:val="00FD31FD"/>
    <w:rsid w:val="00FE203F"/>
    <w:rsid w:val="013B79AC"/>
    <w:rsid w:val="125E2600"/>
    <w:rsid w:val="132E46A0"/>
    <w:rsid w:val="14411117"/>
    <w:rsid w:val="1586116E"/>
    <w:rsid w:val="18BB4AD7"/>
    <w:rsid w:val="1B4A3FDA"/>
    <w:rsid w:val="1B524C98"/>
    <w:rsid w:val="1C5E2F73"/>
    <w:rsid w:val="1D6E0C0D"/>
    <w:rsid w:val="221C15BB"/>
    <w:rsid w:val="29785A6B"/>
    <w:rsid w:val="2D1F3974"/>
    <w:rsid w:val="2DC301AF"/>
    <w:rsid w:val="31AA6038"/>
    <w:rsid w:val="33887EE3"/>
    <w:rsid w:val="34677C61"/>
    <w:rsid w:val="3B121AD1"/>
    <w:rsid w:val="3CFD0D2E"/>
    <w:rsid w:val="3DD53773"/>
    <w:rsid w:val="41603979"/>
    <w:rsid w:val="4619368A"/>
    <w:rsid w:val="4D6E0FDF"/>
    <w:rsid w:val="4EE4307A"/>
    <w:rsid w:val="5153143F"/>
    <w:rsid w:val="54F12DEE"/>
    <w:rsid w:val="5CFF8251"/>
    <w:rsid w:val="75C31473"/>
    <w:rsid w:val="75F5BCB2"/>
    <w:rsid w:val="7C3E5E46"/>
    <w:rsid w:val="EFFFF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文字 Char"/>
    <w:basedOn w:val="9"/>
    <w:link w:val="2"/>
    <w:qFormat/>
    <w:uiPriority w:val="0"/>
    <w:rPr>
      <w:rFonts w:ascii="Calibri" w:hAnsi="Calibri" w:cs="黑体"/>
      <w:kern w:val="2"/>
      <w:sz w:val="21"/>
      <w:szCs w:val="24"/>
    </w:rPr>
  </w:style>
  <w:style w:type="character" w:customStyle="1" w:styleId="12">
    <w:name w:val="批注主题 Char"/>
    <w:basedOn w:val="11"/>
    <w:link w:val="6"/>
    <w:qFormat/>
    <w:uiPriority w:val="0"/>
    <w:rPr>
      <w:rFonts w:ascii="Calibri" w:hAnsi="Calibri" w:cs="黑体"/>
      <w:b/>
      <w:bCs/>
      <w:kern w:val="2"/>
      <w:sz w:val="21"/>
      <w:szCs w:val="24"/>
    </w:rPr>
  </w:style>
  <w:style w:type="character" w:customStyle="1" w:styleId="13">
    <w:name w:val="批注框文本 Char"/>
    <w:basedOn w:val="9"/>
    <w:link w:val="3"/>
    <w:qFormat/>
    <w:uiPriority w:val="0"/>
    <w:rPr>
      <w:rFonts w:ascii="Calibri" w:hAnsi="Calibri" w:cs="黑体"/>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chart" Target="charts/chart1.xml"/><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3.bin"/><Relationship Id="rId17" Type="http://schemas.openxmlformats.org/officeDocument/2006/relationships/image" Target="media/image7.emf"/><Relationship Id="rId16" Type="http://schemas.openxmlformats.org/officeDocument/2006/relationships/oleObject" Target="embeddings/oleObject2.bin"/><Relationship Id="rId15" Type="http://schemas.openxmlformats.org/officeDocument/2006/relationships/image" Target="media/image6.emf"/><Relationship Id="rId14" Type="http://schemas.openxmlformats.org/officeDocument/2006/relationships/oleObject" Target="embeddings/oleObject1.bin"/><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08190314223681"/>
          <c:y val="0.0477527728388791"/>
          <c:w val="0.673361110638709"/>
          <c:h val="0.748817965801611"/>
        </c:manualLayout>
      </c:layout>
      <c:barChart>
        <c:barDir val="col"/>
        <c:grouping val="clustered"/>
        <c:varyColors val="false"/>
        <c:ser>
          <c:idx val="0"/>
          <c:order val="0"/>
          <c:tx>
            <c:strRef>
              <c:f>Sheet1!$B$1</c:f>
              <c:strCache>
                <c:ptCount val="1"/>
                <c:pt idx="0">
                  <c:v>部门人员</c:v>
                </c:pt>
              </c:strCache>
            </c:strRef>
          </c:tx>
          <c:invertIfNegative val="false"/>
          <c:dLbls>
            <c:delete val="true"/>
          </c:dLbls>
          <c:cat>
            <c:strRef>
              <c:f>Sheet1!$A$2:$A$5</c:f>
              <c:strCache>
                <c:ptCount val="3"/>
                <c:pt idx="0">
                  <c:v>编制情况</c:v>
                </c:pt>
                <c:pt idx="2">
                  <c:v>实有人员</c:v>
                </c:pt>
              </c:strCache>
            </c:strRef>
          </c:cat>
          <c:val>
            <c:numRef>
              <c:f>Sheet1!$B$2:$B$5</c:f>
              <c:numCache>
                <c:formatCode>General</c:formatCode>
                <c:ptCount val="4"/>
                <c:pt idx="0">
                  <c:v>198</c:v>
                </c:pt>
                <c:pt idx="2">
                  <c:v>196</c:v>
                </c:pt>
              </c:numCache>
            </c:numRef>
          </c:val>
        </c:ser>
        <c:ser>
          <c:idx val="1"/>
          <c:order val="1"/>
          <c:tx>
            <c:strRef>
              <c:f>Sheet1!$C$1</c:f>
              <c:strCache>
                <c:ptCount val="1"/>
                <c:pt idx="0">
                  <c:v>实有人员</c:v>
                </c:pt>
              </c:strCache>
            </c:strRef>
          </c:tx>
          <c:invertIfNegative val="false"/>
          <c:dLbls>
            <c:delete val="true"/>
          </c:dLbls>
          <c:cat>
            <c:strRef>
              <c:f>Sheet1!$A$2:$A$5</c:f>
              <c:strCache>
                <c:ptCount val="3"/>
                <c:pt idx="0">
                  <c:v>编制情况</c:v>
                </c:pt>
                <c:pt idx="2">
                  <c:v>实有人员</c:v>
                </c:pt>
              </c:strCache>
            </c:strRef>
          </c:cat>
          <c:val>
            <c:numRef>
              <c:f>Sheet1!$C$2:$C$5</c:f>
              <c:numCache>
                <c:formatCode>General</c:formatCode>
                <c:ptCount val="4"/>
                <c:pt idx="0">
                  <c:v>21</c:v>
                </c:pt>
                <c:pt idx="2">
                  <c:v>21</c:v>
                </c:pt>
              </c:numCache>
            </c:numRef>
          </c:val>
        </c:ser>
        <c:dLbls>
          <c:showLegendKey val="false"/>
          <c:showVal val="false"/>
          <c:showCatName val="false"/>
          <c:showSerName val="false"/>
          <c:showPercent val="false"/>
          <c:showBubbleSize val="false"/>
        </c:dLbls>
        <c:gapWidth val="150"/>
        <c:axId val="188065664"/>
        <c:axId val="188067200"/>
      </c:barChart>
      <c:catAx>
        <c:axId val="18806566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8067200"/>
        <c:crosses val="autoZero"/>
        <c:auto val="true"/>
        <c:lblAlgn val="ctr"/>
        <c:lblOffset val="100"/>
        <c:noMultiLvlLbl val="false"/>
      </c:catAx>
      <c:valAx>
        <c:axId val="18806720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806566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眉县公安局</a:t>
            </a:r>
            <a:r>
              <a:rPr lang="en-US" altLang="zh-CN"/>
              <a:t>2019</a:t>
            </a:r>
            <a:r>
              <a:rPr lang="zh-CN" altLang="en-US"/>
              <a:t>年收入情况</a:t>
            </a:r>
            <a:endParaRPr lang="zh-CN" altLang="en-US"/>
          </a:p>
        </c:rich>
      </c:tx>
      <c:layout/>
      <c:overlay val="false"/>
    </c:title>
    <c:autoTitleDeleted val="false"/>
    <c:plotArea>
      <c:layout/>
      <c:pieChart>
        <c:varyColors val="true"/>
        <c:ser>
          <c:idx val="0"/>
          <c:order val="0"/>
          <c:tx>
            <c:strRef>
              <c:f>Sheet1!$B$1</c:f>
              <c:strCache>
                <c:ptCount val="1"/>
                <c:pt idx="0">
                  <c:v>眉县交通运输局2019年收入情况</c:v>
                </c:pt>
              </c:strCache>
            </c:strRef>
          </c:tx>
          <c:explosion val="0"/>
          <c:dPt>
            <c:idx val="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c:f>
              <c:strCache>
                <c:ptCount val="1"/>
                <c:pt idx="0">
                  <c:v>财政拨款收入</c:v>
                </c:pt>
              </c:strCache>
            </c:strRef>
          </c:cat>
          <c:val>
            <c:numRef>
              <c:f>Sheet1!$B$2</c:f>
              <c:numCache>
                <c:formatCode>General</c:formatCode>
                <c:ptCount val="1"/>
                <c:pt idx="0">
                  <c:v>100</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眉县公安局</a:t>
            </a:r>
            <a:r>
              <a:rPr lang="en-US" altLang="zh-CN"/>
              <a:t>2019</a:t>
            </a:r>
            <a:r>
              <a:rPr lang="zh-CN" altLang="en-US"/>
              <a:t>年支出情况</a:t>
            </a:r>
            <a:endParaRPr lang="zh-CN" altLang="en-US"/>
          </a:p>
        </c:rich>
      </c:tx>
      <c:layout/>
      <c:overlay val="false"/>
    </c:title>
    <c:autoTitleDeleted val="false"/>
    <c:plotArea>
      <c:layout/>
      <c:pieChart>
        <c:varyColors val="true"/>
        <c:ser>
          <c:idx val="0"/>
          <c:order val="0"/>
          <c:tx>
            <c:strRef>
              <c:f>Sheet1!$B$1</c:f>
              <c:strCache>
                <c:ptCount val="1"/>
                <c:pt idx="0">
                  <c:v>眉县公安局2019年支出情况</c:v>
                </c:pt>
              </c:strCache>
            </c:strRef>
          </c:tx>
          <c:explosion val="0"/>
          <c:dPt>
            <c:idx val="0"/>
            <c:bubble3D val="false"/>
          </c:dPt>
          <c:dPt>
            <c:idx val="1"/>
            <c:bubble3D val="false"/>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60% </a:t>
                    </a:r>
                    <a:endParaRPr lang="en-US" altLang="en-US"/>
                  </a:p>
                </c:rich>
              </c:tx>
              <c:dLblPos val="bestFit"/>
              <c:showLegendKey val="false"/>
              <c:showVal val="tru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40 %</a:t>
                    </a:r>
                    <a:endParaRPr lang="en-US" altLang="en-US"/>
                  </a:p>
                </c:rich>
              </c:tx>
              <c:dLblPos val="bestFit"/>
              <c:showLegendKey val="false"/>
              <c:showVal val="tru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基本支出60%</c:v>
                </c:pt>
                <c:pt idx="1">
                  <c:v>项目支出40%</c:v>
                </c:pt>
              </c:strCache>
            </c:strRef>
          </c:cat>
          <c:val>
            <c:numRef>
              <c:f>Sheet1!$B$2:$B$3</c:f>
              <c:numCache>
                <c:formatCode>0_ </c:formatCode>
                <c:ptCount val="2"/>
                <c:pt idx="0">
                  <c:v>60</c:v>
                </c:pt>
                <c:pt idx="1">
                  <c:v>40</c:v>
                </c:pt>
              </c:numCache>
            </c:numRef>
          </c:val>
        </c:ser>
        <c:dLbls>
          <c:showLegendKey val="false"/>
          <c:showVal val="false"/>
          <c:showCatName val="false"/>
          <c:showSerName val="false"/>
          <c:showPercent val="false"/>
          <c:showBubbleSize val="false"/>
          <c:showLeaderLines val="fals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col"/>
        <c:grouping val="clustered"/>
        <c:varyColors val="false"/>
        <c:ser>
          <c:idx val="0"/>
          <c:order val="0"/>
          <c:tx>
            <c:strRef>
              <c:f>Sheet1!$B$1</c:f>
              <c:strCache>
                <c:ptCount val="1"/>
                <c:pt idx="0">
                  <c:v>2018年度财政拨款收入（万元）</c:v>
                </c:pt>
              </c:strCache>
            </c:strRef>
          </c:tx>
          <c:invertIfNegative val="false"/>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财政拨款支出</c:v>
                </c:pt>
              </c:strCache>
            </c:strRef>
          </c:cat>
          <c:val>
            <c:numRef>
              <c:f>Sheet1!$B$2</c:f>
              <c:numCache>
                <c:formatCode>General</c:formatCode>
                <c:ptCount val="1"/>
                <c:pt idx="0">
                  <c:v>5640.77</c:v>
                </c:pt>
              </c:numCache>
            </c:numRef>
          </c:val>
        </c:ser>
        <c:ser>
          <c:idx val="1"/>
          <c:order val="1"/>
          <c:tx>
            <c:strRef>
              <c:f>Sheet1!$C$1</c:f>
              <c:strCache>
                <c:ptCount val="1"/>
                <c:pt idx="0">
                  <c:v>2019年度财政拨款收入（万元）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财政拨款支出</c:v>
                </c:pt>
              </c:strCache>
            </c:strRef>
          </c:cat>
          <c:val>
            <c:numRef>
              <c:f>Sheet1!$C$2</c:f>
              <c:numCache>
                <c:formatCode>General</c:formatCode>
                <c:ptCount val="1"/>
                <c:pt idx="0">
                  <c:v>7948.39</c:v>
                </c:pt>
              </c:numCache>
            </c:numRef>
          </c:val>
        </c:ser>
        <c:dLbls>
          <c:showLegendKey val="false"/>
          <c:showVal val="false"/>
          <c:showCatName val="false"/>
          <c:showSerName val="false"/>
          <c:showPercent val="false"/>
          <c:showBubbleSize val="false"/>
        </c:dLbls>
        <c:gapWidth val="150"/>
        <c:axId val="239841664"/>
        <c:axId val="239844352"/>
      </c:barChart>
      <c:catAx>
        <c:axId val="23984166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39844352"/>
        <c:crosses val="autoZero"/>
        <c:auto val="true"/>
        <c:lblAlgn val="ctr"/>
        <c:lblOffset val="100"/>
        <c:noMultiLvlLbl val="false"/>
      </c:catAx>
      <c:valAx>
        <c:axId val="2398443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3984166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2018年度财政拨款收入（万元）</c:v>
                </c:pt>
              </c:strCache>
            </c:strRef>
          </c:tx>
          <c:invertIfNegative val="false"/>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财政拨款支出</c:v>
                </c:pt>
              </c:strCache>
            </c:strRef>
          </c:cat>
          <c:val>
            <c:numRef>
              <c:f>Sheet1!$B$2</c:f>
              <c:numCache>
                <c:formatCode>General</c:formatCode>
                <c:ptCount val="1"/>
                <c:pt idx="0">
                  <c:v>5640.77</c:v>
                </c:pt>
              </c:numCache>
            </c:numRef>
          </c:val>
        </c:ser>
        <c:ser>
          <c:idx val="1"/>
          <c:order val="1"/>
          <c:tx>
            <c:strRef>
              <c:f>Sheet1!$C$1</c:f>
              <c:strCache>
                <c:ptCount val="1"/>
                <c:pt idx="0">
                  <c:v>2019年度财政拨款收入（万元）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财政拨款支出</c:v>
                </c:pt>
              </c:strCache>
            </c:strRef>
          </c:cat>
          <c:val>
            <c:numRef>
              <c:f>Sheet1!$C$2</c:f>
              <c:numCache>
                <c:formatCode>General</c:formatCode>
                <c:ptCount val="1"/>
                <c:pt idx="0">
                  <c:v>7948.39</c:v>
                </c:pt>
              </c:numCache>
            </c:numRef>
          </c:val>
        </c:ser>
        <c:dLbls>
          <c:showLegendKey val="false"/>
          <c:showVal val="false"/>
          <c:showCatName val="false"/>
          <c:showSerName val="false"/>
          <c:showPercent val="false"/>
          <c:showBubbleSize val="false"/>
        </c:dLbls>
        <c:gapWidth val="150"/>
        <c:axId val="241531904"/>
        <c:axId val="241534848"/>
      </c:barChart>
      <c:catAx>
        <c:axId val="24153190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41534848"/>
        <c:crosses val="autoZero"/>
        <c:auto val="true"/>
        <c:lblAlgn val="ctr"/>
        <c:lblOffset val="100"/>
        <c:noMultiLvlLbl val="false"/>
      </c:catAx>
      <c:valAx>
        <c:axId val="24153484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4153190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29</Pages>
  <Words>1265</Words>
  <Characters>7213</Characters>
  <Lines>60</Lines>
  <Paragraphs>16</Paragraphs>
  <TotalTime>3</TotalTime>
  <ScaleCrop>false</ScaleCrop>
  <LinksUpToDate>false</LinksUpToDate>
  <CharactersWithSpaces>8462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2021-07-13T17:44:00Z</dcterms:created>
  <dc:creator>Administrator</dc:creator>
  <cp:lastModifiedBy>guest</cp:lastModifiedBy>
  <cp:lastPrinted>2020-07-28T10:12:00Z</cp:lastPrinted>
  <dcterms:modified xsi:type="dcterms:W3CDTF">2026-01-13T15:36:32Z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6C58E47CB359482AAE91558B9B19E9F2</vt:lpwstr>
  </property>
</Properties>
</file>