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C69AE">
      <w:pPr>
        <w:spacing w:line="440" w:lineRule="exact"/>
        <w:rPr>
          <w:rFonts w:ascii="宋体" w:hAnsi="宋体" w:cs="宋体"/>
          <w:b/>
          <w:bCs/>
          <w:sz w:val="44"/>
          <w:szCs w:val="44"/>
        </w:rPr>
      </w:pPr>
    </w:p>
    <w:p w14:paraId="68ADDC92">
      <w:pPr>
        <w:spacing w:line="560" w:lineRule="exact"/>
        <w:jc w:val="center"/>
        <w:rPr>
          <w:rFonts w:hint="eastAsia" w:asciiTheme="majorEastAsia" w:hAnsiTheme="majorEastAsia" w:eastAsiaTheme="majorEastAsia" w:cstheme="majorEastAsia"/>
          <w:b/>
          <w:bCs/>
          <w:sz w:val="48"/>
          <w:szCs w:val="48"/>
          <w:lang w:eastAsia="zh-CN"/>
        </w:rPr>
      </w:pPr>
      <w:r>
        <w:rPr>
          <w:rFonts w:hint="eastAsia" w:asciiTheme="majorEastAsia" w:hAnsiTheme="majorEastAsia" w:eastAsiaTheme="majorEastAsia" w:cstheme="majorEastAsia"/>
          <w:b/>
          <w:bCs/>
          <w:sz w:val="48"/>
          <w:szCs w:val="48"/>
          <w:lang w:eastAsia="zh-CN"/>
        </w:rPr>
        <w:t>眉县汤峪镇人民政府</w:t>
      </w:r>
    </w:p>
    <w:p w14:paraId="252E4BE3">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14:paraId="35299C6D">
      <w:pPr>
        <w:spacing w:line="560" w:lineRule="exact"/>
        <w:jc w:val="center"/>
        <w:rPr>
          <w:rFonts w:asciiTheme="majorEastAsia" w:hAnsiTheme="majorEastAsia" w:eastAsiaTheme="majorEastAsia" w:cstheme="majorEastAsia"/>
          <w:b/>
          <w:bCs/>
          <w:sz w:val="44"/>
          <w:szCs w:val="44"/>
        </w:rPr>
      </w:pPr>
    </w:p>
    <w:p w14:paraId="1C143BE3">
      <w:pPr>
        <w:spacing w:line="560" w:lineRule="exact"/>
        <w:jc w:val="center"/>
        <w:rPr>
          <w:rFonts w:asciiTheme="majorEastAsia" w:hAnsiTheme="majorEastAsia" w:eastAsiaTheme="majorEastAsia" w:cstheme="majorEastAsia"/>
          <w:b/>
          <w:bCs/>
          <w:sz w:val="44"/>
          <w:szCs w:val="44"/>
        </w:rPr>
      </w:pPr>
    </w:p>
    <w:p w14:paraId="3F76DA9F">
      <w:pPr>
        <w:spacing w:line="560" w:lineRule="exact"/>
        <w:jc w:val="center"/>
        <w:rPr>
          <w:rFonts w:asciiTheme="majorEastAsia" w:hAnsiTheme="majorEastAsia" w:eastAsiaTheme="majorEastAsia" w:cstheme="majorEastAsia"/>
          <w:b/>
          <w:bCs/>
          <w:sz w:val="44"/>
          <w:szCs w:val="44"/>
        </w:rPr>
      </w:pPr>
    </w:p>
    <w:p w14:paraId="19711AE3">
      <w:pPr>
        <w:spacing w:line="560" w:lineRule="exact"/>
        <w:jc w:val="center"/>
        <w:rPr>
          <w:rFonts w:asciiTheme="majorEastAsia" w:hAnsiTheme="majorEastAsia" w:eastAsiaTheme="majorEastAsia" w:cstheme="majorEastAsia"/>
          <w:b/>
          <w:bCs/>
          <w:sz w:val="44"/>
          <w:szCs w:val="44"/>
        </w:rPr>
      </w:pPr>
    </w:p>
    <w:p w14:paraId="41844834">
      <w:pPr>
        <w:spacing w:line="560" w:lineRule="exact"/>
        <w:rPr>
          <w:rFonts w:asciiTheme="majorEastAsia" w:hAnsiTheme="majorEastAsia" w:eastAsiaTheme="majorEastAsia" w:cstheme="majorEastAsia"/>
          <w:b/>
          <w:bCs/>
          <w:sz w:val="44"/>
          <w:szCs w:val="44"/>
        </w:rPr>
      </w:pPr>
    </w:p>
    <w:p w14:paraId="6C3C6431">
      <w:pPr>
        <w:spacing w:line="560" w:lineRule="exact"/>
        <w:rPr>
          <w:rFonts w:asciiTheme="majorEastAsia" w:hAnsiTheme="majorEastAsia" w:eastAsiaTheme="majorEastAsia" w:cstheme="majorEastAsia"/>
          <w:b/>
          <w:bCs/>
          <w:sz w:val="44"/>
          <w:szCs w:val="44"/>
        </w:rPr>
      </w:pPr>
    </w:p>
    <w:p w14:paraId="1790D1C4">
      <w:pPr>
        <w:spacing w:line="560" w:lineRule="exact"/>
        <w:rPr>
          <w:rFonts w:asciiTheme="majorEastAsia" w:hAnsiTheme="majorEastAsia" w:eastAsiaTheme="majorEastAsia" w:cstheme="majorEastAsia"/>
          <w:b/>
          <w:bCs/>
          <w:sz w:val="44"/>
          <w:szCs w:val="44"/>
        </w:rPr>
      </w:pPr>
    </w:p>
    <w:p w14:paraId="6F1C72D1">
      <w:pPr>
        <w:spacing w:line="560" w:lineRule="exact"/>
        <w:rPr>
          <w:rFonts w:asciiTheme="majorEastAsia" w:hAnsiTheme="majorEastAsia" w:eastAsiaTheme="majorEastAsia" w:cstheme="majorEastAsia"/>
          <w:b/>
          <w:bCs/>
          <w:sz w:val="44"/>
          <w:szCs w:val="44"/>
        </w:rPr>
      </w:pPr>
    </w:p>
    <w:p w14:paraId="7691899B">
      <w:pPr>
        <w:spacing w:line="560" w:lineRule="exact"/>
        <w:rPr>
          <w:rFonts w:asciiTheme="majorEastAsia" w:hAnsiTheme="majorEastAsia" w:eastAsiaTheme="majorEastAsia" w:cstheme="majorEastAsia"/>
          <w:b/>
          <w:bCs/>
          <w:sz w:val="44"/>
          <w:szCs w:val="44"/>
        </w:rPr>
      </w:pPr>
    </w:p>
    <w:p w14:paraId="21C997A7">
      <w:pPr>
        <w:spacing w:line="560" w:lineRule="exact"/>
        <w:rPr>
          <w:rFonts w:asciiTheme="majorEastAsia" w:hAnsiTheme="majorEastAsia" w:eastAsiaTheme="majorEastAsia" w:cstheme="majorEastAsia"/>
          <w:b/>
          <w:bCs/>
          <w:sz w:val="44"/>
          <w:szCs w:val="44"/>
        </w:rPr>
      </w:pPr>
    </w:p>
    <w:p w14:paraId="2E69C364">
      <w:pPr>
        <w:spacing w:line="560" w:lineRule="exact"/>
        <w:rPr>
          <w:rFonts w:asciiTheme="majorEastAsia" w:hAnsiTheme="majorEastAsia" w:eastAsiaTheme="majorEastAsia" w:cstheme="majorEastAsia"/>
          <w:b/>
          <w:bCs/>
          <w:sz w:val="44"/>
          <w:szCs w:val="44"/>
        </w:rPr>
      </w:pPr>
    </w:p>
    <w:p w14:paraId="6E4DF401">
      <w:pPr>
        <w:spacing w:line="560" w:lineRule="exact"/>
        <w:rPr>
          <w:rFonts w:asciiTheme="majorEastAsia" w:hAnsiTheme="majorEastAsia" w:eastAsiaTheme="majorEastAsia" w:cstheme="majorEastAsia"/>
          <w:b/>
          <w:bCs/>
          <w:sz w:val="44"/>
          <w:szCs w:val="44"/>
        </w:rPr>
      </w:pPr>
    </w:p>
    <w:p w14:paraId="6739BD61">
      <w:pPr>
        <w:spacing w:line="400" w:lineRule="exact"/>
        <w:ind w:firstLine="2570" w:firstLineChars="800"/>
        <w:rPr>
          <w:rFonts w:asciiTheme="majorEastAsia" w:hAnsiTheme="majorEastAsia" w:eastAsiaTheme="majorEastAsia" w:cstheme="majorEastAsia"/>
          <w:b/>
          <w:bCs/>
          <w:sz w:val="32"/>
          <w:szCs w:val="32"/>
        </w:rPr>
      </w:pPr>
    </w:p>
    <w:p w14:paraId="6CBAA684">
      <w:pPr>
        <w:spacing w:line="400" w:lineRule="exact"/>
        <w:ind w:firstLine="2570" w:firstLineChars="800"/>
        <w:rPr>
          <w:rFonts w:asciiTheme="majorEastAsia" w:hAnsiTheme="majorEastAsia" w:eastAsiaTheme="majorEastAsia" w:cstheme="majorEastAsia"/>
          <w:b/>
          <w:bCs/>
          <w:sz w:val="32"/>
          <w:szCs w:val="32"/>
        </w:rPr>
      </w:pPr>
    </w:p>
    <w:p w14:paraId="20C8001E">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14:paraId="37C0C894">
      <w:pPr>
        <w:spacing w:line="400" w:lineRule="exact"/>
        <w:jc w:val="center"/>
        <w:rPr>
          <w:rFonts w:ascii="宋体" w:hAnsi="宋体" w:cs="宋体"/>
          <w:b/>
          <w:bCs/>
          <w:sz w:val="32"/>
          <w:szCs w:val="32"/>
        </w:rPr>
      </w:pPr>
    </w:p>
    <w:p w14:paraId="7CA33B1E">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14:paraId="1AB54C3A">
      <w:pPr>
        <w:spacing w:line="400" w:lineRule="exact"/>
        <w:rPr>
          <w:rFonts w:ascii="宋体" w:hAnsi="宋体" w:cs="宋体"/>
          <w:b/>
          <w:bCs/>
          <w:sz w:val="32"/>
          <w:szCs w:val="32"/>
        </w:rPr>
      </w:pPr>
    </w:p>
    <w:p w14:paraId="3C8C45B3">
      <w:pPr>
        <w:spacing w:line="400" w:lineRule="exact"/>
        <w:rPr>
          <w:rFonts w:ascii="宋体" w:hAnsi="宋体" w:cs="宋体"/>
          <w:b/>
          <w:bCs/>
          <w:sz w:val="32"/>
          <w:szCs w:val="32"/>
        </w:rPr>
      </w:pPr>
    </w:p>
    <w:p w14:paraId="58E7A548">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14:paraId="1804E972">
      <w:pPr>
        <w:widowControl/>
        <w:jc w:val="center"/>
      </w:pPr>
      <w:r>
        <w:rPr>
          <w:rFonts w:hint="eastAsia" w:ascii="黑体" w:hAnsi="宋体" w:eastAsia="黑体"/>
          <w:color w:val="000000"/>
          <w:kern w:val="0"/>
          <w:sz w:val="32"/>
          <w:szCs w:val="32"/>
        </w:rPr>
        <w:t>第一部分 部门概况</w:t>
      </w:r>
    </w:p>
    <w:p w14:paraId="69EF63F3">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14:paraId="3526E1A7">
      <w:pPr>
        <w:widowControl/>
        <w:numPr>
          <w:ilvl w:val="0"/>
          <w:numId w:val="1"/>
        </w:numPr>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部门决算单位构成</w:t>
      </w:r>
    </w:p>
    <w:p w14:paraId="0324190B">
      <w:pPr>
        <w:widowControl/>
        <w:numPr>
          <w:ilvl w:val="0"/>
          <w:numId w:val="1"/>
        </w:numPr>
        <w:ind w:left="0" w:leftChars="0" w:firstLine="0" w:firstLineChars="0"/>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部门人员情况</w:t>
      </w:r>
    </w:p>
    <w:p w14:paraId="69A20E78">
      <w:pPr>
        <w:widowControl/>
        <w:jc w:val="center"/>
      </w:pPr>
      <w:r>
        <w:rPr>
          <w:rFonts w:hint="eastAsia" w:ascii="黑体" w:hAnsi="宋体" w:eastAsia="黑体"/>
          <w:color w:val="000000"/>
          <w:kern w:val="0"/>
          <w:sz w:val="32"/>
          <w:szCs w:val="32"/>
        </w:rPr>
        <w:t>第二部分  2019年部门决算表</w:t>
      </w:r>
    </w:p>
    <w:p w14:paraId="122998E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14:paraId="32480DD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14:paraId="5B92B261">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14:paraId="5642783D">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14:paraId="24989D35">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14:paraId="4FBED375">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14:paraId="24F1B940">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14:paraId="31779C50">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14:paraId="6AFEFF8C">
      <w:pPr>
        <w:widowControl/>
        <w:jc w:val="center"/>
      </w:pPr>
      <w:r>
        <w:rPr>
          <w:rFonts w:hint="eastAsia" w:ascii="黑体" w:hAnsi="宋体" w:eastAsia="黑体"/>
          <w:color w:val="000000"/>
          <w:kern w:val="0"/>
          <w:sz w:val="32"/>
          <w:szCs w:val="32"/>
        </w:rPr>
        <w:t>第三部分 2019年部门决算情况说明</w:t>
      </w:r>
    </w:p>
    <w:p w14:paraId="27816660">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14:paraId="3C0FCF2E">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14:paraId="03DFB47D">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14:paraId="20442EC8">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14:paraId="04808982">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14:paraId="765AA798">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14:paraId="6547CB0B">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14:paraId="6515CBCB">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14:paraId="04881C1D">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14:paraId="78B27EA4">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14:paraId="1EEE207E">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14:paraId="19DD6C13">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14:paraId="3FBF845B">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14:paraId="1BF1E0F9">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14:paraId="1D6FA5AE">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14:paraId="3B12B3E6">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14:paraId="46F8FABF">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14:paraId="1B006045">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14:paraId="119BA24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14:paraId="488B59C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14:paraId="31447718">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14:paraId="609581A1">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14:paraId="2752AE33">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14:paraId="72B7FF49">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14:paraId="5EEAFADD">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14:paraId="3849B0F5">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14:paraId="7ED48458">
      <w:pPr>
        <w:widowControl/>
        <w:ind w:firstLine="640" w:firstLineChars="200"/>
        <w:jc w:val="left"/>
        <w:rPr>
          <w:rFonts w:hint="default"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rPr>
        <w:t>本部门属于行政单位，镇党委、政府主要职责是组织群众、宣传群众、教育群众、服务群众，切实履行促进经济发展、提高公共服务、加强社会管理、推动基层民主的职能。执行党和国家的计划生育方针、政策、法规，制定本</w:t>
      </w:r>
      <w:r>
        <w:rPr>
          <w:rFonts w:hint="eastAsia" w:ascii="仿宋" w:hAnsi="仿宋" w:eastAsia="仿宋" w:cs="楷体"/>
          <w:color w:val="000000"/>
          <w:kern w:val="0"/>
          <w:sz w:val="32"/>
          <w:szCs w:val="32"/>
          <w:lang w:eastAsia="zh-CN"/>
        </w:rPr>
        <w:t>镇</w:t>
      </w:r>
      <w:r>
        <w:rPr>
          <w:rFonts w:hint="eastAsia" w:ascii="仿宋" w:hAnsi="仿宋" w:eastAsia="仿宋" w:cs="楷体"/>
          <w:color w:val="000000"/>
          <w:kern w:val="0"/>
          <w:sz w:val="32"/>
          <w:szCs w:val="32"/>
        </w:rPr>
        <w:t>人口与计划生育的规定和措施。</w:t>
      </w:r>
    </w:p>
    <w:p w14:paraId="3BB9218D">
      <w:pPr>
        <w:widowControl/>
        <w:numPr>
          <w:ilvl w:val="0"/>
          <w:numId w:val="2"/>
        </w:numPr>
        <w:ind w:firstLine="643" w:firstLineChars="20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内设机构</w:t>
      </w:r>
    </w:p>
    <w:p w14:paraId="75C2533C">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1.</w:t>
      </w:r>
      <w:r>
        <w:rPr>
          <w:rFonts w:hint="eastAsia" w:ascii="仿宋" w:hAnsi="仿宋" w:eastAsia="仿宋" w:cs="楷体"/>
          <w:color w:val="000000"/>
          <w:kern w:val="0"/>
          <w:sz w:val="32"/>
          <w:szCs w:val="32"/>
        </w:rPr>
        <w:t>党政综合办公室</w:t>
      </w:r>
    </w:p>
    <w:p w14:paraId="5A282FB8">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负责组织、党建、年度目标责任考核、机关日常管理、城乡一体化和深化改革、统战、民族宗教、工会、工商联、宣传及精神文明建设、网络舆情</w:t>
      </w:r>
      <w:r>
        <w:rPr>
          <w:rFonts w:hint="eastAsia" w:ascii="仿宋" w:hAnsi="仿宋" w:eastAsia="仿宋" w:cs="楷体"/>
          <w:color w:val="000000"/>
          <w:kern w:val="0"/>
          <w:sz w:val="32"/>
          <w:szCs w:val="32"/>
          <w:lang w:eastAsia="zh-CN"/>
        </w:rPr>
        <w:t>、组织领导长效推进提升行动、扶志扶智、“四支队伍”管理、</w:t>
      </w:r>
      <w:r>
        <w:rPr>
          <w:rFonts w:hint="eastAsia" w:ascii="仿宋" w:hAnsi="仿宋" w:eastAsia="仿宋" w:cs="楷体"/>
          <w:color w:val="000000"/>
          <w:kern w:val="0"/>
          <w:sz w:val="32"/>
          <w:szCs w:val="32"/>
        </w:rPr>
        <w:t>共青团、妇联、老干、档案、保密、信息、督查督办、机关支部、依法行政、人大主席团等工作，联系政协联络组。</w:t>
      </w:r>
    </w:p>
    <w:p w14:paraId="1B206EAC">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2.</w:t>
      </w:r>
      <w:r>
        <w:rPr>
          <w:rFonts w:hint="eastAsia" w:ascii="仿宋" w:hAnsi="仿宋" w:eastAsia="仿宋" w:cs="楷体"/>
          <w:color w:val="000000"/>
          <w:kern w:val="0"/>
          <w:sz w:val="32"/>
          <w:szCs w:val="32"/>
        </w:rPr>
        <w:t>经济发展办公室</w:t>
      </w:r>
    </w:p>
    <w:p w14:paraId="08DC3366">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负责金融扶贫、</w:t>
      </w:r>
      <w:r>
        <w:rPr>
          <w:rFonts w:hint="eastAsia" w:ascii="仿宋" w:hAnsi="仿宋" w:eastAsia="仿宋" w:cs="楷体"/>
          <w:color w:val="000000"/>
          <w:kern w:val="0"/>
          <w:sz w:val="32"/>
          <w:szCs w:val="32"/>
          <w:lang w:eastAsia="zh-CN"/>
        </w:rPr>
        <w:t>金融扶贫持续跟进提升行动、</w:t>
      </w:r>
      <w:r>
        <w:rPr>
          <w:rFonts w:hint="eastAsia" w:ascii="仿宋" w:hAnsi="仿宋" w:eastAsia="仿宋" w:cs="楷体"/>
          <w:color w:val="000000"/>
          <w:kern w:val="0"/>
          <w:sz w:val="32"/>
          <w:szCs w:val="32"/>
        </w:rPr>
        <w:t>发改、重点项目建设、节能减排、</w:t>
      </w:r>
      <w:r>
        <w:rPr>
          <w:rFonts w:hint="eastAsia" w:ascii="仿宋" w:hAnsi="仿宋" w:eastAsia="仿宋" w:cs="楷体"/>
          <w:color w:val="000000"/>
          <w:kern w:val="0"/>
          <w:sz w:val="32"/>
          <w:szCs w:val="32"/>
          <w:lang w:eastAsia="zh-CN"/>
        </w:rPr>
        <w:t>“</w:t>
      </w:r>
      <w:bookmarkStart w:id="0" w:name="_GoBack"/>
      <w:r>
        <w:rPr>
          <w:rFonts w:hint="eastAsia" w:ascii="仿宋" w:hAnsi="仿宋" w:eastAsia="仿宋" w:cs="楷体"/>
          <w:color w:val="000000"/>
          <w:kern w:val="0"/>
          <w:sz w:val="32"/>
          <w:szCs w:val="32"/>
        </w:rPr>
        <w:t>放</w:t>
      </w:r>
      <w:bookmarkEnd w:id="0"/>
      <w:r>
        <w:rPr>
          <w:rFonts w:hint="eastAsia" w:ascii="仿宋" w:hAnsi="仿宋" w:eastAsia="仿宋" w:cs="楷体"/>
          <w:color w:val="000000"/>
          <w:kern w:val="0"/>
          <w:sz w:val="32"/>
          <w:szCs w:val="32"/>
        </w:rPr>
        <w:t>管服</w:t>
      </w:r>
      <w:r>
        <w:rPr>
          <w:rFonts w:hint="eastAsia" w:ascii="仿宋" w:hAnsi="仿宋" w:eastAsia="仿宋" w:cs="楷体"/>
          <w:color w:val="000000"/>
          <w:kern w:val="0"/>
          <w:sz w:val="32"/>
          <w:szCs w:val="32"/>
          <w:lang w:eastAsia="zh-CN"/>
        </w:rPr>
        <w:t>”</w:t>
      </w:r>
      <w:r>
        <w:rPr>
          <w:rFonts w:hint="eastAsia" w:ascii="仿宋" w:hAnsi="仿宋" w:eastAsia="仿宋" w:cs="楷体"/>
          <w:color w:val="000000"/>
          <w:kern w:val="0"/>
          <w:sz w:val="32"/>
          <w:szCs w:val="32"/>
        </w:rPr>
        <w:t>改革、优化营商环境、招商引资、争取国家投资、工信、统计、供销（电商）</w:t>
      </w:r>
      <w:r>
        <w:rPr>
          <w:rFonts w:hint="eastAsia" w:ascii="仿宋" w:hAnsi="仿宋" w:eastAsia="仿宋" w:cs="楷体"/>
          <w:color w:val="000000"/>
          <w:kern w:val="0"/>
          <w:sz w:val="32"/>
          <w:szCs w:val="32"/>
          <w:lang w:eastAsia="zh-CN"/>
        </w:rPr>
        <w:t>、</w:t>
      </w:r>
      <w:r>
        <w:rPr>
          <w:rFonts w:hint="eastAsia" w:ascii="仿宋" w:hAnsi="仿宋" w:eastAsia="仿宋" w:cs="楷体"/>
          <w:color w:val="000000"/>
          <w:kern w:val="0"/>
          <w:sz w:val="32"/>
          <w:szCs w:val="32"/>
        </w:rPr>
        <w:t>非公经济发展等工作，内设秦岭办、项目办、企业办、统计站、营商环境办公室，联系农商银行汤峪支行、农商银行小法仪支行、邮政储蓄汤峪支行、邮政储蓄小法仪支行、小法仪供销社。</w:t>
      </w:r>
    </w:p>
    <w:p w14:paraId="0BD32E18">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eastAsia="zh-CN"/>
        </w:rPr>
      </w:pPr>
      <w:r>
        <w:rPr>
          <w:rFonts w:hint="eastAsia" w:ascii="仿宋" w:hAnsi="仿宋" w:eastAsia="仿宋" w:cs="楷体"/>
          <w:color w:val="000000"/>
          <w:kern w:val="0"/>
          <w:sz w:val="32"/>
          <w:szCs w:val="32"/>
          <w:lang w:val="en-US" w:eastAsia="zh-CN"/>
        </w:rPr>
        <w:t>3.</w:t>
      </w:r>
      <w:r>
        <w:rPr>
          <w:rFonts w:hint="eastAsia" w:ascii="仿宋" w:hAnsi="仿宋" w:eastAsia="仿宋" w:cs="楷体"/>
          <w:color w:val="000000"/>
          <w:kern w:val="0"/>
          <w:sz w:val="32"/>
          <w:szCs w:val="32"/>
        </w:rPr>
        <w:t>综治维稳办公室</w:t>
      </w:r>
      <w:r>
        <w:rPr>
          <w:rFonts w:hint="eastAsia" w:ascii="仿宋" w:hAnsi="仿宋" w:eastAsia="仿宋" w:cs="楷体"/>
          <w:color w:val="000000"/>
          <w:kern w:val="0"/>
          <w:sz w:val="32"/>
          <w:szCs w:val="32"/>
          <w:lang w:eastAsia="zh-CN"/>
        </w:rPr>
        <w:t>（司法所）</w:t>
      </w:r>
    </w:p>
    <w:p w14:paraId="30EE5E2B">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负责社会治理、平安建设、综治、维稳、司法、信访、矛盾纠纷调处、突发事件处置等工作，内设综治办、司法所，联系</w:t>
      </w:r>
      <w:r>
        <w:rPr>
          <w:rFonts w:hint="eastAsia" w:ascii="仿宋" w:hAnsi="仿宋" w:eastAsia="仿宋" w:cs="楷体"/>
          <w:color w:val="000000"/>
          <w:kern w:val="0"/>
          <w:sz w:val="32"/>
          <w:szCs w:val="32"/>
          <w:lang w:eastAsia="zh-CN"/>
        </w:rPr>
        <w:t>汤峪派出所</w:t>
      </w:r>
      <w:r>
        <w:rPr>
          <w:rFonts w:hint="eastAsia" w:ascii="仿宋" w:hAnsi="仿宋" w:eastAsia="仿宋" w:cs="楷体"/>
          <w:color w:val="000000"/>
          <w:kern w:val="0"/>
          <w:sz w:val="32"/>
          <w:szCs w:val="32"/>
        </w:rPr>
        <w:t>、</w:t>
      </w:r>
      <w:r>
        <w:rPr>
          <w:rFonts w:hint="eastAsia" w:ascii="仿宋" w:hAnsi="仿宋" w:eastAsia="仿宋" w:cs="楷体"/>
          <w:color w:val="000000"/>
          <w:kern w:val="0"/>
          <w:sz w:val="32"/>
          <w:szCs w:val="32"/>
          <w:lang w:eastAsia="zh-CN"/>
        </w:rPr>
        <w:t>汤峪</w:t>
      </w:r>
      <w:r>
        <w:rPr>
          <w:rFonts w:hint="eastAsia" w:ascii="仿宋" w:hAnsi="仿宋" w:eastAsia="仿宋" w:cs="楷体"/>
          <w:color w:val="000000"/>
          <w:kern w:val="0"/>
          <w:sz w:val="32"/>
          <w:szCs w:val="32"/>
        </w:rPr>
        <w:t>交警中队。</w:t>
      </w:r>
    </w:p>
    <w:p w14:paraId="1CA73712">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4.</w:t>
      </w:r>
      <w:r>
        <w:rPr>
          <w:rFonts w:hint="eastAsia" w:ascii="仿宋" w:hAnsi="仿宋" w:eastAsia="仿宋" w:cs="楷体"/>
          <w:color w:val="000000"/>
          <w:kern w:val="0"/>
          <w:sz w:val="32"/>
          <w:szCs w:val="32"/>
        </w:rPr>
        <w:t>社会事务管理办公室（便民服务中心）</w:t>
      </w:r>
    </w:p>
    <w:p w14:paraId="6A1A4812">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负责</w:t>
      </w:r>
      <w:r>
        <w:rPr>
          <w:rFonts w:hint="eastAsia" w:ascii="仿宋" w:hAnsi="仿宋" w:eastAsia="仿宋" w:cs="楷体"/>
          <w:color w:val="000000"/>
          <w:kern w:val="0"/>
          <w:sz w:val="32"/>
          <w:szCs w:val="32"/>
          <w:lang w:eastAsia="zh-CN"/>
        </w:rPr>
        <w:t>就业扶贫、健康扶贫、兜底保障扶贫、就业创业稳定增收提升行动、健康扶贫贴心惠民提升行动、兜底保障织网暖心提升行动、</w:t>
      </w:r>
      <w:r>
        <w:rPr>
          <w:rFonts w:hint="eastAsia" w:ascii="仿宋" w:hAnsi="仿宋" w:eastAsia="仿宋" w:cs="楷体"/>
          <w:color w:val="000000"/>
          <w:kern w:val="0"/>
          <w:sz w:val="32"/>
          <w:szCs w:val="32"/>
        </w:rPr>
        <w:t>民政、人力资源和社会保障、养老保险、残联、老龄、医疗保障、卫生健康、爱国卫生、行政审批等工作，内设民政办、社保所、卫健办、防控办</w:t>
      </w:r>
      <w:r>
        <w:rPr>
          <w:rFonts w:hint="eastAsia" w:ascii="仿宋" w:hAnsi="仿宋" w:eastAsia="仿宋" w:cs="楷体"/>
          <w:color w:val="000000"/>
          <w:kern w:val="0"/>
          <w:sz w:val="32"/>
          <w:szCs w:val="32"/>
          <w:lang w:eastAsia="zh-CN"/>
        </w:rPr>
        <w:t>、疫情防控指挥中心</w:t>
      </w:r>
      <w:r>
        <w:rPr>
          <w:rFonts w:hint="eastAsia" w:ascii="仿宋" w:hAnsi="仿宋" w:eastAsia="仿宋" w:cs="楷体"/>
          <w:color w:val="000000"/>
          <w:kern w:val="0"/>
          <w:sz w:val="32"/>
          <w:szCs w:val="32"/>
        </w:rPr>
        <w:t>，联系汤峪中心卫生院、小法仪中心卫生院。</w:t>
      </w:r>
    </w:p>
    <w:p w14:paraId="2D34FE48">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5.</w:t>
      </w:r>
      <w:r>
        <w:rPr>
          <w:rFonts w:hint="eastAsia" w:ascii="仿宋" w:hAnsi="仿宋" w:eastAsia="仿宋" w:cs="楷体"/>
          <w:color w:val="000000"/>
          <w:kern w:val="0"/>
          <w:sz w:val="32"/>
          <w:szCs w:val="32"/>
        </w:rPr>
        <w:t>脱贫攻坚办公室</w:t>
      </w:r>
    </w:p>
    <w:p w14:paraId="76A41CAC">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负责脱贫攻坚工作，牵头“八办两组”工作，协调做好“八个一批”政策落实。</w:t>
      </w:r>
    </w:p>
    <w:p w14:paraId="059A9A97">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6.</w:t>
      </w:r>
      <w:r>
        <w:rPr>
          <w:rFonts w:hint="eastAsia" w:ascii="仿宋" w:hAnsi="仿宋" w:eastAsia="仿宋" w:cs="楷体"/>
          <w:color w:val="000000"/>
          <w:kern w:val="0"/>
          <w:sz w:val="32"/>
          <w:szCs w:val="32"/>
        </w:rPr>
        <w:t>农业综合办公室</w:t>
      </w:r>
    </w:p>
    <w:p w14:paraId="03BD04D5">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负责</w:t>
      </w:r>
      <w:r>
        <w:rPr>
          <w:rFonts w:hint="eastAsia" w:ascii="仿宋" w:hAnsi="仿宋" w:eastAsia="仿宋" w:cs="楷体"/>
          <w:color w:val="000000"/>
          <w:kern w:val="0"/>
          <w:sz w:val="32"/>
          <w:szCs w:val="32"/>
          <w:lang w:eastAsia="zh-CN"/>
        </w:rPr>
        <w:t>产业扶贫、</w:t>
      </w:r>
      <w:r>
        <w:rPr>
          <w:rFonts w:hint="eastAsia" w:ascii="仿宋" w:hAnsi="仿宋" w:eastAsia="仿宋" w:cs="楷体"/>
          <w:color w:val="000000"/>
          <w:kern w:val="0"/>
          <w:sz w:val="32"/>
          <w:szCs w:val="32"/>
        </w:rPr>
        <w:t>生态扶贫</w:t>
      </w:r>
      <w:r>
        <w:rPr>
          <w:rFonts w:hint="eastAsia" w:ascii="仿宋" w:hAnsi="仿宋" w:eastAsia="仿宋" w:cs="楷体"/>
          <w:color w:val="000000"/>
          <w:kern w:val="0"/>
          <w:sz w:val="32"/>
          <w:szCs w:val="32"/>
          <w:lang w:eastAsia="zh-CN"/>
        </w:rPr>
        <w:t>、产业脱贫增效富民提升行动、扶贫资产规范管理提升行动、基础设施共管共享提升行动、村级集体经济组织运行管理、</w:t>
      </w:r>
      <w:r>
        <w:rPr>
          <w:rFonts w:hint="eastAsia" w:ascii="仿宋" w:hAnsi="仿宋" w:eastAsia="仿宋" w:cs="楷体"/>
          <w:color w:val="000000"/>
          <w:kern w:val="0"/>
          <w:sz w:val="32"/>
          <w:szCs w:val="32"/>
        </w:rPr>
        <w:t>乡村振兴、农业、农经、农技、农机、一事一议、壮大集体经济、扶贫开发、扶贫项目、畜牧兽医、水利、防汛抗旱、林业、森林防火、交通、电力、电信、物价等工作。内设农经站、农技站、水务站、交通站、林业站，联系市场监管所、汤峪供电所、槐芽供电所、汤峪电信所、畜牧兽医站。</w:t>
      </w:r>
    </w:p>
    <w:p w14:paraId="294044D9">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7.旅</w:t>
      </w:r>
      <w:r>
        <w:rPr>
          <w:rFonts w:hint="eastAsia" w:ascii="仿宋" w:hAnsi="仿宋" w:eastAsia="仿宋" w:cs="楷体"/>
          <w:color w:val="000000"/>
          <w:kern w:val="0"/>
          <w:sz w:val="32"/>
          <w:szCs w:val="32"/>
        </w:rPr>
        <w:t>游发展办公室</w:t>
      </w:r>
    </w:p>
    <w:p w14:paraId="1A0900D7">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负责危房改造、旅游、城乡环境综合整治、环境保护、城建规划（天然气）、综合执法等工作。内设整治办、城建站、城管办，联系太白山综合执法局。</w:t>
      </w:r>
    </w:p>
    <w:p w14:paraId="2548F3F9">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8.</w:t>
      </w:r>
      <w:r>
        <w:rPr>
          <w:rFonts w:hint="eastAsia" w:ascii="仿宋" w:hAnsi="仿宋" w:eastAsia="仿宋" w:cs="楷体"/>
          <w:color w:val="000000"/>
          <w:kern w:val="0"/>
          <w:sz w:val="32"/>
          <w:szCs w:val="32"/>
        </w:rPr>
        <w:t>人武部（退役军人服务站</w:t>
      </w:r>
      <w:r>
        <w:rPr>
          <w:rFonts w:hint="eastAsia" w:ascii="仿宋" w:hAnsi="仿宋" w:eastAsia="仿宋" w:cs="楷体"/>
          <w:color w:val="000000"/>
          <w:kern w:val="0"/>
          <w:sz w:val="32"/>
          <w:szCs w:val="32"/>
          <w:lang w:eastAsia="zh-CN"/>
        </w:rPr>
        <w:t>、应急管理站、文化文物站</w:t>
      </w:r>
      <w:r>
        <w:rPr>
          <w:rFonts w:hint="eastAsia" w:ascii="仿宋" w:hAnsi="仿宋" w:eastAsia="仿宋" w:cs="楷体"/>
          <w:color w:val="000000"/>
          <w:kern w:val="0"/>
          <w:sz w:val="32"/>
          <w:szCs w:val="32"/>
        </w:rPr>
        <w:t>）</w:t>
      </w:r>
    </w:p>
    <w:p w14:paraId="38480338">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负责人民武装、民兵组建、退役军人事务</w:t>
      </w:r>
      <w:r>
        <w:rPr>
          <w:rFonts w:hint="eastAsia" w:ascii="仿宋" w:hAnsi="仿宋" w:eastAsia="仿宋" w:cs="楷体"/>
          <w:color w:val="000000"/>
          <w:kern w:val="0"/>
          <w:sz w:val="32"/>
          <w:szCs w:val="32"/>
          <w:lang w:eastAsia="zh-CN"/>
        </w:rPr>
        <w:t>、应急管理（消防）、</w:t>
      </w:r>
      <w:r>
        <w:rPr>
          <w:rFonts w:hint="eastAsia" w:ascii="仿宋" w:hAnsi="仿宋" w:eastAsia="仿宋" w:cs="楷体"/>
          <w:color w:val="000000"/>
          <w:kern w:val="0"/>
          <w:sz w:val="32"/>
          <w:szCs w:val="32"/>
        </w:rPr>
        <w:t>文化文物、科技、科协、广播电视等工作。</w:t>
      </w:r>
    </w:p>
    <w:p w14:paraId="2560C19B">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9.</w:t>
      </w:r>
      <w:r>
        <w:rPr>
          <w:rFonts w:hint="eastAsia" w:ascii="仿宋" w:hAnsi="仿宋" w:eastAsia="仿宋" w:cs="楷体"/>
          <w:color w:val="000000"/>
          <w:kern w:val="0"/>
          <w:sz w:val="32"/>
          <w:szCs w:val="32"/>
        </w:rPr>
        <w:t>征地拆迁办公室</w:t>
      </w:r>
    </w:p>
    <w:p w14:paraId="777DA06E">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负责太白山旅游区管理委员会、县经济技术开发区管理委员会、城际铁路建设、眉太高速建设等征地拆迁和环境保障等工作，联系县重大项目办、太白山管委会招商引资局、县经开区社会和公用事业局。</w:t>
      </w:r>
    </w:p>
    <w:p w14:paraId="42CB0266">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10.</w:t>
      </w:r>
      <w:r>
        <w:rPr>
          <w:rFonts w:hint="eastAsia" w:ascii="仿宋" w:hAnsi="仿宋" w:eastAsia="仿宋" w:cs="楷体"/>
          <w:color w:val="000000"/>
          <w:kern w:val="0"/>
          <w:sz w:val="32"/>
          <w:szCs w:val="32"/>
        </w:rPr>
        <w:t>自然资源管理站</w:t>
      </w:r>
    </w:p>
    <w:p w14:paraId="111A1A15">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负责</w:t>
      </w:r>
      <w:r>
        <w:rPr>
          <w:rFonts w:hint="eastAsia" w:ascii="仿宋" w:hAnsi="仿宋" w:eastAsia="仿宋" w:cs="楷体"/>
          <w:color w:val="000000"/>
          <w:kern w:val="0"/>
          <w:sz w:val="32"/>
          <w:szCs w:val="32"/>
          <w:lang w:eastAsia="zh-CN"/>
        </w:rPr>
        <w:t>易地扶贫搬迁、易地搬迁安居乐业提升行动、</w:t>
      </w:r>
      <w:r>
        <w:rPr>
          <w:rFonts w:hint="eastAsia" w:ascii="仿宋" w:hAnsi="仿宋" w:eastAsia="仿宋" w:cs="楷体"/>
          <w:color w:val="000000"/>
          <w:kern w:val="0"/>
          <w:sz w:val="32"/>
          <w:szCs w:val="32"/>
        </w:rPr>
        <w:t>自然资源管理</w:t>
      </w:r>
      <w:r>
        <w:rPr>
          <w:rFonts w:hint="eastAsia" w:ascii="仿宋" w:hAnsi="仿宋" w:eastAsia="仿宋" w:cs="楷体"/>
          <w:color w:val="000000"/>
          <w:kern w:val="0"/>
          <w:sz w:val="32"/>
          <w:szCs w:val="32"/>
          <w:lang w:eastAsia="zh-CN"/>
        </w:rPr>
        <w:t>、地质灾害防治工作</w:t>
      </w:r>
      <w:r>
        <w:rPr>
          <w:rFonts w:hint="eastAsia" w:ascii="仿宋" w:hAnsi="仿宋" w:eastAsia="仿宋" w:cs="楷体"/>
          <w:color w:val="000000"/>
          <w:kern w:val="0"/>
          <w:sz w:val="32"/>
          <w:szCs w:val="32"/>
        </w:rPr>
        <w:t>，协助征地拆迁工作，联系太白山管委会规划建设局、太白山管委会国土分局。</w:t>
      </w:r>
    </w:p>
    <w:p w14:paraId="6FFB04E9">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11.</w:t>
      </w:r>
      <w:r>
        <w:rPr>
          <w:rFonts w:hint="eastAsia" w:ascii="仿宋" w:hAnsi="仿宋" w:eastAsia="仿宋" w:cs="楷体"/>
          <w:color w:val="000000"/>
          <w:kern w:val="0"/>
          <w:sz w:val="32"/>
          <w:szCs w:val="32"/>
        </w:rPr>
        <w:t>镇教委</w:t>
      </w:r>
    </w:p>
    <w:p w14:paraId="445EF34A">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负责教育扶贫、教育体育、学校安全、关工委、科技、科协等工作，联系小法仪中学。</w:t>
      </w:r>
    </w:p>
    <w:p w14:paraId="0CB2F9E8">
      <w:pPr>
        <w:widowControl/>
        <w:ind w:firstLine="640" w:firstLineChars="200"/>
        <w:jc w:val="left"/>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14:paraId="68E314AC">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纳入本部门2019年部门决算编制范围的单位包括本级及所属2个下级单位：</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14:paraId="30C1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303FC3B5">
            <w:pPr>
              <w:keepNext w:val="0"/>
              <w:keepLines w:val="0"/>
              <w:pageBreakBefore w:val="0"/>
              <w:kinsoku/>
              <w:wordWrap/>
              <w:overflowPunct/>
              <w:topLinePunct w:val="0"/>
              <w:autoSpaceDE/>
              <w:autoSpaceDN/>
              <w:bidi w:val="0"/>
              <w:adjustRightInd/>
              <w:snapToGrid/>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923" w:type="dxa"/>
          </w:tcPr>
          <w:p w14:paraId="71548CFF">
            <w:pPr>
              <w:keepNext w:val="0"/>
              <w:keepLines w:val="0"/>
              <w:pageBreakBefore w:val="0"/>
              <w:kinsoku/>
              <w:wordWrap/>
              <w:overflowPunct/>
              <w:topLinePunct w:val="0"/>
              <w:autoSpaceDE/>
              <w:autoSpaceDN/>
              <w:bidi w:val="0"/>
              <w:adjustRightInd/>
              <w:snapToGrid/>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r>
      <w:tr w14:paraId="62F4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0C809DF2">
            <w:pPr>
              <w:keepNext w:val="0"/>
              <w:keepLines w:val="0"/>
              <w:pageBreakBefore w:val="0"/>
              <w:kinsoku/>
              <w:wordWrap/>
              <w:overflowPunct/>
              <w:topLinePunct w:val="0"/>
              <w:autoSpaceDE/>
              <w:autoSpaceDN/>
              <w:bidi w:val="0"/>
              <w:adjustRightInd/>
              <w:snapToGrid/>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923" w:type="dxa"/>
          </w:tcPr>
          <w:p w14:paraId="75511597">
            <w:pPr>
              <w:keepNext w:val="0"/>
              <w:keepLines w:val="0"/>
              <w:pageBreakBefore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眉县汤峪镇人民政府</w:t>
            </w:r>
            <w:r>
              <w:rPr>
                <w:rFonts w:hint="eastAsia" w:ascii="仿宋_GB2312" w:hAnsi="仿宋_GB2312" w:eastAsia="仿宋_GB2312" w:cs="仿宋_GB2312"/>
                <w:sz w:val="32"/>
                <w:szCs w:val="32"/>
              </w:rPr>
              <w:t>（机关）</w:t>
            </w:r>
          </w:p>
        </w:tc>
      </w:tr>
      <w:tr w14:paraId="7FC8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62D04667">
            <w:pPr>
              <w:keepNext w:val="0"/>
              <w:keepLines w:val="0"/>
              <w:pageBreakBefore w:val="0"/>
              <w:kinsoku/>
              <w:wordWrap/>
              <w:overflowPunct/>
              <w:topLinePunct w:val="0"/>
              <w:autoSpaceDE/>
              <w:autoSpaceDN/>
              <w:bidi w:val="0"/>
              <w:adjustRightInd/>
              <w:snapToGrid/>
              <w:ind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923" w:type="dxa"/>
          </w:tcPr>
          <w:p w14:paraId="6735C600">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眉县汤峪财政所</w:t>
            </w:r>
          </w:p>
        </w:tc>
      </w:tr>
      <w:tr w14:paraId="17C6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423A2CB6">
            <w:pPr>
              <w:keepNext w:val="0"/>
              <w:keepLines w:val="0"/>
              <w:pageBreakBefore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6923" w:type="dxa"/>
          </w:tcPr>
          <w:p w14:paraId="0E6601E2">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眉县汤峪镇计划生育办公室</w:t>
            </w:r>
          </w:p>
        </w:tc>
      </w:tr>
    </w:tbl>
    <w:p w14:paraId="561CC0F3">
      <w:pPr>
        <w:ind w:firstLine="640"/>
        <w:rPr>
          <w:rFonts w:ascii="黑体" w:hAnsi="黑体" w:eastAsia="黑体"/>
          <w:b/>
          <w:bCs/>
          <w:sz w:val="32"/>
          <w:szCs w:val="32"/>
        </w:rPr>
      </w:pPr>
      <w:r>
        <w:rPr>
          <w:rFonts w:hint="eastAsia" w:ascii="黑体" w:hAnsi="黑体" w:eastAsia="黑体"/>
          <w:b/>
          <w:bCs/>
          <w:sz w:val="32"/>
          <w:szCs w:val="32"/>
        </w:rPr>
        <w:t>三、部门人员情况</w:t>
      </w:r>
    </w:p>
    <w:p w14:paraId="066A2DD1">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眉县汤峪镇人民政府，共有人员编制72人，实有人数72人。汤峪镇人民政府机关62人，其中行政编制29人、事业编制33人；眉县汤峪财政所7人，其中行政人员7人；眉县汤峪镇计划生育办公室3人，非参公事业人员3人。</w:t>
      </w:r>
    </w:p>
    <w:p w14:paraId="493A872B">
      <w:pPr>
        <w:widowControl/>
        <w:jc w:val="center"/>
        <w:rPr>
          <w:rFonts w:ascii="黑体" w:hAnsi="宋体" w:eastAsia="黑体"/>
          <w:color w:val="000000"/>
          <w:kern w:val="0"/>
          <w:sz w:val="44"/>
          <w:szCs w:val="44"/>
        </w:rPr>
      </w:pPr>
      <w:r>
        <w:rPr>
          <w:rFonts w:hint="eastAsia" w:ascii="仿宋_GB2312" w:hAnsi="仿宋_GB2312" w:eastAsia="仿宋_GB2312" w:cs="仿宋_GB2312"/>
          <w:color w:val="0D0D0D"/>
          <w:szCs w:val="30"/>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D389C47">
      <w:pPr>
        <w:widowControl/>
        <w:jc w:val="center"/>
        <w:rPr>
          <w:sz w:val="44"/>
          <w:szCs w:val="44"/>
        </w:rPr>
      </w:pPr>
      <w:r>
        <w:rPr>
          <w:rFonts w:ascii="黑体" w:hAnsi="宋体" w:eastAsia="黑体"/>
          <w:color w:val="000000"/>
          <w:kern w:val="0"/>
          <w:sz w:val="44"/>
          <w:szCs w:val="44"/>
        </w:rPr>
        <w:t>第二部分 2019年度部门决算表</w:t>
      </w:r>
    </w:p>
    <w:tbl>
      <w:tblPr>
        <w:tblStyle w:val="9"/>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14:paraId="090A8287">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F526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66A4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EC8A8">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是否</w:t>
            </w:r>
          </w:p>
          <w:p w14:paraId="7E9A07A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B121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表格为空的理由</w:t>
            </w:r>
          </w:p>
        </w:tc>
      </w:tr>
      <w:tr w14:paraId="62813BFC">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74D6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A7F2">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3BEB9">
            <w:pPr>
              <w:jc w:val="center"/>
              <w:rPr>
                <w:rFonts w:hint="eastAsia" w:ascii="仿宋" w:hAnsi="仿宋" w:eastAsia="仿宋" w:cs="仿宋"/>
                <w:color w:val="000000"/>
                <w:sz w:val="22"/>
                <w:szCs w:val="22"/>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C82D5">
            <w:pPr>
              <w:jc w:val="center"/>
              <w:rPr>
                <w:rFonts w:hint="eastAsia" w:ascii="仿宋" w:hAnsi="仿宋" w:eastAsia="仿宋" w:cs="仿宋"/>
                <w:color w:val="000000"/>
                <w:sz w:val="22"/>
                <w:szCs w:val="22"/>
              </w:rPr>
            </w:pPr>
          </w:p>
        </w:tc>
      </w:tr>
      <w:tr w14:paraId="34CB1AB6">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7C63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A9E56">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94A28">
            <w:pPr>
              <w:jc w:val="center"/>
              <w:rPr>
                <w:rFonts w:hint="eastAsia" w:ascii="仿宋" w:hAnsi="仿宋" w:eastAsia="仿宋" w:cs="仿宋"/>
                <w:color w:val="000000"/>
                <w:sz w:val="22"/>
                <w:szCs w:val="22"/>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7112F">
            <w:pPr>
              <w:jc w:val="center"/>
              <w:rPr>
                <w:rFonts w:hint="eastAsia" w:ascii="仿宋" w:hAnsi="仿宋" w:eastAsia="仿宋" w:cs="仿宋"/>
                <w:color w:val="000000"/>
                <w:sz w:val="22"/>
                <w:szCs w:val="22"/>
              </w:rPr>
            </w:pPr>
          </w:p>
        </w:tc>
      </w:tr>
      <w:tr w14:paraId="6EFF5933">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CE8F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AC1A1">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B9CE">
            <w:pPr>
              <w:jc w:val="center"/>
              <w:rPr>
                <w:rFonts w:hint="eastAsia" w:ascii="仿宋" w:hAnsi="仿宋" w:eastAsia="仿宋" w:cs="仿宋"/>
                <w:color w:val="000000"/>
                <w:sz w:val="22"/>
                <w:szCs w:val="22"/>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8E8C4">
            <w:pPr>
              <w:jc w:val="center"/>
              <w:rPr>
                <w:rFonts w:hint="eastAsia" w:ascii="仿宋" w:hAnsi="仿宋" w:eastAsia="仿宋" w:cs="仿宋"/>
                <w:color w:val="000000"/>
                <w:sz w:val="22"/>
                <w:szCs w:val="22"/>
              </w:rPr>
            </w:pPr>
          </w:p>
        </w:tc>
      </w:tr>
      <w:tr w14:paraId="57D289BC">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D5EB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CF3BB">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E535F">
            <w:pPr>
              <w:jc w:val="center"/>
              <w:rPr>
                <w:rFonts w:hint="eastAsia" w:ascii="仿宋" w:hAnsi="仿宋" w:eastAsia="仿宋" w:cs="仿宋"/>
                <w:color w:val="000000"/>
                <w:sz w:val="22"/>
                <w:szCs w:val="22"/>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FCDD3">
            <w:pPr>
              <w:jc w:val="center"/>
              <w:rPr>
                <w:rFonts w:hint="eastAsia" w:ascii="仿宋" w:hAnsi="仿宋" w:eastAsia="仿宋" w:cs="仿宋"/>
                <w:color w:val="000000"/>
                <w:sz w:val="22"/>
                <w:szCs w:val="22"/>
              </w:rPr>
            </w:pPr>
          </w:p>
        </w:tc>
      </w:tr>
      <w:tr w14:paraId="45521F53">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9188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8D455">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一般公共预算财政拨款支出决算表</w:t>
            </w:r>
          </w:p>
          <w:p w14:paraId="00DE7DA6">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1C6D8">
            <w:pPr>
              <w:jc w:val="center"/>
              <w:rPr>
                <w:rFonts w:hint="eastAsia" w:ascii="仿宋" w:hAnsi="仿宋" w:eastAsia="仿宋" w:cs="仿宋"/>
                <w:color w:val="000000"/>
                <w:sz w:val="22"/>
                <w:szCs w:val="22"/>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8EEA3">
            <w:pPr>
              <w:jc w:val="center"/>
              <w:rPr>
                <w:rFonts w:hint="eastAsia" w:ascii="仿宋" w:hAnsi="仿宋" w:eastAsia="仿宋" w:cs="仿宋"/>
                <w:color w:val="000000"/>
                <w:sz w:val="22"/>
                <w:szCs w:val="22"/>
              </w:rPr>
            </w:pPr>
          </w:p>
        </w:tc>
      </w:tr>
      <w:tr w14:paraId="57BA5A32">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9AD0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7198D">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182D0">
            <w:pPr>
              <w:jc w:val="center"/>
              <w:rPr>
                <w:rFonts w:hint="eastAsia" w:ascii="仿宋" w:hAnsi="仿宋" w:eastAsia="仿宋" w:cs="仿宋"/>
                <w:color w:val="000000"/>
                <w:sz w:val="22"/>
                <w:szCs w:val="22"/>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84960">
            <w:pPr>
              <w:jc w:val="center"/>
              <w:rPr>
                <w:rFonts w:hint="eastAsia" w:ascii="仿宋" w:hAnsi="仿宋" w:eastAsia="仿宋" w:cs="仿宋"/>
                <w:color w:val="000000"/>
                <w:sz w:val="22"/>
                <w:szCs w:val="22"/>
              </w:rPr>
            </w:pPr>
          </w:p>
        </w:tc>
      </w:tr>
      <w:tr w14:paraId="69959518">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AF6C99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31A8CF1">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23D513">
            <w:pPr>
              <w:jc w:val="center"/>
              <w:rPr>
                <w:rFonts w:hint="eastAsia" w:ascii="仿宋" w:hAnsi="仿宋" w:eastAsia="仿宋" w:cs="仿宋"/>
                <w:color w:val="000000"/>
                <w:kern w:val="2"/>
                <w:sz w:val="22"/>
                <w:szCs w:val="22"/>
                <w:lang w:val="en-US" w:eastAsia="zh-CN" w:bidi="ar-SA"/>
              </w:rPr>
            </w:pP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D30E54F">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本单位无一</w:t>
            </w:r>
            <w:r>
              <w:rPr>
                <w:rFonts w:hint="eastAsia" w:ascii="仿宋" w:hAnsi="仿宋" w:eastAsia="仿宋" w:cs="仿宋"/>
                <w:color w:val="000000"/>
                <w:kern w:val="0"/>
                <w:sz w:val="22"/>
                <w:szCs w:val="22"/>
              </w:rPr>
              <w:t>般公共预算财政拨款“三公”经费及会议费、培训费</w:t>
            </w:r>
          </w:p>
        </w:tc>
      </w:tr>
      <w:tr w14:paraId="238BD72F">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3166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5C1A8">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政府性基金预算财政拨款收入支出</w:t>
            </w:r>
          </w:p>
          <w:p w14:paraId="4D20F826">
            <w:pPr>
              <w:widowControl/>
              <w:jc w:val="left"/>
              <w:rPr>
                <w:rFonts w:hint="eastAsia" w:ascii="仿宋" w:hAnsi="仿宋" w:eastAsia="仿宋" w:cs="仿宋"/>
                <w:color w:val="000000"/>
                <w:sz w:val="22"/>
                <w:szCs w:val="22"/>
              </w:rPr>
            </w:pPr>
            <w:r>
              <w:rPr>
                <w:rFonts w:hint="eastAsia" w:ascii="仿宋" w:hAnsi="仿宋" w:eastAsia="仿宋" w:cs="仿宋"/>
                <w:color w:val="000000"/>
                <w:kern w:val="0"/>
                <w:sz w:val="22"/>
                <w:szCs w:val="22"/>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45886">
            <w:pPr>
              <w:jc w:val="center"/>
              <w:rPr>
                <w:rFonts w:hint="eastAsia" w:ascii="仿宋" w:hAnsi="仿宋" w:eastAsia="仿宋" w:cs="仿宋"/>
                <w:color w:val="000000"/>
                <w:kern w:val="2"/>
                <w:sz w:val="22"/>
                <w:szCs w:val="22"/>
                <w:lang w:val="en-US" w:eastAsia="zh-CN" w:bidi="ar-SA"/>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0835">
            <w:pPr>
              <w:jc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lang w:val="en-US" w:eastAsia="zh-CN"/>
              </w:rPr>
              <w:t>本单位无</w:t>
            </w:r>
            <w:r>
              <w:rPr>
                <w:rFonts w:hint="eastAsia" w:ascii="仿宋" w:hAnsi="仿宋" w:eastAsia="仿宋" w:cs="仿宋"/>
                <w:color w:val="000000"/>
                <w:kern w:val="0"/>
                <w:sz w:val="22"/>
                <w:szCs w:val="22"/>
              </w:rPr>
              <w:t>政府性基金预算财政拨款收入</w:t>
            </w:r>
          </w:p>
        </w:tc>
      </w:tr>
    </w:tbl>
    <w:p w14:paraId="1BCF24B3">
      <w:pPr>
        <w:widowControl/>
        <w:rPr>
          <w:rFonts w:ascii="黑体" w:hAnsi="宋体" w:eastAsia="黑体"/>
          <w:color w:val="000000"/>
          <w:kern w:val="0"/>
          <w:sz w:val="44"/>
          <w:szCs w:val="44"/>
        </w:rPr>
      </w:pPr>
    </w:p>
    <w:p w14:paraId="780E1C72">
      <w:pPr>
        <w:widowControl/>
        <w:rPr>
          <w:rFonts w:ascii="黑体" w:hAnsi="宋体" w:eastAsia="黑体"/>
          <w:color w:val="000000"/>
          <w:kern w:val="0"/>
          <w:sz w:val="44"/>
          <w:szCs w:val="44"/>
        </w:rPr>
      </w:pPr>
    </w:p>
    <w:p w14:paraId="6F2FB668">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14:paraId="29948DC4">
      <w:pPr>
        <w:jc w:val="center"/>
        <w:rPr>
          <w:rFonts w:ascii="宋体" w:hAnsi="宋体" w:cs="宋体"/>
          <w:b/>
          <w:bCs/>
          <w:sz w:val="32"/>
          <w:szCs w:val="32"/>
        </w:rPr>
      </w:pPr>
      <w:r>
        <w:rPr>
          <w:rFonts w:hint="eastAsia" w:ascii="宋体" w:hAnsi="宋体" w:cs="宋体"/>
          <w:b/>
          <w:bCs/>
          <w:sz w:val="32"/>
          <w:szCs w:val="32"/>
        </w:rPr>
        <w:t>收入支出决算总表</w:t>
      </w:r>
    </w:p>
    <w:p w14:paraId="5A8E3ADA">
      <w:pPr>
        <w:rPr>
          <w:rFonts w:ascii="宋体" w:hAnsi="宋体" w:cs="宋体"/>
          <w:b/>
          <w:bCs/>
          <w:szCs w:val="21"/>
        </w:rPr>
      </w:pPr>
      <w:r>
        <w:rPr>
          <w:rFonts w:hint="eastAsia" w:ascii="宋体" w:hAnsi="宋体" w:cs="宋体"/>
          <w:b/>
          <w:bCs/>
          <w:szCs w:val="21"/>
        </w:rPr>
        <w:t>公开01表</w:t>
      </w:r>
    </w:p>
    <w:p w14:paraId="0B0832AA">
      <w:pPr>
        <w:rPr>
          <w:rFonts w:ascii="宋体" w:hAnsi="宋体" w:cs="宋体"/>
          <w:b/>
          <w:bCs/>
          <w:szCs w:val="21"/>
        </w:rPr>
      </w:pPr>
      <w:r>
        <w:rPr>
          <w:rFonts w:hint="eastAsia" w:ascii="宋体" w:hAnsi="宋体" w:cs="宋体"/>
          <w:b/>
          <w:bCs/>
          <w:szCs w:val="21"/>
        </w:rPr>
        <w:t>编制部门：                                                            金额单位：万元</w:t>
      </w:r>
    </w:p>
    <w:tbl>
      <w:tblPr>
        <w:tblStyle w:val="9"/>
        <w:tblW w:w="8884" w:type="dxa"/>
        <w:tblInd w:w="0" w:type="dxa"/>
        <w:tblLayout w:type="fixed"/>
        <w:tblCellMar>
          <w:top w:w="15" w:type="dxa"/>
          <w:left w:w="15" w:type="dxa"/>
          <w:bottom w:w="15" w:type="dxa"/>
          <w:right w:w="15" w:type="dxa"/>
        </w:tblCellMar>
      </w:tblPr>
      <w:tblGrid>
        <w:gridCol w:w="3388"/>
        <w:gridCol w:w="1080"/>
        <w:gridCol w:w="3090"/>
        <w:gridCol w:w="1326"/>
      </w:tblGrid>
      <w:tr w14:paraId="6B73C917">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14:paraId="1C4B2740">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14:paraId="7526EE2C">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支    出</w:t>
            </w:r>
          </w:p>
        </w:tc>
      </w:tr>
      <w:tr w14:paraId="6B27FB9D">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18C62580">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14:paraId="376743BE">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14:paraId="612ABF1A">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14:paraId="244D2860">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决算数</w:t>
            </w:r>
          </w:p>
        </w:tc>
      </w:tr>
      <w:tr w14:paraId="4A358FBD">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161BBA4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14:paraId="0ABFC237">
            <w:pPr>
              <w:keepNext w:val="0"/>
              <w:keepLines w:val="0"/>
              <w:widowControl/>
              <w:suppressLineNumbers w:val="0"/>
              <w:jc w:val="right"/>
              <w:textAlignment w:val="center"/>
              <w:rPr>
                <w:rFonts w:hint="eastAsia" w:ascii="仿宋" w:hAnsi="仿宋" w:eastAsia="仿宋" w:cs="仿宋"/>
                <w:color w:val="000000"/>
                <w:szCs w:val="21"/>
              </w:rPr>
            </w:pPr>
            <w:r>
              <w:rPr>
                <w:rFonts w:hint="eastAsia" w:ascii="仿宋" w:hAnsi="仿宋" w:eastAsia="仿宋" w:cs="仿宋"/>
                <w:i w:val="0"/>
                <w:color w:val="000000"/>
                <w:kern w:val="0"/>
                <w:sz w:val="22"/>
                <w:szCs w:val="22"/>
                <w:u w:val="none"/>
                <w:lang w:val="en-US" w:eastAsia="zh-CN" w:bidi="ar"/>
              </w:rPr>
              <w:t>1,125.69</w:t>
            </w:r>
          </w:p>
        </w:tc>
        <w:tc>
          <w:tcPr>
            <w:tcW w:w="3090" w:type="dxa"/>
            <w:tcBorders>
              <w:top w:val="single" w:color="000000" w:sz="4" w:space="0"/>
              <w:left w:val="single" w:color="000000" w:sz="4" w:space="0"/>
              <w:bottom w:val="single" w:color="000000" w:sz="4" w:space="0"/>
              <w:right w:val="single" w:color="000000" w:sz="4" w:space="0"/>
            </w:tcBorders>
            <w:vAlign w:val="center"/>
          </w:tcPr>
          <w:p w14:paraId="3C97803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174651A8">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562.36</w:t>
            </w:r>
          </w:p>
        </w:tc>
      </w:tr>
      <w:tr w14:paraId="3022350C">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73FEB40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14:paraId="00752051">
            <w:pPr>
              <w:keepNext w:val="0"/>
              <w:keepLines w:val="0"/>
              <w:widowControl/>
              <w:suppressLineNumbers w:val="0"/>
              <w:jc w:val="right"/>
              <w:textAlignment w:val="center"/>
              <w:rPr>
                <w:rFonts w:hint="eastAsia" w:ascii="仿宋" w:hAnsi="仿宋" w:eastAsia="仿宋" w:cs="仿宋"/>
                <w:color w:val="000000"/>
                <w:szCs w:val="21"/>
              </w:rPr>
            </w:pPr>
            <w:r>
              <w:rPr>
                <w:rFonts w:hint="eastAsia" w:ascii="仿宋" w:hAnsi="仿宋" w:eastAsia="仿宋" w:cs="仿宋"/>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5FA5F7F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08BF3C8D">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0.00</w:t>
            </w:r>
          </w:p>
        </w:tc>
      </w:tr>
      <w:tr w14:paraId="544A77E2">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771F2456">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14:paraId="1BE781DA">
            <w:pPr>
              <w:keepNext w:val="0"/>
              <w:keepLines w:val="0"/>
              <w:widowControl/>
              <w:suppressLineNumbers w:val="0"/>
              <w:jc w:val="right"/>
              <w:textAlignment w:val="center"/>
              <w:rPr>
                <w:rFonts w:hint="eastAsia" w:ascii="仿宋" w:hAnsi="仿宋" w:eastAsia="仿宋" w:cs="仿宋"/>
                <w:color w:val="000000"/>
                <w:szCs w:val="21"/>
              </w:rPr>
            </w:pPr>
            <w:r>
              <w:rPr>
                <w:rFonts w:hint="eastAsia" w:ascii="仿宋" w:hAnsi="仿宋" w:eastAsia="仿宋" w:cs="仿宋"/>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223B35C2">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629DA9AC">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0.00</w:t>
            </w:r>
          </w:p>
        </w:tc>
      </w:tr>
      <w:tr w14:paraId="6BF0C2B0">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6925D6B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14:paraId="5AC437F1">
            <w:pPr>
              <w:keepNext w:val="0"/>
              <w:keepLines w:val="0"/>
              <w:widowControl/>
              <w:suppressLineNumbers w:val="0"/>
              <w:jc w:val="right"/>
              <w:textAlignment w:val="center"/>
              <w:rPr>
                <w:rFonts w:hint="eastAsia" w:ascii="仿宋" w:hAnsi="仿宋" w:eastAsia="仿宋" w:cs="仿宋"/>
                <w:color w:val="000000"/>
                <w:szCs w:val="21"/>
              </w:rPr>
            </w:pPr>
            <w:r>
              <w:rPr>
                <w:rFonts w:hint="eastAsia" w:ascii="仿宋" w:hAnsi="仿宋" w:eastAsia="仿宋" w:cs="仿宋"/>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4F80159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14788225">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6.99</w:t>
            </w:r>
          </w:p>
        </w:tc>
      </w:tr>
      <w:tr w14:paraId="10582465">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0373D8B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14:paraId="0D6981CE">
            <w:pPr>
              <w:keepNext w:val="0"/>
              <w:keepLines w:val="0"/>
              <w:widowControl/>
              <w:suppressLineNumbers w:val="0"/>
              <w:jc w:val="right"/>
              <w:textAlignment w:val="center"/>
              <w:rPr>
                <w:rFonts w:hint="eastAsia" w:ascii="仿宋" w:hAnsi="仿宋" w:eastAsia="仿宋" w:cs="仿宋"/>
                <w:color w:val="000000"/>
                <w:szCs w:val="21"/>
              </w:rPr>
            </w:pPr>
            <w:r>
              <w:rPr>
                <w:rFonts w:hint="eastAsia" w:ascii="仿宋" w:hAnsi="仿宋" w:eastAsia="仿宋" w:cs="仿宋"/>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20A98C23">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5E457F78">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7.00</w:t>
            </w:r>
          </w:p>
        </w:tc>
      </w:tr>
      <w:tr w14:paraId="3BF68572">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2D760EE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14:paraId="13B5CC25">
            <w:pPr>
              <w:keepNext w:val="0"/>
              <w:keepLines w:val="0"/>
              <w:widowControl/>
              <w:suppressLineNumbers w:val="0"/>
              <w:jc w:val="right"/>
              <w:textAlignment w:val="center"/>
              <w:rPr>
                <w:rFonts w:hint="eastAsia" w:ascii="仿宋" w:hAnsi="仿宋" w:eastAsia="仿宋" w:cs="仿宋"/>
                <w:color w:val="000000"/>
                <w:szCs w:val="21"/>
              </w:rPr>
            </w:pPr>
            <w:r>
              <w:rPr>
                <w:rFonts w:hint="eastAsia" w:ascii="仿宋" w:hAnsi="仿宋" w:eastAsia="仿宋" w:cs="仿宋"/>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19E6361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DC013E1">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0.00</w:t>
            </w:r>
          </w:p>
        </w:tc>
      </w:tr>
      <w:tr w14:paraId="192EBB7B">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330545B0">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14:paraId="7D28B924">
            <w:pPr>
              <w:keepNext w:val="0"/>
              <w:keepLines w:val="0"/>
              <w:widowControl/>
              <w:suppressLineNumbers w:val="0"/>
              <w:jc w:val="right"/>
              <w:textAlignment w:val="center"/>
              <w:rPr>
                <w:rFonts w:hint="eastAsia" w:ascii="仿宋" w:hAnsi="仿宋" w:eastAsia="仿宋" w:cs="仿宋"/>
                <w:color w:val="000000"/>
                <w:szCs w:val="21"/>
              </w:rPr>
            </w:pPr>
            <w:r>
              <w:rPr>
                <w:rFonts w:hint="eastAsia" w:ascii="仿宋" w:hAnsi="仿宋" w:eastAsia="仿宋" w:cs="仿宋"/>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6F3235A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5D92FD6C">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15.00</w:t>
            </w:r>
          </w:p>
        </w:tc>
      </w:tr>
      <w:tr w14:paraId="57CE90E0">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2A449E0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14:paraId="115A4A24">
            <w:pPr>
              <w:keepNext w:val="0"/>
              <w:keepLines w:val="0"/>
              <w:widowControl/>
              <w:suppressLineNumbers w:val="0"/>
              <w:jc w:val="right"/>
              <w:textAlignment w:val="center"/>
              <w:rPr>
                <w:rFonts w:hint="eastAsia" w:ascii="仿宋" w:hAnsi="仿宋" w:eastAsia="仿宋" w:cs="仿宋"/>
                <w:color w:val="000000"/>
                <w:szCs w:val="21"/>
              </w:rPr>
            </w:pPr>
            <w:r>
              <w:rPr>
                <w:rFonts w:hint="eastAsia" w:ascii="仿宋" w:hAnsi="仿宋" w:eastAsia="仿宋" w:cs="仿宋"/>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765475D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E8F231E">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70.84</w:t>
            </w:r>
          </w:p>
        </w:tc>
      </w:tr>
      <w:tr w14:paraId="361774E2">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4B7EBE66">
            <w:pPr>
              <w:widowControl/>
              <w:jc w:val="left"/>
              <w:textAlignment w:val="center"/>
              <w:rPr>
                <w:rFonts w:hint="eastAsia" w:ascii="仿宋" w:hAnsi="仿宋" w:eastAsia="仿宋" w:cs="仿宋"/>
                <w:color w:val="000000"/>
                <w:szCs w:val="21"/>
              </w:rPr>
            </w:pPr>
          </w:p>
        </w:tc>
        <w:tc>
          <w:tcPr>
            <w:tcW w:w="1080" w:type="dxa"/>
            <w:tcBorders>
              <w:top w:val="single" w:color="000000" w:sz="4" w:space="0"/>
              <w:bottom w:val="single" w:color="000000" w:sz="4" w:space="0"/>
              <w:right w:val="single" w:color="000000" w:sz="4" w:space="0"/>
            </w:tcBorders>
            <w:vAlign w:val="center"/>
          </w:tcPr>
          <w:p w14:paraId="2D393D8F">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7DCB4FFC">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3C014B9E">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42.44</w:t>
            </w:r>
          </w:p>
        </w:tc>
      </w:tr>
      <w:tr w14:paraId="29585D93">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60FC544F">
            <w:pPr>
              <w:widowControl/>
              <w:jc w:val="left"/>
              <w:textAlignment w:val="center"/>
              <w:rPr>
                <w:rFonts w:hint="eastAsia" w:ascii="仿宋" w:hAnsi="仿宋" w:eastAsia="仿宋" w:cs="仿宋"/>
                <w:color w:val="000000"/>
                <w:szCs w:val="21"/>
              </w:rPr>
            </w:pPr>
          </w:p>
        </w:tc>
        <w:tc>
          <w:tcPr>
            <w:tcW w:w="1080" w:type="dxa"/>
            <w:tcBorders>
              <w:top w:val="single" w:color="000000" w:sz="4" w:space="0"/>
              <w:bottom w:val="single" w:color="000000" w:sz="4" w:space="0"/>
              <w:right w:val="single" w:color="000000" w:sz="4" w:space="0"/>
            </w:tcBorders>
            <w:vAlign w:val="center"/>
          </w:tcPr>
          <w:p w14:paraId="2D515914">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1EAF65C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6A34A5E7">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0.00</w:t>
            </w:r>
          </w:p>
        </w:tc>
      </w:tr>
      <w:tr w14:paraId="6A019C1A">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154A02AB">
            <w:pPr>
              <w:widowControl/>
              <w:jc w:val="left"/>
              <w:textAlignment w:val="center"/>
              <w:rPr>
                <w:rFonts w:hint="eastAsia" w:ascii="仿宋" w:hAnsi="仿宋" w:eastAsia="仿宋" w:cs="仿宋"/>
                <w:color w:val="000000"/>
                <w:szCs w:val="21"/>
              </w:rPr>
            </w:pPr>
          </w:p>
        </w:tc>
        <w:tc>
          <w:tcPr>
            <w:tcW w:w="1080" w:type="dxa"/>
            <w:tcBorders>
              <w:top w:val="single" w:color="000000" w:sz="4" w:space="0"/>
              <w:bottom w:val="single" w:color="000000" w:sz="4" w:space="0"/>
              <w:right w:val="single" w:color="000000" w:sz="4" w:space="0"/>
            </w:tcBorders>
            <w:vAlign w:val="center"/>
          </w:tcPr>
          <w:p w14:paraId="5545D7A4">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42B822B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15D269AC">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34.00</w:t>
            </w:r>
          </w:p>
        </w:tc>
      </w:tr>
      <w:tr w14:paraId="38DEB6E5">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5298A887">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5D8B250">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50322A6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67429C5E">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333.96</w:t>
            </w:r>
          </w:p>
        </w:tc>
      </w:tr>
      <w:tr w14:paraId="0274526D">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0F1BC32D">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535C594">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06D729C8">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01C8AE6A">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9.00</w:t>
            </w:r>
          </w:p>
        </w:tc>
      </w:tr>
      <w:tr w14:paraId="56D96A55">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4EAC1E40">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07E61A0">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075FEA9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1CEE8EC9">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0.00</w:t>
            </w:r>
          </w:p>
        </w:tc>
      </w:tr>
      <w:tr w14:paraId="527F6175">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4482B59D">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8196DAC">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3C4E760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335A15B1">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0.00</w:t>
            </w:r>
          </w:p>
        </w:tc>
      </w:tr>
      <w:tr w14:paraId="34F6E69C">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023F262A">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541C763">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328E5C7D">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D2B298C">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0.00</w:t>
            </w:r>
          </w:p>
        </w:tc>
      </w:tr>
      <w:tr w14:paraId="34E413B3">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71176D1D">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6518D98">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543B8039">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709B7FEC">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0.00</w:t>
            </w:r>
          </w:p>
        </w:tc>
      </w:tr>
      <w:tr w14:paraId="246A5A84">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111D255B">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E7064A4">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3A592A74">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5F22FE34">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0.00</w:t>
            </w:r>
          </w:p>
        </w:tc>
      </w:tr>
      <w:tr w14:paraId="01C4A2EF">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1ED3552A">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F471464">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106183BB">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66A65500">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44.10</w:t>
            </w:r>
          </w:p>
        </w:tc>
      </w:tr>
      <w:tr w14:paraId="51419497">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555751F8">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748C1C6">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4E666E0A">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50301B69">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0.00</w:t>
            </w:r>
          </w:p>
        </w:tc>
      </w:tr>
      <w:tr w14:paraId="6BBF8E8F">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4BB3F1ED">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573DA85">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358437F7">
            <w:pPr>
              <w:widowControl/>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5242D22A">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0.00</w:t>
            </w:r>
          </w:p>
        </w:tc>
      </w:tr>
      <w:tr w14:paraId="25E96632">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6D65300B">
            <w:pPr>
              <w:rPr>
                <w:rFonts w:hint="eastAsia" w:ascii="仿宋" w:hAnsi="仿宋" w:eastAsia="仿宋" w:cs="仿宋"/>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5ACC7D8">
            <w:pPr>
              <w:jc w:val="right"/>
              <w:rPr>
                <w:rFonts w:hint="eastAsia" w:ascii="仿宋" w:hAnsi="仿宋" w:eastAsia="仿宋" w:cs="仿宋"/>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3744BE68">
            <w:pPr>
              <w:widowControl/>
              <w:ind w:firstLine="210" w:firstLineChars="100"/>
              <w:jc w:val="left"/>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5C5D1365">
            <w:pPr>
              <w:keepNext w:val="0"/>
              <w:keepLines w:val="0"/>
              <w:widowControl/>
              <w:suppressLineNumbers w:val="0"/>
              <w:jc w:val="right"/>
              <w:textAlignment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0"/>
                <w:sz w:val="20"/>
                <w:szCs w:val="20"/>
                <w:u w:val="none"/>
                <w:lang w:val="en-US" w:eastAsia="zh-CN" w:bidi="ar"/>
              </w:rPr>
              <w:t>0.00</w:t>
            </w:r>
          </w:p>
        </w:tc>
      </w:tr>
      <w:tr w14:paraId="5E34C974">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14:paraId="1BBBED87">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14:paraId="46780915">
            <w:pPr>
              <w:keepNext w:val="0"/>
              <w:keepLines w:val="0"/>
              <w:widowControl/>
              <w:suppressLineNumbers w:val="0"/>
              <w:jc w:val="right"/>
              <w:textAlignment w:val="center"/>
              <w:rPr>
                <w:rFonts w:hint="eastAsia" w:ascii="仿宋" w:hAnsi="仿宋" w:eastAsia="仿宋" w:cs="仿宋"/>
                <w:color w:val="000000"/>
                <w:szCs w:val="21"/>
              </w:rPr>
            </w:pPr>
            <w:r>
              <w:rPr>
                <w:rFonts w:hint="eastAsia" w:ascii="仿宋" w:hAnsi="仿宋" w:eastAsia="仿宋" w:cs="仿宋"/>
                <w:i w:val="0"/>
                <w:color w:val="000000"/>
                <w:kern w:val="0"/>
                <w:sz w:val="22"/>
                <w:szCs w:val="22"/>
                <w:u w:val="none"/>
                <w:lang w:val="en-US" w:eastAsia="zh-CN" w:bidi="ar"/>
              </w:rPr>
              <w:t>1,125.69</w:t>
            </w:r>
          </w:p>
        </w:tc>
        <w:tc>
          <w:tcPr>
            <w:tcW w:w="3090" w:type="dxa"/>
            <w:tcBorders>
              <w:top w:val="single" w:color="000000" w:sz="4" w:space="0"/>
              <w:left w:val="single" w:color="000000" w:sz="4" w:space="0"/>
              <w:right w:val="single" w:color="000000" w:sz="4" w:space="0"/>
            </w:tcBorders>
            <w:vAlign w:val="center"/>
          </w:tcPr>
          <w:p w14:paraId="1466DA35">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14:paraId="6309314E">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1,125.69</w:t>
            </w:r>
          </w:p>
        </w:tc>
      </w:tr>
      <w:tr w14:paraId="5856683E">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647E8FC7">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14:paraId="5CE10950">
            <w:pPr>
              <w:keepNext w:val="0"/>
              <w:keepLines w:val="0"/>
              <w:widowControl/>
              <w:suppressLineNumbers w:val="0"/>
              <w:jc w:val="right"/>
              <w:textAlignment w:val="center"/>
              <w:rPr>
                <w:rFonts w:hint="eastAsia" w:ascii="仿宋" w:hAnsi="仿宋" w:eastAsia="仿宋" w:cs="仿宋"/>
                <w:bCs/>
                <w:color w:val="000000"/>
                <w:szCs w:val="21"/>
              </w:rPr>
            </w:pPr>
            <w:r>
              <w:rPr>
                <w:rFonts w:hint="eastAsia" w:ascii="仿宋" w:hAnsi="仿宋" w:eastAsia="仿宋" w:cs="仿宋"/>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7573F816">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center"/>
          </w:tcPr>
          <w:p w14:paraId="2785F7F9">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0.00</w:t>
            </w:r>
          </w:p>
        </w:tc>
      </w:tr>
      <w:tr w14:paraId="6C8C692A">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4E4889F2">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14:paraId="47D1C6B4">
            <w:pPr>
              <w:keepNext w:val="0"/>
              <w:keepLines w:val="0"/>
              <w:widowControl/>
              <w:suppressLineNumbers w:val="0"/>
              <w:jc w:val="right"/>
              <w:textAlignment w:val="center"/>
              <w:rPr>
                <w:rFonts w:hint="eastAsia" w:ascii="仿宋" w:hAnsi="仿宋" w:eastAsia="仿宋" w:cs="仿宋"/>
                <w:bCs/>
                <w:color w:val="000000"/>
                <w:szCs w:val="21"/>
              </w:rPr>
            </w:pPr>
            <w:r>
              <w:rPr>
                <w:rFonts w:hint="eastAsia" w:ascii="仿宋" w:hAnsi="仿宋" w:eastAsia="仿宋" w:cs="仿宋"/>
                <w:i w:val="0"/>
                <w:color w:val="000000"/>
                <w:kern w:val="0"/>
                <w:sz w:val="22"/>
                <w:szCs w:val="22"/>
                <w:u w:val="none"/>
                <w:lang w:val="en-US" w:eastAsia="zh-CN" w:bidi="ar"/>
              </w:rPr>
              <w:t>0.16</w:t>
            </w:r>
          </w:p>
        </w:tc>
        <w:tc>
          <w:tcPr>
            <w:tcW w:w="3090" w:type="dxa"/>
            <w:tcBorders>
              <w:top w:val="single" w:color="000000" w:sz="4" w:space="0"/>
              <w:left w:val="single" w:color="000000" w:sz="4" w:space="0"/>
              <w:bottom w:val="single" w:color="000000" w:sz="4" w:space="0"/>
              <w:right w:val="single" w:color="000000" w:sz="4" w:space="0"/>
            </w:tcBorders>
            <w:vAlign w:val="center"/>
          </w:tcPr>
          <w:p w14:paraId="7C4D84BC">
            <w:pPr>
              <w:widowControl/>
              <w:jc w:val="center"/>
              <w:textAlignment w:val="center"/>
              <w:rPr>
                <w:rFonts w:hint="eastAsia" w:ascii="仿宋" w:hAnsi="仿宋" w:eastAsia="仿宋" w:cs="仿宋"/>
                <w:bCs/>
                <w:color w:val="000000"/>
                <w:szCs w:val="21"/>
              </w:rPr>
            </w:pPr>
            <w:r>
              <w:rPr>
                <w:rFonts w:hint="eastAsia" w:ascii="仿宋" w:hAnsi="仿宋" w:eastAsia="仿宋" w:cs="仿宋"/>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14:paraId="6B3F3895">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0.16</w:t>
            </w:r>
          </w:p>
        </w:tc>
      </w:tr>
      <w:tr w14:paraId="78086E06">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55945790">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14:paraId="29D02D17">
            <w:pPr>
              <w:jc w:val="right"/>
              <w:rPr>
                <w:rFonts w:hint="eastAsia" w:ascii="仿宋" w:hAnsi="仿宋" w:eastAsia="仿宋" w:cs="仿宋"/>
                <w:color w:val="000000"/>
                <w:szCs w:val="21"/>
              </w:rPr>
            </w:pPr>
            <w:r>
              <w:rPr>
                <w:rFonts w:hint="eastAsia" w:ascii="仿宋" w:hAnsi="仿宋" w:eastAsia="仿宋" w:cs="仿宋"/>
                <w:i w:val="0"/>
                <w:color w:val="000000"/>
                <w:kern w:val="0"/>
                <w:sz w:val="22"/>
                <w:szCs w:val="22"/>
                <w:u w:val="none"/>
                <w:lang w:val="en-US" w:eastAsia="zh-CN" w:bidi="ar"/>
              </w:rPr>
              <w:t>1,125.69</w:t>
            </w:r>
          </w:p>
        </w:tc>
        <w:tc>
          <w:tcPr>
            <w:tcW w:w="3090" w:type="dxa"/>
            <w:tcBorders>
              <w:top w:val="single" w:color="000000" w:sz="4" w:space="0"/>
              <w:left w:val="single" w:color="000000" w:sz="4" w:space="0"/>
              <w:bottom w:val="single" w:color="000000" w:sz="4" w:space="0"/>
              <w:right w:val="single" w:color="000000" w:sz="4" w:space="0"/>
            </w:tcBorders>
            <w:vAlign w:val="center"/>
          </w:tcPr>
          <w:p w14:paraId="41FEA6BC">
            <w:pPr>
              <w:widowControl/>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14:paraId="527567BB">
            <w:pPr>
              <w:keepNext w:val="0"/>
              <w:keepLines w:val="0"/>
              <w:widowControl/>
              <w:suppressLineNumbers w:val="0"/>
              <w:jc w:val="righ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1,125.85</w:t>
            </w:r>
          </w:p>
        </w:tc>
      </w:tr>
    </w:tbl>
    <w:p w14:paraId="4EF234BF">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14:paraId="7B894FF1">
      <w:pPr>
        <w:rPr>
          <w:rFonts w:hint="eastAsia" w:ascii="宋体" w:hAnsi="宋体" w:cs="宋体"/>
          <w:b/>
          <w:bCs/>
          <w:sz w:val="32"/>
          <w:szCs w:val="32"/>
        </w:rPr>
      </w:pPr>
      <w:r>
        <w:rPr>
          <w:rFonts w:hint="eastAsia" w:ascii="宋体" w:hAnsi="宋体" w:cs="宋体"/>
          <w:b/>
          <w:bCs/>
          <w:sz w:val="32"/>
          <w:szCs w:val="32"/>
        </w:rPr>
        <w:br w:type="page"/>
      </w:r>
    </w:p>
    <w:p w14:paraId="576C4B9E">
      <w:pPr>
        <w:jc w:val="center"/>
        <w:rPr>
          <w:rFonts w:ascii="宋体" w:hAnsi="宋体" w:cs="宋体"/>
          <w:b/>
          <w:bCs/>
          <w:sz w:val="32"/>
          <w:szCs w:val="32"/>
        </w:rPr>
      </w:pPr>
      <w:r>
        <w:rPr>
          <w:rFonts w:hint="eastAsia" w:ascii="宋体" w:hAnsi="宋体" w:cs="宋体"/>
          <w:b/>
          <w:bCs/>
          <w:sz w:val="32"/>
          <w:szCs w:val="32"/>
        </w:rPr>
        <w:t>收入决算表</w:t>
      </w:r>
    </w:p>
    <w:p w14:paraId="1F506CC3">
      <w:pPr>
        <w:rPr>
          <w:rFonts w:ascii="宋体" w:hAnsi="宋体" w:cs="宋体"/>
          <w:b/>
          <w:bCs/>
          <w:szCs w:val="21"/>
        </w:rPr>
      </w:pPr>
      <w:r>
        <w:rPr>
          <w:rFonts w:hint="eastAsia" w:ascii="宋体" w:hAnsi="宋体" w:cs="宋体"/>
          <w:b/>
          <w:bCs/>
          <w:szCs w:val="21"/>
        </w:rPr>
        <w:t>公开02表</w:t>
      </w:r>
    </w:p>
    <w:p w14:paraId="4EF80289">
      <w:pPr>
        <w:rPr>
          <w:rFonts w:ascii="宋体" w:hAnsi="宋体" w:cs="宋体"/>
          <w:b/>
          <w:bCs/>
          <w:sz w:val="48"/>
          <w:szCs w:val="48"/>
        </w:rPr>
      </w:pPr>
      <w:r>
        <w:rPr>
          <w:rFonts w:hint="eastAsia" w:ascii="宋体" w:hAnsi="宋体" w:cs="宋体"/>
          <w:b/>
          <w:bCs/>
          <w:szCs w:val="21"/>
        </w:rPr>
        <w:t>编制部门：                                                           金额单位：万元</w:t>
      </w:r>
    </w:p>
    <w:tbl>
      <w:tblPr>
        <w:tblStyle w:val="9"/>
        <w:tblW w:w="8867" w:type="dxa"/>
        <w:tblInd w:w="0" w:type="dxa"/>
        <w:tblLayout w:type="fixed"/>
        <w:tblCellMar>
          <w:top w:w="15" w:type="dxa"/>
          <w:left w:w="15" w:type="dxa"/>
          <w:bottom w:w="15" w:type="dxa"/>
          <w:right w:w="15" w:type="dxa"/>
        </w:tblCellMar>
      </w:tblPr>
      <w:tblGrid>
        <w:gridCol w:w="957"/>
        <w:gridCol w:w="2115"/>
        <w:gridCol w:w="1005"/>
        <w:gridCol w:w="1005"/>
        <w:gridCol w:w="585"/>
        <w:gridCol w:w="540"/>
        <w:gridCol w:w="945"/>
        <w:gridCol w:w="585"/>
        <w:gridCol w:w="570"/>
        <w:gridCol w:w="560"/>
      </w:tblGrid>
      <w:tr w14:paraId="323A0175">
        <w:tblPrEx>
          <w:tblCellMar>
            <w:top w:w="15" w:type="dxa"/>
            <w:left w:w="15" w:type="dxa"/>
            <w:bottom w:w="15" w:type="dxa"/>
            <w:right w:w="15" w:type="dxa"/>
          </w:tblCellMar>
        </w:tblPrEx>
        <w:trPr>
          <w:trHeight w:val="439" w:hRule="atLeast"/>
        </w:trPr>
        <w:tc>
          <w:tcPr>
            <w:tcW w:w="3072" w:type="dxa"/>
            <w:gridSpan w:val="2"/>
            <w:tcBorders>
              <w:top w:val="single" w:color="auto" w:sz="4" w:space="0"/>
              <w:left w:val="single" w:color="auto" w:sz="4" w:space="0"/>
              <w:bottom w:val="single" w:color="auto" w:sz="4" w:space="0"/>
              <w:right w:val="single" w:color="auto" w:sz="4" w:space="0"/>
            </w:tcBorders>
            <w:vAlign w:val="center"/>
          </w:tcPr>
          <w:p w14:paraId="6E958D56">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项目</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14:paraId="6CD4CCFE">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本年收入合计</w:t>
            </w:r>
          </w:p>
        </w:tc>
        <w:tc>
          <w:tcPr>
            <w:tcW w:w="1005" w:type="dxa"/>
            <w:vMerge w:val="restart"/>
            <w:tcBorders>
              <w:top w:val="single" w:color="auto" w:sz="4" w:space="0"/>
              <w:left w:val="single" w:color="auto" w:sz="4" w:space="0"/>
              <w:bottom w:val="single" w:color="auto" w:sz="4" w:space="0"/>
              <w:right w:val="single" w:color="auto" w:sz="4" w:space="0"/>
            </w:tcBorders>
            <w:vAlign w:val="center"/>
          </w:tcPr>
          <w:p w14:paraId="0C2D50E0">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财政拨款收入</w:t>
            </w:r>
          </w:p>
        </w:tc>
        <w:tc>
          <w:tcPr>
            <w:tcW w:w="585" w:type="dxa"/>
            <w:vMerge w:val="restart"/>
            <w:tcBorders>
              <w:top w:val="single" w:color="auto" w:sz="4" w:space="0"/>
              <w:left w:val="single" w:color="auto" w:sz="4" w:space="0"/>
              <w:bottom w:val="single" w:color="auto" w:sz="4" w:space="0"/>
              <w:right w:val="single" w:color="auto" w:sz="4" w:space="0"/>
            </w:tcBorders>
            <w:vAlign w:val="center"/>
          </w:tcPr>
          <w:p w14:paraId="5A1EAE84">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上级补助收入</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33DC94B0">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事业收入</w:t>
            </w:r>
          </w:p>
        </w:tc>
        <w:tc>
          <w:tcPr>
            <w:tcW w:w="585" w:type="dxa"/>
            <w:vMerge w:val="restart"/>
            <w:tcBorders>
              <w:top w:val="single" w:color="auto" w:sz="4" w:space="0"/>
              <w:left w:val="single" w:color="auto" w:sz="4" w:space="0"/>
              <w:bottom w:val="single" w:color="auto" w:sz="4" w:space="0"/>
              <w:right w:val="single" w:color="auto" w:sz="4" w:space="0"/>
            </w:tcBorders>
            <w:vAlign w:val="center"/>
          </w:tcPr>
          <w:p w14:paraId="0DA62772">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经营</w:t>
            </w:r>
          </w:p>
          <w:p w14:paraId="7C8D5A28">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收入</w:t>
            </w:r>
          </w:p>
        </w:tc>
        <w:tc>
          <w:tcPr>
            <w:tcW w:w="570" w:type="dxa"/>
            <w:vMerge w:val="restart"/>
            <w:tcBorders>
              <w:top w:val="single" w:color="auto" w:sz="4" w:space="0"/>
              <w:left w:val="single" w:color="auto" w:sz="4" w:space="0"/>
              <w:bottom w:val="single" w:color="auto" w:sz="4" w:space="0"/>
              <w:right w:val="single" w:color="auto" w:sz="4" w:space="0"/>
            </w:tcBorders>
            <w:vAlign w:val="center"/>
          </w:tcPr>
          <w:p w14:paraId="08CD3EF3">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附属单位上缴收入</w:t>
            </w:r>
          </w:p>
        </w:tc>
        <w:tc>
          <w:tcPr>
            <w:tcW w:w="560" w:type="dxa"/>
            <w:vMerge w:val="restart"/>
            <w:tcBorders>
              <w:top w:val="single" w:color="auto" w:sz="4" w:space="0"/>
              <w:left w:val="single" w:color="auto" w:sz="4" w:space="0"/>
              <w:bottom w:val="single" w:color="auto" w:sz="4" w:space="0"/>
              <w:right w:val="single" w:color="auto" w:sz="4" w:space="0"/>
            </w:tcBorders>
            <w:vAlign w:val="center"/>
          </w:tcPr>
          <w:p w14:paraId="174D7805">
            <w:pPr>
              <w:widowControl/>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rPr>
              <w:t>其他</w:t>
            </w:r>
          </w:p>
          <w:p w14:paraId="3C3972D4">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收入</w:t>
            </w:r>
          </w:p>
        </w:tc>
      </w:tr>
      <w:tr w14:paraId="6BE54BFF">
        <w:tblPrEx>
          <w:tblCellMar>
            <w:top w:w="15" w:type="dxa"/>
            <w:left w:w="15" w:type="dxa"/>
            <w:bottom w:w="15" w:type="dxa"/>
            <w:right w:w="15" w:type="dxa"/>
          </w:tblCellMar>
        </w:tblPrEx>
        <w:trPr>
          <w:trHeight w:val="875" w:hRule="atLeast"/>
        </w:trPr>
        <w:tc>
          <w:tcPr>
            <w:tcW w:w="957" w:type="dxa"/>
            <w:tcBorders>
              <w:top w:val="single" w:color="auto" w:sz="4" w:space="0"/>
              <w:left w:val="single" w:color="auto" w:sz="4" w:space="0"/>
              <w:bottom w:val="single" w:color="auto" w:sz="4" w:space="0"/>
              <w:right w:val="single" w:color="auto" w:sz="4" w:space="0"/>
            </w:tcBorders>
            <w:vAlign w:val="center"/>
          </w:tcPr>
          <w:p w14:paraId="0201703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功能分类科目编码</w:t>
            </w:r>
          </w:p>
        </w:tc>
        <w:tc>
          <w:tcPr>
            <w:tcW w:w="2115" w:type="dxa"/>
            <w:tcBorders>
              <w:top w:val="single" w:color="auto" w:sz="4" w:space="0"/>
              <w:left w:val="single" w:color="auto" w:sz="4" w:space="0"/>
              <w:bottom w:val="single" w:color="auto" w:sz="4" w:space="0"/>
              <w:right w:val="single" w:color="auto" w:sz="4" w:space="0"/>
            </w:tcBorders>
            <w:vAlign w:val="center"/>
          </w:tcPr>
          <w:p w14:paraId="47CBCBDD">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科目</w:t>
            </w:r>
          </w:p>
          <w:p w14:paraId="3696F16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名称</w:t>
            </w:r>
          </w:p>
        </w:tc>
        <w:tc>
          <w:tcPr>
            <w:tcW w:w="1005" w:type="dxa"/>
            <w:vMerge w:val="continue"/>
            <w:tcBorders>
              <w:top w:val="single" w:color="auto" w:sz="4" w:space="0"/>
              <w:left w:val="single" w:color="auto" w:sz="4" w:space="0"/>
              <w:bottom w:val="single" w:color="auto" w:sz="4" w:space="0"/>
              <w:right w:val="single" w:color="auto" w:sz="4" w:space="0"/>
            </w:tcBorders>
            <w:vAlign w:val="center"/>
          </w:tcPr>
          <w:p w14:paraId="3747AFAA">
            <w:pPr>
              <w:jc w:val="center"/>
              <w:rPr>
                <w:rFonts w:ascii="宋体" w:hAnsi="宋体" w:cs="宋体"/>
                <w:b/>
                <w:color w:val="000000"/>
                <w:sz w:val="18"/>
                <w:szCs w:val="18"/>
              </w:rPr>
            </w:pPr>
          </w:p>
        </w:tc>
        <w:tc>
          <w:tcPr>
            <w:tcW w:w="1005" w:type="dxa"/>
            <w:vMerge w:val="continue"/>
            <w:tcBorders>
              <w:top w:val="single" w:color="auto" w:sz="4" w:space="0"/>
              <w:left w:val="single" w:color="auto" w:sz="4" w:space="0"/>
              <w:bottom w:val="single" w:color="auto" w:sz="4" w:space="0"/>
              <w:right w:val="single" w:color="auto" w:sz="4" w:space="0"/>
            </w:tcBorders>
            <w:vAlign w:val="center"/>
          </w:tcPr>
          <w:p w14:paraId="15A5EF7F">
            <w:pPr>
              <w:jc w:val="center"/>
              <w:rPr>
                <w:rFonts w:ascii="宋体" w:hAnsi="宋体" w:cs="宋体"/>
                <w:b/>
                <w:color w:val="000000"/>
                <w:sz w:val="18"/>
                <w:szCs w:val="18"/>
              </w:rPr>
            </w:pPr>
          </w:p>
        </w:tc>
        <w:tc>
          <w:tcPr>
            <w:tcW w:w="585" w:type="dxa"/>
            <w:vMerge w:val="continue"/>
            <w:tcBorders>
              <w:top w:val="single" w:color="auto" w:sz="4" w:space="0"/>
              <w:left w:val="single" w:color="auto" w:sz="4" w:space="0"/>
              <w:bottom w:val="single" w:color="auto" w:sz="4" w:space="0"/>
              <w:right w:val="single" w:color="auto" w:sz="4" w:space="0"/>
            </w:tcBorders>
            <w:vAlign w:val="center"/>
          </w:tcPr>
          <w:p w14:paraId="32BD86D0">
            <w:pPr>
              <w:jc w:val="center"/>
              <w:rPr>
                <w:rFonts w:ascii="宋体" w:hAnsi="宋体" w:cs="宋体"/>
                <w:b/>
                <w:color w:val="00000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7947845">
            <w:pPr>
              <w:jc w:val="center"/>
              <w:rPr>
                <w:rFonts w:ascii="宋体" w:hAnsi="宋体" w:cs="宋体"/>
                <w:b/>
                <w:color w:val="000000"/>
                <w:sz w:val="18"/>
                <w:szCs w:val="18"/>
              </w:rPr>
            </w:pPr>
            <w:r>
              <w:rPr>
                <w:rFonts w:hint="eastAsia" w:ascii="宋体" w:hAnsi="宋体" w:cs="宋体"/>
                <w:b/>
                <w:color w:val="000000"/>
                <w:sz w:val="18"/>
                <w:szCs w:val="18"/>
              </w:rPr>
              <w:t>小计</w:t>
            </w:r>
          </w:p>
        </w:tc>
        <w:tc>
          <w:tcPr>
            <w:tcW w:w="945" w:type="dxa"/>
            <w:tcBorders>
              <w:top w:val="single" w:color="auto" w:sz="4" w:space="0"/>
              <w:left w:val="single" w:color="auto" w:sz="4" w:space="0"/>
              <w:bottom w:val="single" w:color="auto" w:sz="4" w:space="0"/>
              <w:right w:val="single" w:color="auto" w:sz="4" w:space="0"/>
            </w:tcBorders>
            <w:vAlign w:val="center"/>
          </w:tcPr>
          <w:p w14:paraId="5A55BBEC">
            <w:pPr>
              <w:jc w:val="center"/>
              <w:rPr>
                <w:rFonts w:ascii="宋体" w:hAnsi="宋体" w:cs="宋体"/>
                <w:b/>
                <w:color w:val="000000"/>
                <w:sz w:val="18"/>
                <w:szCs w:val="18"/>
              </w:rPr>
            </w:pPr>
            <w:r>
              <w:rPr>
                <w:rFonts w:hint="eastAsia" w:ascii="宋体" w:hAnsi="宋体" w:cs="宋体"/>
                <w:b/>
                <w:color w:val="000000"/>
                <w:sz w:val="18"/>
                <w:szCs w:val="18"/>
              </w:rPr>
              <w:t>其中：教育收费</w:t>
            </w:r>
          </w:p>
        </w:tc>
        <w:tc>
          <w:tcPr>
            <w:tcW w:w="585" w:type="dxa"/>
            <w:vMerge w:val="continue"/>
            <w:tcBorders>
              <w:top w:val="single" w:color="auto" w:sz="4" w:space="0"/>
              <w:left w:val="single" w:color="auto" w:sz="4" w:space="0"/>
              <w:bottom w:val="single" w:color="auto" w:sz="4" w:space="0"/>
              <w:right w:val="single" w:color="auto" w:sz="4" w:space="0"/>
            </w:tcBorders>
            <w:vAlign w:val="center"/>
          </w:tcPr>
          <w:p w14:paraId="13A2D953">
            <w:pPr>
              <w:jc w:val="center"/>
              <w:rPr>
                <w:rFonts w:ascii="宋体" w:hAnsi="宋体" w:cs="宋体"/>
                <w:b/>
                <w:color w:val="000000"/>
                <w:sz w:val="18"/>
                <w:szCs w:val="18"/>
              </w:rPr>
            </w:pPr>
          </w:p>
        </w:tc>
        <w:tc>
          <w:tcPr>
            <w:tcW w:w="570" w:type="dxa"/>
            <w:vMerge w:val="continue"/>
            <w:tcBorders>
              <w:top w:val="single" w:color="auto" w:sz="4" w:space="0"/>
              <w:left w:val="single" w:color="auto" w:sz="4" w:space="0"/>
              <w:bottom w:val="single" w:color="auto" w:sz="4" w:space="0"/>
              <w:right w:val="single" w:color="auto" w:sz="4" w:space="0"/>
            </w:tcBorders>
            <w:vAlign w:val="center"/>
          </w:tcPr>
          <w:p w14:paraId="46D9D40E">
            <w:pPr>
              <w:jc w:val="center"/>
              <w:rPr>
                <w:rFonts w:ascii="宋体" w:hAnsi="宋体" w:cs="宋体"/>
                <w:b/>
                <w:color w:val="000000"/>
                <w:sz w:val="18"/>
                <w:szCs w:val="18"/>
              </w:rPr>
            </w:pPr>
          </w:p>
        </w:tc>
        <w:tc>
          <w:tcPr>
            <w:tcW w:w="560" w:type="dxa"/>
            <w:vMerge w:val="continue"/>
            <w:tcBorders>
              <w:top w:val="single" w:color="auto" w:sz="4" w:space="0"/>
              <w:left w:val="single" w:color="auto" w:sz="4" w:space="0"/>
              <w:bottom w:val="single" w:color="auto" w:sz="4" w:space="0"/>
              <w:right w:val="single" w:color="auto" w:sz="4" w:space="0"/>
            </w:tcBorders>
            <w:vAlign w:val="center"/>
          </w:tcPr>
          <w:p w14:paraId="1219F962">
            <w:pPr>
              <w:jc w:val="center"/>
              <w:rPr>
                <w:rFonts w:ascii="宋体" w:hAnsi="宋体" w:cs="宋体"/>
                <w:b/>
                <w:color w:val="000000"/>
                <w:sz w:val="18"/>
                <w:szCs w:val="18"/>
              </w:rPr>
            </w:pPr>
          </w:p>
        </w:tc>
      </w:tr>
      <w:tr w14:paraId="69058AA3">
        <w:tblPrEx>
          <w:tblCellMar>
            <w:top w:w="15" w:type="dxa"/>
            <w:left w:w="15" w:type="dxa"/>
            <w:bottom w:w="15" w:type="dxa"/>
            <w:right w:w="15" w:type="dxa"/>
          </w:tblCellMar>
        </w:tblPrEx>
        <w:trPr>
          <w:trHeight w:val="439" w:hRule="atLeast"/>
        </w:trPr>
        <w:tc>
          <w:tcPr>
            <w:tcW w:w="3072" w:type="dxa"/>
            <w:gridSpan w:val="2"/>
            <w:tcBorders>
              <w:top w:val="single" w:color="auto" w:sz="4" w:space="0"/>
              <w:left w:val="single" w:color="auto" w:sz="4" w:space="0"/>
              <w:bottom w:val="single" w:color="auto" w:sz="4" w:space="0"/>
              <w:right w:val="single" w:color="auto" w:sz="4" w:space="0"/>
            </w:tcBorders>
            <w:vAlign w:val="center"/>
          </w:tcPr>
          <w:p w14:paraId="232DCEBD">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rPr>
              <w:t>合计</w:t>
            </w:r>
          </w:p>
        </w:tc>
        <w:tc>
          <w:tcPr>
            <w:tcW w:w="1005" w:type="dxa"/>
            <w:tcBorders>
              <w:top w:val="single" w:color="auto" w:sz="4" w:space="0"/>
              <w:left w:val="single" w:color="auto" w:sz="4" w:space="0"/>
              <w:bottom w:val="single" w:color="auto" w:sz="4" w:space="0"/>
              <w:right w:val="single" w:color="auto" w:sz="4" w:space="0"/>
            </w:tcBorders>
            <w:vAlign w:val="center"/>
          </w:tcPr>
          <w:p w14:paraId="1A26B5AF">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1,125.69</w:t>
            </w:r>
          </w:p>
        </w:tc>
        <w:tc>
          <w:tcPr>
            <w:tcW w:w="1005" w:type="dxa"/>
            <w:tcBorders>
              <w:top w:val="single" w:color="auto" w:sz="4" w:space="0"/>
              <w:left w:val="single" w:color="auto" w:sz="4" w:space="0"/>
              <w:bottom w:val="single" w:color="auto" w:sz="4" w:space="0"/>
              <w:right w:val="single" w:color="auto" w:sz="4" w:space="0"/>
            </w:tcBorders>
            <w:vAlign w:val="center"/>
          </w:tcPr>
          <w:p w14:paraId="58D54D5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1,125.69</w:t>
            </w:r>
          </w:p>
        </w:tc>
        <w:tc>
          <w:tcPr>
            <w:tcW w:w="585" w:type="dxa"/>
            <w:tcBorders>
              <w:top w:val="single" w:color="auto" w:sz="4" w:space="0"/>
              <w:left w:val="single" w:color="auto" w:sz="4" w:space="0"/>
              <w:bottom w:val="single" w:color="auto" w:sz="4" w:space="0"/>
              <w:right w:val="single" w:color="auto" w:sz="4" w:space="0"/>
            </w:tcBorders>
            <w:vAlign w:val="center"/>
          </w:tcPr>
          <w:p w14:paraId="21120B6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41B068C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7A3CE1C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4EE5F9B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0718023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579765F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27483942">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66CD11E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w:t>
            </w:r>
          </w:p>
        </w:tc>
        <w:tc>
          <w:tcPr>
            <w:tcW w:w="2115" w:type="dxa"/>
            <w:tcBorders>
              <w:top w:val="single" w:color="auto" w:sz="4" w:space="0"/>
              <w:left w:val="single" w:color="auto" w:sz="4" w:space="0"/>
              <w:bottom w:val="single" w:color="auto" w:sz="4" w:space="0"/>
              <w:right w:val="single" w:color="auto" w:sz="4" w:space="0"/>
            </w:tcBorders>
            <w:vAlign w:val="center"/>
          </w:tcPr>
          <w:p w14:paraId="18459B9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一般公共服务支出</w:t>
            </w:r>
          </w:p>
        </w:tc>
        <w:tc>
          <w:tcPr>
            <w:tcW w:w="1005" w:type="dxa"/>
            <w:tcBorders>
              <w:top w:val="single" w:color="auto" w:sz="4" w:space="0"/>
              <w:left w:val="single" w:color="auto" w:sz="4" w:space="0"/>
              <w:bottom w:val="single" w:color="auto" w:sz="4" w:space="0"/>
              <w:right w:val="single" w:color="auto" w:sz="4" w:space="0"/>
            </w:tcBorders>
            <w:vAlign w:val="center"/>
          </w:tcPr>
          <w:p w14:paraId="18C4999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562.36</w:t>
            </w:r>
          </w:p>
        </w:tc>
        <w:tc>
          <w:tcPr>
            <w:tcW w:w="1005" w:type="dxa"/>
            <w:tcBorders>
              <w:top w:val="single" w:color="auto" w:sz="4" w:space="0"/>
              <w:left w:val="single" w:color="auto" w:sz="4" w:space="0"/>
              <w:bottom w:val="single" w:color="auto" w:sz="4" w:space="0"/>
              <w:right w:val="single" w:color="auto" w:sz="4" w:space="0"/>
            </w:tcBorders>
            <w:vAlign w:val="center"/>
          </w:tcPr>
          <w:p w14:paraId="7E832E6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562.36</w:t>
            </w:r>
          </w:p>
        </w:tc>
        <w:tc>
          <w:tcPr>
            <w:tcW w:w="585" w:type="dxa"/>
            <w:tcBorders>
              <w:top w:val="single" w:color="auto" w:sz="4" w:space="0"/>
              <w:left w:val="single" w:color="auto" w:sz="4" w:space="0"/>
              <w:bottom w:val="single" w:color="auto" w:sz="4" w:space="0"/>
              <w:right w:val="single" w:color="auto" w:sz="4" w:space="0"/>
            </w:tcBorders>
            <w:vAlign w:val="center"/>
          </w:tcPr>
          <w:p w14:paraId="5BADCA0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41C3892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642888B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6A947F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1A9C98A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5F07BC9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4C5292F4">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3EA93EA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20101</w:t>
            </w:r>
          </w:p>
        </w:tc>
        <w:tc>
          <w:tcPr>
            <w:tcW w:w="2115" w:type="dxa"/>
            <w:tcBorders>
              <w:top w:val="single" w:color="auto" w:sz="4" w:space="0"/>
              <w:left w:val="single" w:color="auto" w:sz="4" w:space="0"/>
              <w:bottom w:val="single" w:color="auto" w:sz="4" w:space="0"/>
              <w:right w:val="single" w:color="auto" w:sz="4" w:space="0"/>
            </w:tcBorders>
            <w:vAlign w:val="center"/>
          </w:tcPr>
          <w:p w14:paraId="2652D5D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人大事务</w:t>
            </w:r>
          </w:p>
        </w:tc>
        <w:tc>
          <w:tcPr>
            <w:tcW w:w="1005" w:type="dxa"/>
            <w:tcBorders>
              <w:top w:val="single" w:color="auto" w:sz="4" w:space="0"/>
              <w:left w:val="single" w:color="auto" w:sz="4" w:space="0"/>
              <w:bottom w:val="single" w:color="auto" w:sz="4" w:space="0"/>
              <w:right w:val="single" w:color="auto" w:sz="4" w:space="0"/>
            </w:tcBorders>
            <w:vAlign w:val="center"/>
          </w:tcPr>
          <w:p w14:paraId="236B1E9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1005" w:type="dxa"/>
            <w:tcBorders>
              <w:top w:val="single" w:color="auto" w:sz="4" w:space="0"/>
              <w:left w:val="single" w:color="auto" w:sz="4" w:space="0"/>
              <w:bottom w:val="single" w:color="auto" w:sz="4" w:space="0"/>
              <w:right w:val="single" w:color="auto" w:sz="4" w:space="0"/>
            </w:tcBorders>
            <w:vAlign w:val="center"/>
          </w:tcPr>
          <w:p w14:paraId="256CFAC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585" w:type="dxa"/>
            <w:tcBorders>
              <w:top w:val="single" w:color="auto" w:sz="4" w:space="0"/>
              <w:left w:val="single" w:color="auto" w:sz="4" w:space="0"/>
              <w:bottom w:val="single" w:color="auto" w:sz="4" w:space="0"/>
              <w:right w:val="single" w:color="auto" w:sz="4" w:space="0"/>
            </w:tcBorders>
            <w:vAlign w:val="center"/>
          </w:tcPr>
          <w:p w14:paraId="7CB6D9A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6A46115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3F61D7E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4DF27E4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3FDC4E2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3BB13F2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5C4C65E">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54166F4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2010108</w:t>
            </w:r>
          </w:p>
        </w:tc>
        <w:tc>
          <w:tcPr>
            <w:tcW w:w="2115" w:type="dxa"/>
            <w:tcBorders>
              <w:top w:val="single" w:color="auto" w:sz="4" w:space="0"/>
              <w:left w:val="single" w:color="auto" w:sz="4" w:space="0"/>
              <w:bottom w:val="single" w:color="auto" w:sz="4" w:space="0"/>
              <w:right w:val="single" w:color="auto" w:sz="4" w:space="0"/>
            </w:tcBorders>
            <w:vAlign w:val="center"/>
          </w:tcPr>
          <w:p w14:paraId="3F0FF78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代表工作</w:t>
            </w:r>
          </w:p>
        </w:tc>
        <w:tc>
          <w:tcPr>
            <w:tcW w:w="1005" w:type="dxa"/>
            <w:tcBorders>
              <w:top w:val="single" w:color="auto" w:sz="4" w:space="0"/>
              <w:left w:val="single" w:color="auto" w:sz="4" w:space="0"/>
              <w:bottom w:val="single" w:color="auto" w:sz="4" w:space="0"/>
              <w:right w:val="single" w:color="auto" w:sz="4" w:space="0"/>
            </w:tcBorders>
            <w:vAlign w:val="center"/>
          </w:tcPr>
          <w:p w14:paraId="7DE80E8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1005" w:type="dxa"/>
            <w:tcBorders>
              <w:top w:val="single" w:color="auto" w:sz="4" w:space="0"/>
              <w:left w:val="single" w:color="auto" w:sz="4" w:space="0"/>
              <w:bottom w:val="single" w:color="auto" w:sz="4" w:space="0"/>
              <w:right w:val="single" w:color="auto" w:sz="4" w:space="0"/>
            </w:tcBorders>
            <w:vAlign w:val="center"/>
          </w:tcPr>
          <w:p w14:paraId="1E073EB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585" w:type="dxa"/>
            <w:tcBorders>
              <w:top w:val="single" w:color="auto" w:sz="4" w:space="0"/>
              <w:left w:val="single" w:color="auto" w:sz="4" w:space="0"/>
              <w:bottom w:val="single" w:color="auto" w:sz="4" w:space="0"/>
              <w:right w:val="single" w:color="auto" w:sz="4" w:space="0"/>
            </w:tcBorders>
            <w:vAlign w:val="center"/>
          </w:tcPr>
          <w:p w14:paraId="5842BAC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6BA5291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6FEC4EF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60E7F6B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014E5F4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60B5CD8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4A2A1131">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6EC23F2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20103</w:t>
            </w:r>
          </w:p>
        </w:tc>
        <w:tc>
          <w:tcPr>
            <w:tcW w:w="2115" w:type="dxa"/>
            <w:tcBorders>
              <w:top w:val="single" w:color="auto" w:sz="4" w:space="0"/>
              <w:left w:val="single" w:color="auto" w:sz="4" w:space="0"/>
              <w:bottom w:val="single" w:color="auto" w:sz="4" w:space="0"/>
              <w:right w:val="single" w:color="auto" w:sz="4" w:space="0"/>
            </w:tcBorders>
            <w:vAlign w:val="center"/>
          </w:tcPr>
          <w:p w14:paraId="35E5C06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1005" w:type="dxa"/>
            <w:tcBorders>
              <w:top w:val="single" w:color="auto" w:sz="4" w:space="0"/>
              <w:left w:val="single" w:color="auto" w:sz="4" w:space="0"/>
              <w:bottom w:val="single" w:color="auto" w:sz="4" w:space="0"/>
              <w:right w:val="single" w:color="auto" w:sz="4" w:space="0"/>
            </w:tcBorders>
            <w:vAlign w:val="center"/>
          </w:tcPr>
          <w:p w14:paraId="6E87256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511.06</w:t>
            </w:r>
          </w:p>
        </w:tc>
        <w:tc>
          <w:tcPr>
            <w:tcW w:w="1005" w:type="dxa"/>
            <w:tcBorders>
              <w:top w:val="single" w:color="auto" w:sz="4" w:space="0"/>
              <w:left w:val="single" w:color="auto" w:sz="4" w:space="0"/>
              <w:bottom w:val="single" w:color="auto" w:sz="4" w:space="0"/>
              <w:right w:val="single" w:color="auto" w:sz="4" w:space="0"/>
            </w:tcBorders>
            <w:vAlign w:val="center"/>
          </w:tcPr>
          <w:p w14:paraId="52500EA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511.06</w:t>
            </w:r>
          </w:p>
        </w:tc>
        <w:tc>
          <w:tcPr>
            <w:tcW w:w="585" w:type="dxa"/>
            <w:tcBorders>
              <w:top w:val="single" w:color="auto" w:sz="4" w:space="0"/>
              <w:left w:val="single" w:color="auto" w:sz="4" w:space="0"/>
              <w:bottom w:val="single" w:color="auto" w:sz="4" w:space="0"/>
              <w:right w:val="single" w:color="auto" w:sz="4" w:space="0"/>
            </w:tcBorders>
            <w:vAlign w:val="center"/>
          </w:tcPr>
          <w:p w14:paraId="104AC98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1A01F57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3CE8848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6804759F">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536011F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2F6CE58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1BB8999A">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4FC67CA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2010301</w:t>
            </w:r>
          </w:p>
        </w:tc>
        <w:tc>
          <w:tcPr>
            <w:tcW w:w="2115" w:type="dxa"/>
            <w:tcBorders>
              <w:top w:val="single" w:color="auto" w:sz="4" w:space="0"/>
              <w:left w:val="single" w:color="auto" w:sz="4" w:space="0"/>
              <w:bottom w:val="single" w:color="auto" w:sz="4" w:space="0"/>
              <w:right w:val="single" w:color="auto" w:sz="4" w:space="0"/>
            </w:tcBorders>
            <w:vAlign w:val="center"/>
          </w:tcPr>
          <w:p w14:paraId="4A7B362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行政运行</w:t>
            </w:r>
          </w:p>
        </w:tc>
        <w:tc>
          <w:tcPr>
            <w:tcW w:w="1005" w:type="dxa"/>
            <w:tcBorders>
              <w:top w:val="single" w:color="auto" w:sz="4" w:space="0"/>
              <w:left w:val="single" w:color="auto" w:sz="4" w:space="0"/>
              <w:bottom w:val="single" w:color="auto" w:sz="4" w:space="0"/>
              <w:right w:val="single" w:color="auto" w:sz="4" w:space="0"/>
            </w:tcBorders>
            <w:vAlign w:val="center"/>
          </w:tcPr>
          <w:p w14:paraId="4D0AAAA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428.06</w:t>
            </w:r>
          </w:p>
        </w:tc>
        <w:tc>
          <w:tcPr>
            <w:tcW w:w="1005" w:type="dxa"/>
            <w:tcBorders>
              <w:top w:val="single" w:color="auto" w:sz="4" w:space="0"/>
              <w:left w:val="single" w:color="auto" w:sz="4" w:space="0"/>
              <w:bottom w:val="single" w:color="auto" w:sz="4" w:space="0"/>
              <w:right w:val="single" w:color="auto" w:sz="4" w:space="0"/>
            </w:tcBorders>
            <w:vAlign w:val="center"/>
          </w:tcPr>
          <w:p w14:paraId="1425948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428.06</w:t>
            </w:r>
          </w:p>
        </w:tc>
        <w:tc>
          <w:tcPr>
            <w:tcW w:w="585" w:type="dxa"/>
            <w:tcBorders>
              <w:top w:val="single" w:color="auto" w:sz="4" w:space="0"/>
              <w:left w:val="single" w:color="auto" w:sz="4" w:space="0"/>
              <w:bottom w:val="single" w:color="auto" w:sz="4" w:space="0"/>
              <w:right w:val="single" w:color="auto" w:sz="4" w:space="0"/>
            </w:tcBorders>
            <w:vAlign w:val="center"/>
          </w:tcPr>
          <w:p w14:paraId="016987B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2742479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6F63671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6FD3D56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1C1DE02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73F7EA0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76D44D74">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77A8607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2010302</w:t>
            </w:r>
          </w:p>
        </w:tc>
        <w:tc>
          <w:tcPr>
            <w:tcW w:w="2115" w:type="dxa"/>
            <w:tcBorders>
              <w:top w:val="single" w:color="auto" w:sz="4" w:space="0"/>
              <w:left w:val="single" w:color="auto" w:sz="4" w:space="0"/>
              <w:bottom w:val="single" w:color="auto" w:sz="4" w:space="0"/>
              <w:right w:val="single" w:color="auto" w:sz="4" w:space="0"/>
            </w:tcBorders>
            <w:vAlign w:val="center"/>
          </w:tcPr>
          <w:p w14:paraId="388CBC6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005" w:type="dxa"/>
            <w:tcBorders>
              <w:top w:val="single" w:color="auto" w:sz="4" w:space="0"/>
              <w:left w:val="single" w:color="auto" w:sz="4" w:space="0"/>
              <w:bottom w:val="single" w:color="auto" w:sz="4" w:space="0"/>
              <w:right w:val="single" w:color="auto" w:sz="4" w:space="0"/>
            </w:tcBorders>
            <w:vAlign w:val="center"/>
          </w:tcPr>
          <w:p w14:paraId="52C29AC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83.00</w:t>
            </w:r>
          </w:p>
        </w:tc>
        <w:tc>
          <w:tcPr>
            <w:tcW w:w="1005" w:type="dxa"/>
            <w:tcBorders>
              <w:top w:val="single" w:color="auto" w:sz="4" w:space="0"/>
              <w:left w:val="single" w:color="auto" w:sz="4" w:space="0"/>
              <w:bottom w:val="single" w:color="auto" w:sz="4" w:space="0"/>
              <w:right w:val="single" w:color="auto" w:sz="4" w:space="0"/>
            </w:tcBorders>
            <w:vAlign w:val="center"/>
          </w:tcPr>
          <w:p w14:paraId="75B95FD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83.00</w:t>
            </w:r>
          </w:p>
        </w:tc>
        <w:tc>
          <w:tcPr>
            <w:tcW w:w="585" w:type="dxa"/>
            <w:tcBorders>
              <w:top w:val="single" w:color="auto" w:sz="4" w:space="0"/>
              <w:left w:val="single" w:color="auto" w:sz="4" w:space="0"/>
              <w:bottom w:val="single" w:color="auto" w:sz="4" w:space="0"/>
              <w:right w:val="single" w:color="auto" w:sz="4" w:space="0"/>
            </w:tcBorders>
            <w:vAlign w:val="center"/>
          </w:tcPr>
          <w:p w14:paraId="61FE715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2B78425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0065F46F">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05CCB00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5A4101E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06928C0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63114FC">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0EB3664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20106</w:t>
            </w:r>
          </w:p>
        </w:tc>
        <w:tc>
          <w:tcPr>
            <w:tcW w:w="2115" w:type="dxa"/>
            <w:tcBorders>
              <w:top w:val="single" w:color="auto" w:sz="4" w:space="0"/>
              <w:left w:val="single" w:color="auto" w:sz="4" w:space="0"/>
              <w:bottom w:val="single" w:color="auto" w:sz="4" w:space="0"/>
              <w:right w:val="single" w:color="auto" w:sz="4" w:space="0"/>
            </w:tcBorders>
            <w:vAlign w:val="center"/>
          </w:tcPr>
          <w:p w14:paraId="5FDF0A9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财政事务</w:t>
            </w:r>
          </w:p>
        </w:tc>
        <w:tc>
          <w:tcPr>
            <w:tcW w:w="1005" w:type="dxa"/>
            <w:tcBorders>
              <w:top w:val="single" w:color="auto" w:sz="4" w:space="0"/>
              <w:left w:val="single" w:color="auto" w:sz="4" w:space="0"/>
              <w:bottom w:val="single" w:color="auto" w:sz="4" w:space="0"/>
              <w:right w:val="single" w:color="auto" w:sz="4" w:space="0"/>
            </w:tcBorders>
            <w:vAlign w:val="center"/>
          </w:tcPr>
          <w:p w14:paraId="2ABDB34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47.95</w:t>
            </w:r>
          </w:p>
        </w:tc>
        <w:tc>
          <w:tcPr>
            <w:tcW w:w="1005" w:type="dxa"/>
            <w:tcBorders>
              <w:top w:val="single" w:color="auto" w:sz="4" w:space="0"/>
              <w:left w:val="single" w:color="auto" w:sz="4" w:space="0"/>
              <w:bottom w:val="single" w:color="auto" w:sz="4" w:space="0"/>
              <w:right w:val="single" w:color="auto" w:sz="4" w:space="0"/>
            </w:tcBorders>
            <w:vAlign w:val="center"/>
          </w:tcPr>
          <w:p w14:paraId="08C4ED4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47.95</w:t>
            </w:r>
          </w:p>
        </w:tc>
        <w:tc>
          <w:tcPr>
            <w:tcW w:w="585" w:type="dxa"/>
            <w:tcBorders>
              <w:top w:val="single" w:color="auto" w:sz="4" w:space="0"/>
              <w:left w:val="single" w:color="auto" w:sz="4" w:space="0"/>
              <w:bottom w:val="single" w:color="auto" w:sz="4" w:space="0"/>
              <w:right w:val="single" w:color="auto" w:sz="4" w:space="0"/>
            </w:tcBorders>
            <w:vAlign w:val="center"/>
          </w:tcPr>
          <w:p w14:paraId="6740555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7F4E8D1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23AE93C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6A6A7D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139DAAD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2B29B23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DE68EA1">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1A62B61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2010601</w:t>
            </w:r>
          </w:p>
        </w:tc>
        <w:tc>
          <w:tcPr>
            <w:tcW w:w="2115" w:type="dxa"/>
            <w:tcBorders>
              <w:top w:val="single" w:color="auto" w:sz="4" w:space="0"/>
              <w:left w:val="single" w:color="auto" w:sz="4" w:space="0"/>
              <w:bottom w:val="single" w:color="auto" w:sz="4" w:space="0"/>
              <w:right w:val="single" w:color="auto" w:sz="4" w:space="0"/>
            </w:tcBorders>
            <w:vAlign w:val="center"/>
          </w:tcPr>
          <w:p w14:paraId="4C97B85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行政运行</w:t>
            </w:r>
          </w:p>
        </w:tc>
        <w:tc>
          <w:tcPr>
            <w:tcW w:w="1005" w:type="dxa"/>
            <w:tcBorders>
              <w:top w:val="single" w:color="auto" w:sz="4" w:space="0"/>
              <w:left w:val="single" w:color="auto" w:sz="4" w:space="0"/>
              <w:bottom w:val="single" w:color="auto" w:sz="4" w:space="0"/>
              <w:right w:val="single" w:color="auto" w:sz="4" w:space="0"/>
            </w:tcBorders>
            <w:vAlign w:val="center"/>
          </w:tcPr>
          <w:p w14:paraId="1A7C96D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41.63</w:t>
            </w:r>
          </w:p>
        </w:tc>
        <w:tc>
          <w:tcPr>
            <w:tcW w:w="1005" w:type="dxa"/>
            <w:tcBorders>
              <w:top w:val="single" w:color="auto" w:sz="4" w:space="0"/>
              <w:left w:val="single" w:color="auto" w:sz="4" w:space="0"/>
              <w:bottom w:val="single" w:color="auto" w:sz="4" w:space="0"/>
              <w:right w:val="single" w:color="auto" w:sz="4" w:space="0"/>
            </w:tcBorders>
            <w:vAlign w:val="center"/>
          </w:tcPr>
          <w:p w14:paraId="3B6B6F7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41.63</w:t>
            </w:r>
          </w:p>
        </w:tc>
        <w:tc>
          <w:tcPr>
            <w:tcW w:w="585" w:type="dxa"/>
            <w:tcBorders>
              <w:top w:val="single" w:color="auto" w:sz="4" w:space="0"/>
              <w:left w:val="single" w:color="auto" w:sz="4" w:space="0"/>
              <w:bottom w:val="single" w:color="auto" w:sz="4" w:space="0"/>
              <w:right w:val="single" w:color="auto" w:sz="4" w:space="0"/>
            </w:tcBorders>
            <w:vAlign w:val="center"/>
          </w:tcPr>
          <w:p w14:paraId="6394C41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258697C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6E6F114F">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10B13B8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5D2DF6E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4879727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5CD50254">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2DAB426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2010699</w:t>
            </w:r>
          </w:p>
        </w:tc>
        <w:tc>
          <w:tcPr>
            <w:tcW w:w="2115" w:type="dxa"/>
            <w:tcBorders>
              <w:top w:val="single" w:color="auto" w:sz="4" w:space="0"/>
              <w:left w:val="single" w:color="auto" w:sz="4" w:space="0"/>
              <w:bottom w:val="single" w:color="auto" w:sz="4" w:space="0"/>
              <w:right w:val="single" w:color="auto" w:sz="4" w:space="0"/>
            </w:tcBorders>
            <w:vAlign w:val="center"/>
          </w:tcPr>
          <w:p w14:paraId="7D514B8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其他财政事务支出</w:t>
            </w:r>
          </w:p>
        </w:tc>
        <w:tc>
          <w:tcPr>
            <w:tcW w:w="1005" w:type="dxa"/>
            <w:tcBorders>
              <w:top w:val="single" w:color="auto" w:sz="4" w:space="0"/>
              <w:left w:val="single" w:color="auto" w:sz="4" w:space="0"/>
              <w:bottom w:val="single" w:color="auto" w:sz="4" w:space="0"/>
              <w:right w:val="single" w:color="auto" w:sz="4" w:space="0"/>
            </w:tcBorders>
            <w:vAlign w:val="center"/>
          </w:tcPr>
          <w:p w14:paraId="0E475D9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6.32</w:t>
            </w:r>
          </w:p>
        </w:tc>
        <w:tc>
          <w:tcPr>
            <w:tcW w:w="1005" w:type="dxa"/>
            <w:tcBorders>
              <w:top w:val="single" w:color="auto" w:sz="4" w:space="0"/>
              <w:left w:val="single" w:color="auto" w:sz="4" w:space="0"/>
              <w:bottom w:val="single" w:color="auto" w:sz="4" w:space="0"/>
              <w:right w:val="single" w:color="auto" w:sz="4" w:space="0"/>
            </w:tcBorders>
            <w:vAlign w:val="center"/>
          </w:tcPr>
          <w:p w14:paraId="58C564C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6.32</w:t>
            </w:r>
          </w:p>
        </w:tc>
        <w:tc>
          <w:tcPr>
            <w:tcW w:w="585" w:type="dxa"/>
            <w:tcBorders>
              <w:top w:val="single" w:color="auto" w:sz="4" w:space="0"/>
              <w:left w:val="single" w:color="auto" w:sz="4" w:space="0"/>
              <w:bottom w:val="single" w:color="auto" w:sz="4" w:space="0"/>
              <w:right w:val="single" w:color="auto" w:sz="4" w:space="0"/>
            </w:tcBorders>
            <w:vAlign w:val="center"/>
          </w:tcPr>
          <w:p w14:paraId="7915520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737B1D0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7B91C2D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26DE783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1411BBC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7E1C4B1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2C20D1B0">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0FEF158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20132</w:t>
            </w:r>
          </w:p>
        </w:tc>
        <w:tc>
          <w:tcPr>
            <w:tcW w:w="2115" w:type="dxa"/>
            <w:tcBorders>
              <w:top w:val="single" w:color="auto" w:sz="4" w:space="0"/>
              <w:left w:val="single" w:color="auto" w:sz="4" w:space="0"/>
              <w:bottom w:val="single" w:color="auto" w:sz="4" w:space="0"/>
              <w:right w:val="single" w:color="auto" w:sz="4" w:space="0"/>
            </w:tcBorders>
            <w:vAlign w:val="center"/>
          </w:tcPr>
          <w:p w14:paraId="28A93C4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组织事务</w:t>
            </w:r>
          </w:p>
        </w:tc>
        <w:tc>
          <w:tcPr>
            <w:tcW w:w="1005" w:type="dxa"/>
            <w:tcBorders>
              <w:top w:val="single" w:color="auto" w:sz="4" w:space="0"/>
              <w:left w:val="single" w:color="auto" w:sz="4" w:space="0"/>
              <w:bottom w:val="single" w:color="auto" w:sz="4" w:space="0"/>
              <w:right w:val="single" w:color="auto" w:sz="4" w:space="0"/>
            </w:tcBorders>
            <w:vAlign w:val="center"/>
          </w:tcPr>
          <w:p w14:paraId="4438A35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1005" w:type="dxa"/>
            <w:tcBorders>
              <w:top w:val="single" w:color="auto" w:sz="4" w:space="0"/>
              <w:left w:val="single" w:color="auto" w:sz="4" w:space="0"/>
              <w:bottom w:val="single" w:color="auto" w:sz="4" w:space="0"/>
              <w:right w:val="single" w:color="auto" w:sz="4" w:space="0"/>
            </w:tcBorders>
            <w:vAlign w:val="center"/>
          </w:tcPr>
          <w:p w14:paraId="41F75D4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585" w:type="dxa"/>
            <w:tcBorders>
              <w:top w:val="single" w:color="auto" w:sz="4" w:space="0"/>
              <w:left w:val="single" w:color="auto" w:sz="4" w:space="0"/>
              <w:bottom w:val="single" w:color="auto" w:sz="4" w:space="0"/>
              <w:right w:val="single" w:color="auto" w:sz="4" w:space="0"/>
            </w:tcBorders>
            <w:vAlign w:val="center"/>
          </w:tcPr>
          <w:p w14:paraId="77C72EF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2C476E3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0AA1C42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4E925E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0C623F7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563B312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47AB237E">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2748BFC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2013204</w:t>
            </w:r>
          </w:p>
        </w:tc>
        <w:tc>
          <w:tcPr>
            <w:tcW w:w="2115" w:type="dxa"/>
            <w:tcBorders>
              <w:top w:val="single" w:color="auto" w:sz="4" w:space="0"/>
              <w:left w:val="single" w:color="auto" w:sz="4" w:space="0"/>
              <w:bottom w:val="single" w:color="auto" w:sz="4" w:space="0"/>
              <w:right w:val="single" w:color="auto" w:sz="4" w:space="0"/>
            </w:tcBorders>
            <w:vAlign w:val="center"/>
          </w:tcPr>
          <w:p w14:paraId="1C84F07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公务员事务</w:t>
            </w:r>
          </w:p>
        </w:tc>
        <w:tc>
          <w:tcPr>
            <w:tcW w:w="1005" w:type="dxa"/>
            <w:tcBorders>
              <w:top w:val="single" w:color="auto" w:sz="4" w:space="0"/>
              <w:left w:val="single" w:color="auto" w:sz="4" w:space="0"/>
              <w:bottom w:val="single" w:color="auto" w:sz="4" w:space="0"/>
              <w:right w:val="single" w:color="auto" w:sz="4" w:space="0"/>
            </w:tcBorders>
            <w:vAlign w:val="center"/>
          </w:tcPr>
          <w:p w14:paraId="19A9C7A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1005" w:type="dxa"/>
            <w:tcBorders>
              <w:top w:val="single" w:color="auto" w:sz="4" w:space="0"/>
              <w:left w:val="single" w:color="auto" w:sz="4" w:space="0"/>
              <w:bottom w:val="single" w:color="auto" w:sz="4" w:space="0"/>
              <w:right w:val="single" w:color="auto" w:sz="4" w:space="0"/>
            </w:tcBorders>
            <w:vAlign w:val="center"/>
          </w:tcPr>
          <w:p w14:paraId="37351D1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585" w:type="dxa"/>
            <w:tcBorders>
              <w:top w:val="single" w:color="auto" w:sz="4" w:space="0"/>
              <w:left w:val="single" w:color="auto" w:sz="4" w:space="0"/>
              <w:bottom w:val="single" w:color="auto" w:sz="4" w:space="0"/>
              <w:right w:val="single" w:color="auto" w:sz="4" w:space="0"/>
            </w:tcBorders>
            <w:vAlign w:val="center"/>
          </w:tcPr>
          <w:p w14:paraId="7C2A3DE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5E67B06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74297F2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E6FF03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4FF0C99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45515E2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8B9E997">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6470CF4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204</w:t>
            </w:r>
          </w:p>
        </w:tc>
        <w:tc>
          <w:tcPr>
            <w:tcW w:w="2115" w:type="dxa"/>
            <w:tcBorders>
              <w:top w:val="single" w:color="auto" w:sz="4" w:space="0"/>
              <w:left w:val="single" w:color="auto" w:sz="4" w:space="0"/>
              <w:bottom w:val="single" w:color="auto" w:sz="4" w:space="0"/>
              <w:right w:val="single" w:color="auto" w:sz="4" w:space="0"/>
            </w:tcBorders>
            <w:vAlign w:val="center"/>
          </w:tcPr>
          <w:p w14:paraId="6C518FC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公共安全支出</w:t>
            </w:r>
          </w:p>
        </w:tc>
        <w:tc>
          <w:tcPr>
            <w:tcW w:w="1005" w:type="dxa"/>
            <w:tcBorders>
              <w:top w:val="single" w:color="auto" w:sz="4" w:space="0"/>
              <w:left w:val="single" w:color="auto" w:sz="4" w:space="0"/>
              <w:bottom w:val="single" w:color="auto" w:sz="4" w:space="0"/>
              <w:right w:val="single" w:color="auto" w:sz="4" w:space="0"/>
            </w:tcBorders>
            <w:vAlign w:val="center"/>
          </w:tcPr>
          <w:p w14:paraId="3E94AE5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1005" w:type="dxa"/>
            <w:tcBorders>
              <w:top w:val="single" w:color="auto" w:sz="4" w:space="0"/>
              <w:left w:val="single" w:color="auto" w:sz="4" w:space="0"/>
              <w:bottom w:val="single" w:color="auto" w:sz="4" w:space="0"/>
              <w:right w:val="single" w:color="auto" w:sz="4" w:space="0"/>
            </w:tcBorders>
            <w:vAlign w:val="center"/>
          </w:tcPr>
          <w:p w14:paraId="4333E03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585" w:type="dxa"/>
            <w:tcBorders>
              <w:top w:val="single" w:color="auto" w:sz="4" w:space="0"/>
              <w:left w:val="single" w:color="auto" w:sz="4" w:space="0"/>
              <w:bottom w:val="single" w:color="auto" w:sz="4" w:space="0"/>
              <w:right w:val="single" w:color="auto" w:sz="4" w:space="0"/>
            </w:tcBorders>
            <w:vAlign w:val="center"/>
          </w:tcPr>
          <w:p w14:paraId="2C65F3B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1134670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6BB95C2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2DB1675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22D55CC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0E8378D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59CEC2AF">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68ECF8A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20406</w:t>
            </w:r>
          </w:p>
        </w:tc>
        <w:tc>
          <w:tcPr>
            <w:tcW w:w="2115" w:type="dxa"/>
            <w:tcBorders>
              <w:top w:val="single" w:color="auto" w:sz="4" w:space="0"/>
              <w:left w:val="single" w:color="auto" w:sz="4" w:space="0"/>
              <w:bottom w:val="single" w:color="auto" w:sz="4" w:space="0"/>
              <w:right w:val="single" w:color="auto" w:sz="4" w:space="0"/>
            </w:tcBorders>
            <w:vAlign w:val="center"/>
          </w:tcPr>
          <w:p w14:paraId="6272AB93">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司法</w:t>
            </w:r>
          </w:p>
        </w:tc>
        <w:tc>
          <w:tcPr>
            <w:tcW w:w="1005" w:type="dxa"/>
            <w:tcBorders>
              <w:top w:val="single" w:color="auto" w:sz="4" w:space="0"/>
              <w:left w:val="single" w:color="auto" w:sz="4" w:space="0"/>
              <w:bottom w:val="single" w:color="auto" w:sz="4" w:space="0"/>
              <w:right w:val="single" w:color="auto" w:sz="4" w:space="0"/>
            </w:tcBorders>
            <w:vAlign w:val="center"/>
          </w:tcPr>
          <w:p w14:paraId="4A3BC67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1005" w:type="dxa"/>
            <w:tcBorders>
              <w:top w:val="single" w:color="auto" w:sz="4" w:space="0"/>
              <w:left w:val="single" w:color="auto" w:sz="4" w:space="0"/>
              <w:bottom w:val="single" w:color="auto" w:sz="4" w:space="0"/>
              <w:right w:val="single" w:color="auto" w:sz="4" w:space="0"/>
            </w:tcBorders>
            <w:vAlign w:val="center"/>
          </w:tcPr>
          <w:p w14:paraId="6CF9855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585" w:type="dxa"/>
            <w:tcBorders>
              <w:top w:val="single" w:color="auto" w:sz="4" w:space="0"/>
              <w:left w:val="single" w:color="auto" w:sz="4" w:space="0"/>
              <w:bottom w:val="single" w:color="auto" w:sz="4" w:space="0"/>
              <w:right w:val="single" w:color="auto" w:sz="4" w:space="0"/>
            </w:tcBorders>
            <w:vAlign w:val="center"/>
          </w:tcPr>
          <w:p w14:paraId="6397954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341C152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3C9BCA0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1B23E24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119543B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67BE325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34DE01D1">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1234577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2040604</w:t>
            </w:r>
          </w:p>
        </w:tc>
        <w:tc>
          <w:tcPr>
            <w:tcW w:w="2115" w:type="dxa"/>
            <w:tcBorders>
              <w:top w:val="single" w:color="auto" w:sz="4" w:space="0"/>
              <w:left w:val="single" w:color="auto" w:sz="4" w:space="0"/>
              <w:bottom w:val="single" w:color="auto" w:sz="4" w:space="0"/>
              <w:right w:val="single" w:color="auto" w:sz="4" w:space="0"/>
            </w:tcBorders>
            <w:vAlign w:val="center"/>
          </w:tcPr>
          <w:p w14:paraId="1BB4AFA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基层司法业务</w:t>
            </w:r>
          </w:p>
        </w:tc>
        <w:tc>
          <w:tcPr>
            <w:tcW w:w="1005" w:type="dxa"/>
            <w:tcBorders>
              <w:top w:val="single" w:color="auto" w:sz="4" w:space="0"/>
              <w:left w:val="single" w:color="auto" w:sz="4" w:space="0"/>
              <w:bottom w:val="single" w:color="auto" w:sz="4" w:space="0"/>
              <w:right w:val="single" w:color="auto" w:sz="4" w:space="0"/>
            </w:tcBorders>
            <w:vAlign w:val="center"/>
          </w:tcPr>
          <w:p w14:paraId="50A99BC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1005" w:type="dxa"/>
            <w:tcBorders>
              <w:top w:val="single" w:color="auto" w:sz="4" w:space="0"/>
              <w:left w:val="single" w:color="auto" w:sz="4" w:space="0"/>
              <w:bottom w:val="single" w:color="auto" w:sz="4" w:space="0"/>
              <w:right w:val="single" w:color="auto" w:sz="4" w:space="0"/>
            </w:tcBorders>
            <w:vAlign w:val="center"/>
          </w:tcPr>
          <w:p w14:paraId="0B94B1F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585" w:type="dxa"/>
            <w:tcBorders>
              <w:top w:val="single" w:color="auto" w:sz="4" w:space="0"/>
              <w:left w:val="single" w:color="auto" w:sz="4" w:space="0"/>
              <w:bottom w:val="single" w:color="auto" w:sz="4" w:space="0"/>
              <w:right w:val="single" w:color="auto" w:sz="4" w:space="0"/>
            </w:tcBorders>
            <w:vAlign w:val="center"/>
          </w:tcPr>
          <w:p w14:paraId="006D376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0EE039D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0DB89F0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24FE890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7AB6155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3AB00D3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0D42A21D">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246F52B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205</w:t>
            </w:r>
          </w:p>
        </w:tc>
        <w:tc>
          <w:tcPr>
            <w:tcW w:w="2115" w:type="dxa"/>
            <w:tcBorders>
              <w:top w:val="single" w:color="auto" w:sz="4" w:space="0"/>
              <w:left w:val="single" w:color="auto" w:sz="4" w:space="0"/>
              <w:bottom w:val="single" w:color="auto" w:sz="4" w:space="0"/>
              <w:right w:val="single" w:color="auto" w:sz="4" w:space="0"/>
            </w:tcBorders>
            <w:vAlign w:val="center"/>
          </w:tcPr>
          <w:p w14:paraId="015B09D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教育支出</w:t>
            </w:r>
          </w:p>
        </w:tc>
        <w:tc>
          <w:tcPr>
            <w:tcW w:w="1005" w:type="dxa"/>
            <w:tcBorders>
              <w:top w:val="single" w:color="auto" w:sz="4" w:space="0"/>
              <w:left w:val="single" w:color="auto" w:sz="4" w:space="0"/>
              <w:bottom w:val="single" w:color="auto" w:sz="4" w:space="0"/>
              <w:right w:val="single" w:color="auto" w:sz="4" w:space="0"/>
            </w:tcBorders>
            <w:vAlign w:val="center"/>
          </w:tcPr>
          <w:p w14:paraId="6CA6EC9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1005" w:type="dxa"/>
            <w:tcBorders>
              <w:top w:val="single" w:color="auto" w:sz="4" w:space="0"/>
              <w:left w:val="single" w:color="auto" w:sz="4" w:space="0"/>
              <w:bottom w:val="single" w:color="auto" w:sz="4" w:space="0"/>
              <w:right w:val="single" w:color="auto" w:sz="4" w:space="0"/>
            </w:tcBorders>
            <w:vAlign w:val="center"/>
          </w:tcPr>
          <w:p w14:paraId="18BB381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585" w:type="dxa"/>
            <w:tcBorders>
              <w:top w:val="single" w:color="auto" w:sz="4" w:space="0"/>
              <w:left w:val="single" w:color="auto" w:sz="4" w:space="0"/>
              <w:bottom w:val="single" w:color="auto" w:sz="4" w:space="0"/>
              <w:right w:val="single" w:color="auto" w:sz="4" w:space="0"/>
            </w:tcBorders>
            <w:vAlign w:val="center"/>
          </w:tcPr>
          <w:p w14:paraId="27632F7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1A7E9C6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0888DF7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4257AA7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03F2A56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313B9DF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CA295B1">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249B333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20502</w:t>
            </w:r>
          </w:p>
        </w:tc>
        <w:tc>
          <w:tcPr>
            <w:tcW w:w="2115" w:type="dxa"/>
            <w:tcBorders>
              <w:top w:val="single" w:color="auto" w:sz="4" w:space="0"/>
              <w:left w:val="single" w:color="auto" w:sz="4" w:space="0"/>
              <w:bottom w:val="single" w:color="auto" w:sz="4" w:space="0"/>
              <w:right w:val="single" w:color="auto" w:sz="4" w:space="0"/>
            </w:tcBorders>
            <w:vAlign w:val="center"/>
          </w:tcPr>
          <w:p w14:paraId="4BA58CF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普通教育</w:t>
            </w:r>
          </w:p>
        </w:tc>
        <w:tc>
          <w:tcPr>
            <w:tcW w:w="1005" w:type="dxa"/>
            <w:tcBorders>
              <w:top w:val="single" w:color="auto" w:sz="4" w:space="0"/>
              <w:left w:val="single" w:color="auto" w:sz="4" w:space="0"/>
              <w:bottom w:val="single" w:color="auto" w:sz="4" w:space="0"/>
              <w:right w:val="single" w:color="auto" w:sz="4" w:space="0"/>
            </w:tcBorders>
            <w:vAlign w:val="center"/>
          </w:tcPr>
          <w:p w14:paraId="0ABE132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1005" w:type="dxa"/>
            <w:tcBorders>
              <w:top w:val="single" w:color="auto" w:sz="4" w:space="0"/>
              <w:left w:val="single" w:color="auto" w:sz="4" w:space="0"/>
              <w:bottom w:val="single" w:color="auto" w:sz="4" w:space="0"/>
              <w:right w:val="single" w:color="auto" w:sz="4" w:space="0"/>
            </w:tcBorders>
            <w:vAlign w:val="center"/>
          </w:tcPr>
          <w:p w14:paraId="6F52B07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585" w:type="dxa"/>
            <w:tcBorders>
              <w:top w:val="single" w:color="auto" w:sz="4" w:space="0"/>
              <w:left w:val="single" w:color="auto" w:sz="4" w:space="0"/>
              <w:bottom w:val="single" w:color="auto" w:sz="4" w:space="0"/>
              <w:right w:val="single" w:color="auto" w:sz="4" w:space="0"/>
            </w:tcBorders>
            <w:vAlign w:val="center"/>
          </w:tcPr>
          <w:p w14:paraId="65AF9CA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44558CE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09127A7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7B77AE8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2A44FCB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2B21F8C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1764297D">
        <w:tblPrEx>
          <w:tblCellMar>
            <w:top w:w="15" w:type="dxa"/>
            <w:left w:w="15" w:type="dxa"/>
            <w:bottom w:w="15" w:type="dxa"/>
            <w:right w:w="15" w:type="dxa"/>
          </w:tblCellMar>
        </w:tblPrEx>
        <w:trPr>
          <w:trHeight w:val="439" w:hRule="atLeast"/>
        </w:trPr>
        <w:tc>
          <w:tcPr>
            <w:tcW w:w="957" w:type="dxa"/>
            <w:tcBorders>
              <w:top w:val="single" w:color="auto" w:sz="4" w:space="0"/>
              <w:left w:val="single" w:color="auto" w:sz="4" w:space="0"/>
              <w:bottom w:val="single" w:color="auto" w:sz="4" w:space="0"/>
              <w:right w:val="single" w:color="auto" w:sz="4" w:space="0"/>
            </w:tcBorders>
            <w:vAlign w:val="center"/>
          </w:tcPr>
          <w:p w14:paraId="235BA3A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2050299</w:t>
            </w:r>
          </w:p>
        </w:tc>
        <w:tc>
          <w:tcPr>
            <w:tcW w:w="2115" w:type="dxa"/>
            <w:tcBorders>
              <w:top w:val="single" w:color="auto" w:sz="4" w:space="0"/>
              <w:left w:val="single" w:color="auto" w:sz="4" w:space="0"/>
              <w:bottom w:val="single" w:color="auto" w:sz="4" w:space="0"/>
              <w:right w:val="single" w:color="auto" w:sz="4" w:space="0"/>
            </w:tcBorders>
            <w:vAlign w:val="center"/>
          </w:tcPr>
          <w:p w14:paraId="7EE94AE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其他普通教育支出</w:t>
            </w:r>
          </w:p>
        </w:tc>
        <w:tc>
          <w:tcPr>
            <w:tcW w:w="1005" w:type="dxa"/>
            <w:tcBorders>
              <w:top w:val="single" w:color="auto" w:sz="4" w:space="0"/>
              <w:left w:val="single" w:color="auto" w:sz="4" w:space="0"/>
              <w:bottom w:val="single" w:color="auto" w:sz="4" w:space="0"/>
              <w:right w:val="single" w:color="auto" w:sz="4" w:space="0"/>
            </w:tcBorders>
            <w:vAlign w:val="center"/>
          </w:tcPr>
          <w:p w14:paraId="6A67051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1005" w:type="dxa"/>
            <w:tcBorders>
              <w:top w:val="single" w:color="auto" w:sz="4" w:space="0"/>
              <w:left w:val="single" w:color="auto" w:sz="4" w:space="0"/>
              <w:bottom w:val="single" w:color="auto" w:sz="4" w:space="0"/>
              <w:right w:val="single" w:color="auto" w:sz="4" w:space="0"/>
            </w:tcBorders>
            <w:vAlign w:val="center"/>
          </w:tcPr>
          <w:p w14:paraId="2009365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585" w:type="dxa"/>
            <w:tcBorders>
              <w:top w:val="single" w:color="auto" w:sz="4" w:space="0"/>
              <w:left w:val="single" w:color="auto" w:sz="4" w:space="0"/>
              <w:bottom w:val="single" w:color="auto" w:sz="4" w:space="0"/>
              <w:right w:val="single" w:color="auto" w:sz="4" w:space="0"/>
            </w:tcBorders>
            <w:vAlign w:val="center"/>
          </w:tcPr>
          <w:p w14:paraId="75C2033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68C0F4E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6E200B8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2B73550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3012D4F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1A91AF9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651FF1B">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4B83EBE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w:t>
            </w:r>
          </w:p>
        </w:tc>
        <w:tc>
          <w:tcPr>
            <w:tcW w:w="2115" w:type="dxa"/>
            <w:tcBorders>
              <w:top w:val="single" w:color="auto" w:sz="4" w:space="0"/>
              <w:left w:val="single" w:color="auto" w:sz="4" w:space="0"/>
              <w:bottom w:val="single" w:color="auto" w:sz="4" w:space="0"/>
              <w:right w:val="single" w:color="auto" w:sz="4" w:space="0"/>
            </w:tcBorders>
            <w:vAlign w:val="center"/>
          </w:tcPr>
          <w:p w14:paraId="70D9A0D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文化旅游体育与传媒支出</w:t>
            </w:r>
          </w:p>
        </w:tc>
        <w:tc>
          <w:tcPr>
            <w:tcW w:w="1005" w:type="dxa"/>
            <w:tcBorders>
              <w:top w:val="single" w:color="auto" w:sz="4" w:space="0"/>
              <w:left w:val="single" w:color="auto" w:sz="4" w:space="0"/>
              <w:bottom w:val="single" w:color="auto" w:sz="4" w:space="0"/>
              <w:right w:val="single" w:color="auto" w:sz="4" w:space="0"/>
            </w:tcBorders>
            <w:vAlign w:val="center"/>
          </w:tcPr>
          <w:p w14:paraId="18CA740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05" w:type="dxa"/>
            <w:tcBorders>
              <w:top w:val="single" w:color="auto" w:sz="4" w:space="0"/>
              <w:left w:val="single" w:color="auto" w:sz="4" w:space="0"/>
              <w:bottom w:val="single" w:color="auto" w:sz="4" w:space="0"/>
              <w:right w:val="single" w:color="auto" w:sz="4" w:space="0"/>
            </w:tcBorders>
            <w:vAlign w:val="center"/>
          </w:tcPr>
          <w:p w14:paraId="65D7FC4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585" w:type="dxa"/>
            <w:tcBorders>
              <w:top w:val="single" w:color="auto" w:sz="4" w:space="0"/>
              <w:left w:val="single" w:color="auto" w:sz="4" w:space="0"/>
              <w:bottom w:val="single" w:color="auto" w:sz="4" w:space="0"/>
              <w:right w:val="single" w:color="auto" w:sz="4" w:space="0"/>
            </w:tcBorders>
            <w:vAlign w:val="center"/>
          </w:tcPr>
          <w:p w14:paraId="3922261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03EB12C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240ED0F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F053F1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5A6DE31F">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0394E3B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03C1CF02">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6F56766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20701</w:t>
            </w:r>
          </w:p>
        </w:tc>
        <w:tc>
          <w:tcPr>
            <w:tcW w:w="2115" w:type="dxa"/>
            <w:tcBorders>
              <w:top w:val="single" w:color="auto" w:sz="4" w:space="0"/>
              <w:left w:val="single" w:color="auto" w:sz="4" w:space="0"/>
              <w:bottom w:val="single" w:color="auto" w:sz="4" w:space="0"/>
              <w:right w:val="single" w:color="auto" w:sz="4" w:space="0"/>
            </w:tcBorders>
            <w:vAlign w:val="center"/>
          </w:tcPr>
          <w:p w14:paraId="05AB4EB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文化和旅游</w:t>
            </w:r>
          </w:p>
        </w:tc>
        <w:tc>
          <w:tcPr>
            <w:tcW w:w="1005" w:type="dxa"/>
            <w:tcBorders>
              <w:top w:val="single" w:color="auto" w:sz="4" w:space="0"/>
              <w:left w:val="single" w:color="auto" w:sz="4" w:space="0"/>
              <w:bottom w:val="single" w:color="auto" w:sz="4" w:space="0"/>
              <w:right w:val="single" w:color="auto" w:sz="4" w:space="0"/>
            </w:tcBorders>
            <w:vAlign w:val="center"/>
          </w:tcPr>
          <w:p w14:paraId="6BC0CCA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05" w:type="dxa"/>
            <w:tcBorders>
              <w:top w:val="single" w:color="auto" w:sz="4" w:space="0"/>
              <w:left w:val="single" w:color="auto" w:sz="4" w:space="0"/>
              <w:bottom w:val="single" w:color="auto" w:sz="4" w:space="0"/>
              <w:right w:val="single" w:color="auto" w:sz="4" w:space="0"/>
            </w:tcBorders>
            <w:vAlign w:val="center"/>
          </w:tcPr>
          <w:p w14:paraId="576BCF1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585" w:type="dxa"/>
            <w:tcBorders>
              <w:top w:val="single" w:color="auto" w:sz="4" w:space="0"/>
              <w:left w:val="single" w:color="auto" w:sz="4" w:space="0"/>
              <w:bottom w:val="single" w:color="auto" w:sz="4" w:space="0"/>
              <w:right w:val="single" w:color="auto" w:sz="4" w:space="0"/>
            </w:tcBorders>
            <w:vAlign w:val="center"/>
          </w:tcPr>
          <w:p w14:paraId="6EF7C04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4E78511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5EDA7FC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64D7D2E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511A12D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2F6F518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4B9E915C">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22FDA3D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2070109</w:t>
            </w:r>
          </w:p>
        </w:tc>
        <w:tc>
          <w:tcPr>
            <w:tcW w:w="2115" w:type="dxa"/>
            <w:tcBorders>
              <w:top w:val="single" w:color="auto" w:sz="4" w:space="0"/>
              <w:left w:val="single" w:color="auto" w:sz="4" w:space="0"/>
              <w:bottom w:val="single" w:color="auto" w:sz="4" w:space="0"/>
              <w:right w:val="single" w:color="auto" w:sz="4" w:space="0"/>
            </w:tcBorders>
            <w:vAlign w:val="center"/>
          </w:tcPr>
          <w:p w14:paraId="1CF7033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群众文化</w:t>
            </w:r>
          </w:p>
        </w:tc>
        <w:tc>
          <w:tcPr>
            <w:tcW w:w="1005" w:type="dxa"/>
            <w:tcBorders>
              <w:top w:val="single" w:color="auto" w:sz="4" w:space="0"/>
              <w:left w:val="single" w:color="auto" w:sz="4" w:space="0"/>
              <w:bottom w:val="single" w:color="auto" w:sz="4" w:space="0"/>
              <w:right w:val="single" w:color="auto" w:sz="4" w:space="0"/>
            </w:tcBorders>
            <w:vAlign w:val="center"/>
          </w:tcPr>
          <w:p w14:paraId="14D9132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05" w:type="dxa"/>
            <w:tcBorders>
              <w:top w:val="single" w:color="auto" w:sz="4" w:space="0"/>
              <w:left w:val="single" w:color="auto" w:sz="4" w:space="0"/>
              <w:bottom w:val="single" w:color="auto" w:sz="4" w:space="0"/>
              <w:right w:val="single" w:color="auto" w:sz="4" w:space="0"/>
            </w:tcBorders>
            <w:vAlign w:val="center"/>
          </w:tcPr>
          <w:p w14:paraId="3DC3C9C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585" w:type="dxa"/>
            <w:tcBorders>
              <w:top w:val="single" w:color="auto" w:sz="4" w:space="0"/>
              <w:left w:val="single" w:color="auto" w:sz="4" w:space="0"/>
              <w:bottom w:val="single" w:color="auto" w:sz="4" w:space="0"/>
              <w:right w:val="single" w:color="auto" w:sz="4" w:space="0"/>
            </w:tcBorders>
            <w:vAlign w:val="center"/>
          </w:tcPr>
          <w:p w14:paraId="2E7D291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1CB9FA2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40B9117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59189C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65CC33D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63420A0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06F96312">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63C66AF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w:t>
            </w:r>
          </w:p>
        </w:tc>
        <w:tc>
          <w:tcPr>
            <w:tcW w:w="2115" w:type="dxa"/>
            <w:tcBorders>
              <w:top w:val="single" w:color="auto" w:sz="4" w:space="0"/>
              <w:left w:val="single" w:color="auto" w:sz="4" w:space="0"/>
              <w:bottom w:val="single" w:color="auto" w:sz="4" w:space="0"/>
              <w:right w:val="single" w:color="auto" w:sz="4" w:space="0"/>
            </w:tcBorders>
            <w:vAlign w:val="center"/>
          </w:tcPr>
          <w:p w14:paraId="6BFE375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社会保障和就业支出</w:t>
            </w:r>
          </w:p>
        </w:tc>
        <w:tc>
          <w:tcPr>
            <w:tcW w:w="1005" w:type="dxa"/>
            <w:tcBorders>
              <w:top w:val="single" w:color="auto" w:sz="4" w:space="0"/>
              <w:left w:val="single" w:color="auto" w:sz="4" w:space="0"/>
              <w:bottom w:val="single" w:color="auto" w:sz="4" w:space="0"/>
              <w:right w:val="single" w:color="auto" w:sz="4" w:space="0"/>
            </w:tcBorders>
            <w:vAlign w:val="center"/>
          </w:tcPr>
          <w:p w14:paraId="54BA51C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70.84</w:t>
            </w:r>
          </w:p>
        </w:tc>
        <w:tc>
          <w:tcPr>
            <w:tcW w:w="1005" w:type="dxa"/>
            <w:tcBorders>
              <w:top w:val="single" w:color="auto" w:sz="4" w:space="0"/>
              <w:left w:val="single" w:color="auto" w:sz="4" w:space="0"/>
              <w:bottom w:val="single" w:color="auto" w:sz="4" w:space="0"/>
              <w:right w:val="single" w:color="auto" w:sz="4" w:space="0"/>
            </w:tcBorders>
            <w:vAlign w:val="center"/>
          </w:tcPr>
          <w:p w14:paraId="16739E4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70.84</w:t>
            </w:r>
          </w:p>
        </w:tc>
        <w:tc>
          <w:tcPr>
            <w:tcW w:w="585" w:type="dxa"/>
            <w:tcBorders>
              <w:top w:val="single" w:color="auto" w:sz="4" w:space="0"/>
              <w:left w:val="single" w:color="auto" w:sz="4" w:space="0"/>
              <w:bottom w:val="single" w:color="auto" w:sz="4" w:space="0"/>
              <w:right w:val="single" w:color="auto" w:sz="4" w:space="0"/>
            </w:tcBorders>
            <w:vAlign w:val="center"/>
          </w:tcPr>
          <w:p w14:paraId="1BA17E9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35B293A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2E6A4C2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243FE61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4E9E9AB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718E3E6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11678DE1">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0AD207C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w:t>
            </w:r>
          </w:p>
        </w:tc>
        <w:tc>
          <w:tcPr>
            <w:tcW w:w="2115" w:type="dxa"/>
            <w:tcBorders>
              <w:top w:val="single" w:color="auto" w:sz="4" w:space="0"/>
              <w:left w:val="single" w:color="auto" w:sz="4" w:space="0"/>
              <w:bottom w:val="single" w:color="auto" w:sz="4" w:space="0"/>
              <w:right w:val="single" w:color="auto" w:sz="4" w:space="0"/>
            </w:tcBorders>
            <w:vAlign w:val="center"/>
          </w:tcPr>
          <w:p w14:paraId="2D4920E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行政事业单位离退休</w:t>
            </w:r>
          </w:p>
        </w:tc>
        <w:tc>
          <w:tcPr>
            <w:tcW w:w="1005" w:type="dxa"/>
            <w:tcBorders>
              <w:top w:val="single" w:color="auto" w:sz="4" w:space="0"/>
              <w:left w:val="single" w:color="auto" w:sz="4" w:space="0"/>
              <w:bottom w:val="single" w:color="auto" w:sz="4" w:space="0"/>
              <w:right w:val="single" w:color="auto" w:sz="4" w:space="0"/>
            </w:tcBorders>
            <w:vAlign w:val="center"/>
          </w:tcPr>
          <w:p w14:paraId="5D7E792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1005" w:type="dxa"/>
            <w:tcBorders>
              <w:top w:val="single" w:color="auto" w:sz="4" w:space="0"/>
              <w:left w:val="single" w:color="auto" w:sz="4" w:space="0"/>
              <w:bottom w:val="single" w:color="auto" w:sz="4" w:space="0"/>
              <w:right w:val="single" w:color="auto" w:sz="4" w:space="0"/>
            </w:tcBorders>
            <w:vAlign w:val="center"/>
          </w:tcPr>
          <w:p w14:paraId="690A36B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585" w:type="dxa"/>
            <w:tcBorders>
              <w:top w:val="single" w:color="auto" w:sz="4" w:space="0"/>
              <w:left w:val="single" w:color="auto" w:sz="4" w:space="0"/>
              <w:bottom w:val="single" w:color="auto" w:sz="4" w:space="0"/>
              <w:right w:val="single" w:color="auto" w:sz="4" w:space="0"/>
            </w:tcBorders>
            <w:vAlign w:val="center"/>
          </w:tcPr>
          <w:p w14:paraId="71A4892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257E6D7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43A2FEE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6257E85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7A0FB64F">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333C392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2DECBC5B">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0C0E9DC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2080505</w:t>
            </w:r>
          </w:p>
        </w:tc>
        <w:tc>
          <w:tcPr>
            <w:tcW w:w="2115" w:type="dxa"/>
            <w:tcBorders>
              <w:top w:val="single" w:color="auto" w:sz="4" w:space="0"/>
              <w:left w:val="single" w:color="auto" w:sz="4" w:space="0"/>
              <w:bottom w:val="single" w:color="auto" w:sz="4" w:space="0"/>
              <w:right w:val="single" w:color="auto" w:sz="4" w:space="0"/>
            </w:tcBorders>
            <w:vAlign w:val="center"/>
          </w:tcPr>
          <w:p w14:paraId="2EF53C9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005" w:type="dxa"/>
            <w:tcBorders>
              <w:top w:val="single" w:color="auto" w:sz="4" w:space="0"/>
              <w:left w:val="single" w:color="auto" w:sz="4" w:space="0"/>
              <w:bottom w:val="single" w:color="auto" w:sz="4" w:space="0"/>
              <w:right w:val="single" w:color="auto" w:sz="4" w:space="0"/>
            </w:tcBorders>
            <w:vAlign w:val="center"/>
          </w:tcPr>
          <w:p w14:paraId="35ED2E5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1005" w:type="dxa"/>
            <w:tcBorders>
              <w:top w:val="single" w:color="auto" w:sz="4" w:space="0"/>
              <w:left w:val="single" w:color="auto" w:sz="4" w:space="0"/>
              <w:bottom w:val="single" w:color="auto" w:sz="4" w:space="0"/>
              <w:right w:val="single" w:color="auto" w:sz="4" w:space="0"/>
            </w:tcBorders>
            <w:vAlign w:val="center"/>
          </w:tcPr>
          <w:p w14:paraId="4B686A9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585" w:type="dxa"/>
            <w:tcBorders>
              <w:top w:val="single" w:color="auto" w:sz="4" w:space="0"/>
              <w:left w:val="single" w:color="auto" w:sz="4" w:space="0"/>
              <w:bottom w:val="single" w:color="auto" w:sz="4" w:space="0"/>
              <w:right w:val="single" w:color="auto" w:sz="4" w:space="0"/>
            </w:tcBorders>
            <w:vAlign w:val="center"/>
          </w:tcPr>
          <w:p w14:paraId="28E2048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7CF32F1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38A7252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1796D9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699F3B0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452B453F">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7440B379">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4F517D5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20808</w:t>
            </w:r>
          </w:p>
        </w:tc>
        <w:tc>
          <w:tcPr>
            <w:tcW w:w="2115" w:type="dxa"/>
            <w:tcBorders>
              <w:top w:val="single" w:color="auto" w:sz="4" w:space="0"/>
              <w:left w:val="single" w:color="auto" w:sz="4" w:space="0"/>
              <w:bottom w:val="single" w:color="auto" w:sz="4" w:space="0"/>
              <w:right w:val="single" w:color="auto" w:sz="4" w:space="0"/>
            </w:tcBorders>
            <w:vAlign w:val="center"/>
          </w:tcPr>
          <w:p w14:paraId="4BAE6FA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抚恤</w:t>
            </w:r>
          </w:p>
        </w:tc>
        <w:tc>
          <w:tcPr>
            <w:tcW w:w="1005" w:type="dxa"/>
            <w:tcBorders>
              <w:top w:val="single" w:color="auto" w:sz="4" w:space="0"/>
              <w:left w:val="single" w:color="auto" w:sz="4" w:space="0"/>
              <w:bottom w:val="single" w:color="auto" w:sz="4" w:space="0"/>
              <w:right w:val="single" w:color="auto" w:sz="4" w:space="0"/>
            </w:tcBorders>
            <w:vAlign w:val="center"/>
          </w:tcPr>
          <w:p w14:paraId="75540D0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1005" w:type="dxa"/>
            <w:tcBorders>
              <w:top w:val="single" w:color="auto" w:sz="4" w:space="0"/>
              <w:left w:val="single" w:color="auto" w:sz="4" w:space="0"/>
              <w:bottom w:val="single" w:color="auto" w:sz="4" w:space="0"/>
              <w:right w:val="single" w:color="auto" w:sz="4" w:space="0"/>
            </w:tcBorders>
            <w:vAlign w:val="center"/>
          </w:tcPr>
          <w:p w14:paraId="52163F4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585" w:type="dxa"/>
            <w:tcBorders>
              <w:top w:val="single" w:color="auto" w:sz="4" w:space="0"/>
              <w:left w:val="single" w:color="auto" w:sz="4" w:space="0"/>
              <w:bottom w:val="single" w:color="auto" w:sz="4" w:space="0"/>
              <w:right w:val="single" w:color="auto" w:sz="4" w:space="0"/>
            </w:tcBorders>
            <w:vAlign w:val="center"/>
          </w:tcPr>
          <w:p w14:paraId="16DE970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6E0CE35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1E130A5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0A8811C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731A486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05F9933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4BD74525">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549F2EE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2080801</w:t>
            </w:r>
          </w:p>
        </w:tc>
        <w:tc>
          <w:tcPr>
            <w:tcW w:w="2115" w:type="dxa"/>
            <w:tcBorders>
              <w:top w:val="single" w:color="auto" w:sz="4" w:space="0"/>
              <w:left w:val="single" w:color="auto" w:sz="4" w:space="0"/>
              <w:bottom w:val="single" w:color="auto" w:sz="4" w:space="0"/>
              <w:right w:val="single" w:color="auto" w:sz="4" w:space="0"/>
            </w:tcBorders>
            <w:vAlign w:val="center"/>
          </w:tcPr>
          <w:p w14:paraId="04F7709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死亡抚恤</w:t>
            </w:r>
          </w:p>
        </w:tc>
        <w:tc>
          <w:tcPr>
            <w:tcW w:w="1005" w:type="dxa"/>
            <w:tcBorders>
              <w:top w:val="single" w:color="auto" w:sz="4" w:space="0"/>
              <w:left w:val="single" w:color="auto" w:sz="4" w:space="0"/>
              <w:bottom w:val="single" w:color="auto" w:sz="4" w:space="0"/>
              <w:right w:val="single" w:color="auto" w:sz="4" w:space="0"/>
            </w:tcBorders>
            <w:vAlign w:val="center"/>
          </w:tcPr>
          <w:p w14:paraId="706E716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1005" w:type="dxa"/>
            <w:tcBorders>
              <w:top w:val="single" w:color="auto" w:sz="4" w:space="0"/>
              <w:left w:val="single" w:color="auto" w:sz="4" w:space="0"/>
              <w:bottom w:val="single" w:color="auto" w:sz="4" w:space="0"/>
              <w:right w:val="single" w:color="auto" w:sz="4" w:space="0"/>
            </w:tcBorders>
            <w:vAlign w:val="center"/>
          </w:tcPr>
          <w:p w14:paraId="16227D5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585" w:type="dxa"/>
            <w:tcBorders>
              <w:top w:val="single" w:color="auto" w:sz="4" w:space="0"/>
              <w:left w:val="single" w:color="auto" w:sz="4" w:space="0"/>
              <w:bottom w:val="single" w:color="auto" w:sz="4" w:space="0"/>
              <w:right w:val="single" w:color="auto" w:sz="4" w:space="0"/>
            </w:tcBorders>
            <w:vAlign w:val="center"/>
          </w:tcPr>
          <w:p w14:paraId="11105BE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6C776B4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7942EBB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2840C0A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7FA2391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5B197A8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2D73BA57">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045A104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w:t>
            </w:r>
          </w:p>
        </w:tc>
        <w:tc>
          <w:tcPr>
            <w:tcW w:w="2115" w:type="dxa"/>
            <w:tcBorders>
              <w:top w:val="single" w:color="auto" w:sz="4" w:space="0"/>
              <w:left w:val="single" w:color="auto" w:sz="4" w:space="0"/>
              <w:bottom w:val="single" w:color="auto" w:sz="4" w:space="0"/>
              <w:right w:val="single" w:color="auto" w:sz="4" w:space="0"/>
            </w:tcBorders>
            <w:vAlign w:val="center"/>
          </w:tcPr>
          <w:p w14:paraId="4947781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卫生健康支出</w:t>
            </w:r>
          </w:p>
        </w:tc>
        <w:tc>
          <w:tcPr>
            <w:tcW w:w="1005" w:type="dxa"/>
            <w:tcBorders>
              <w:top w:val="single" w:color="auto" w:sz="4" w:space="0"/>
              <w:left w:val="single" w:color="auto" w:sz="4" w:space="0"/>
              <w:bottom w:val="single" w:color="auto" w:sz="4" w:space="0"/>
              <w:right w:val="single" w:color="auto" w:sz="4" w:space="0"/>
            </w:tcBorders>
            <w:vAlign w:val="center"/>
          </w:tcPr>
          <w:p w14:paraId="2589A2F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42.43</w:t>
            </w:r>
          </w:p>
        </w:tc>
        <w:tc>
          <w:tcPr>
            <w:tcW w:w="1005" w:type="dxa"/>
            <w:tcBorders>
              <w:top w:val="single" w:color="auto" w:sz="4" w:space="0"/>
              <w:left w:val="single" w:color="auto" w:sz="4" w:space="0"/>
              <w:bottom w:val="single" w:color="auto" w:sz="4" w:space="0"/>
              <w:right w:val="single" w:color="auto" w:sz="4" w:space="0"/>
            </w:tcBorders>
            <w:vAlign w:val="center"/>
          </w:tcPr>
          <w:p w14:paraId="31B6819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42.43</w:t>
            </w:r>
          </w:p>
        </w:tc>
        <w:tc>
          <w:tcPr>
            <w:tcW w:w="585" w:type="dxa"/>
            <w:tcBorders>
              <w:top w:val="single" w:color="auto" w:sz="4" w:space="0"/>
              <w:left w:val="single" w:color="auto" w:sz="4" w:space="0"/>
              <w:bottom w:val="single" w:color="auto" w:sz="4" w:space="0"/>
              <w:right w:val="single" w:color="auto" w:sz="4" w:space="0"/>
            </w:tcBorders>
            <w:vAlign w:val="center"/>
          </w:tcPr>
          <w:p w14:paraId="346628CF">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388E424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023D143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6F0E38F">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11A43FD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27B700C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0739E0D8">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77048F9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21007</w:t>
            </w:r>
          </w:p>
        </w:tc>
        <w:tc>
          <w:tcPr>
            <w:tcW w:w="2115" w:type="dxa"/>
            <w:tcBorders>
              <w:top w:val="single" w:color="auto" w:sz="4" w:space="0"/>
              <w:left w:val="single" w:color="auto" w:sz="4" w:space="0"/>
              <w:bottom w:val="single" w:color="auto" w:sz="4" w:space="0"/>
              <w:right w:val="single" w:color="auto" w:sz="4" w:space="0"/>
            </w:tcBorders>
            <w:vAlign w:val="center"/>
          </w:tcPr>
          <w:p w14:paraId="78F3220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计划生育事务</w:t>
            </w:r>
          </w:p>
        </w:tc>
        <w:tc>
          <w:tcPr>
            <w:tcW w:w="1005" w:type="dxa"/>
            <w:tcBorders>
              <w:top w:val="single" w:color="auto" w:sz="4" w:space="0"/>
              <w:left w:val="single" w:color="auto" w:sz="4" w:space="0"/>
              <w:bottom w:val="single" w:color="auto" w:sz="4" w:space="0"/>
              <w:right w:val="single" w:color="auto" w:sz="4" w:space="0"/>
            </w:tcBorders>
            <w:vAlign w:val="center"/>
          </w:tcPr>
          <w:p w14:paraId="7AA4E14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1005" w:type="dxa"/>
            <w:tcBorders>
              <w:top w:val="single" w:color="auto" w:sz="4" w:space="0"/>
              <w:left w:val="single" w:color="auto" w:sz="4" w:space="0"/>
              <w:bottom w:val="single" w:color="auto" w:sz="4" w:space="0"/>
              <w:right w:val="single" w:color="auto" w:sz="4" w:space="0"/>
            </w:tcBorders>
            <w:vAlign w:val="center"/>
          </w:tcPr>
          <w:p w14:paraId="7F3F179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585" w:type="dxa"/>
            <w:tcBorders>
              <w:top w:val="single" w:color="auto" w:sz="4" w:space="0"/>
              <w:left w:val="single" w:color="auto" w:sz="4" w:space="0"/>
              <w:bottom w:val="single" w:color="auto" w:sz="4" w:space="0"/>
              <w:right w:val="single" w:color="auto" w:sz="4" w:space="0"/>
            </w:tcBorders>
            <w:vAlign w:val="center"/>
          </w:tcPr>
          <w:p w14:paraId="4A4D95B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435EF88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7A4474A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10F36B7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53B6B48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270F93B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E739978">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646BBB9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2100716</w:t>
            </w:r>
          </w:p>
        </w:tc>
        <w:tc>
          <w:tcPr>
            <w:tcW w:w="2115" w:type="dxa"/>
            <w:tcBorders>
              <w:top w:val="single" w:color="auto" w:sz="4" w:space="0"/>
              <w:left w:val="single" w:color="auto" w:sz="4" w:space="0"/>
              <w:bottom w:val="single" w:color="auto" w:sz="4" w:space="0"/>
              <w:right w:val="single" w:color="auto" w:sz="4" w:space="0"/>
            </w:tcBorders>
            <w:vAlign w:val="center"/>
          </w:tcPr>
          <w:p w14:paraId="7768313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计划生育机构</w:t>
            </w:r>
          </w:p>
        </w:tc>
        <w:tc>
          <w:tcPr>
            <w:tcW w:w="1005" w:type="dxa"/>
            <w:tcBorders>
              <w:top w:val="single" w:color="auto" w:sz="4" w:space="0"/>
              <w:left w:val="single" w:color="auto" w:sz="4" w:space="0"/>
              <w:bottom w:val="single" w:color="auto" w:sz="4" w:space="0"/>
              <w:right w:val="single" w:color="auto" w:sz="4" w:space="0"/>
            </w:tcBorders>
            <w:vAlign w:val="center"/>
          </w:tcPr>
          <w:p w14:paraId="57C5F5C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1005" w:type="dxa"/>
            <w:tcBorders>
              <w:top w:val="single" w:color="auto" w:sz="4" w:space="0"/>
              <w:left w:val="single" w:color="auto" w:sz="4" w:space="0"/>
              <w:bottom w:val="single" w:color="auto" w:sz="4" w:space="0"/>
              <w:right w:val="single" w:color="auto" w:sz="4" w:space="0"/>
            </w:tcBorders>
            <w:vAlign w:val="center"/>
          </w:tcPr>
          <w:p w14:paraId="6E470AC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585" w:type="dxa"/>
            <w:tcBorders>
              <w:top w:val="single" w:color="auto" w:sz="4" w:space="0"/>
              <w:left w:val="single" w:color="auto" w:sz="4" w:space="0"/>
              <w:bottom w:val="single" w:color="auto" w:sz="4" w:space="0"/>
              <w:right w:val="single" w:color="auto" w:sz="4" w:space="0"/>
            </w:tcBorders>
            <w:vAlign w:val="center"/>
          </w:tcPr>
          <w:p w14:paraId="746A256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7DA693F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79ED02A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2B3DBA8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39C0738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0C77E85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43C3C916">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0285CF8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21011</w:t>
            </w:r>
          </w:p>
        </w:tc>
        <w:tc>
          <w:tcPr>
            <w:tcW w:w="2115" w:type="dxa"/>
            <w:tcBorders>
              <w:top w:val="single" w:color="auto" w:sz="4" w:space="0"/>
              <w:left w:val="single" w:color="auto" w:sz="4" w:space="0"/>
              <w:bottom w:val="single" w:color="auto" w:sz="4" w:space="0"/>
              <w:right w:val="single" w:color="auto" w:sz="4" w:space="0"/>
            </w:tcBorders>
            <w:vAlign w:val="center"/>
          </w:tcPr>
          <w:p w14:paraId="2FCED883">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行政事业单位医疗</w:t>
            </w:r>
          </w:p>
        </w:tc>
        <w:tc>
          <w:tcPr>
            <w:tcW w:w="1005" w:type="dxa"/>
            <w:tcBorders>
              <w:top w:val="single" w:color="auto" w:sz="4" w:space="0"/>
              <w:left w:val="single" w:color="auto" w:sz="4" w:space="0"/>
              <w:bottom w:val="single" w:color="auto" w:sz="4" w:space="0"/>
              <w:right w:val="single" w:color="auto" w:sz="4" w:space="0"/>
            </w:tcBorders>
            <w:vAlign w:val="center"/>
          </w:tcPr>
          <w:p w14:paraId="3FA1313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1005" w:type="dxa"/>
            <w:tcBorders>
              <w:top w:val="single" w:color="auto" w:sz="4" w:space="0"/>
              <w:left w:val="single" w:color="auto" w:sz="4" w:space="0"/>
              <w:bottom w:val="single" w:color="auto" w:sz="4" w:space="0"/>
              <w:right w:val="single" w:color="auto" w:sz="4" w:space="0"/>
            </w:tcBorders>
            <w:vAlign w:val="center"/>
          </w:tcPr>
          <w:p w14:paraId="65259CF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585" w:type="dxa"/>
            <w:tcBorders>
              <w:top w:val="single" w:color="auto" w:sz="4" w:space="0"/>
              <w:left w:val="single" w:color="auto" w:sz="4" w:space="0"/>
              <w:bottom w:val="single" w:color="auto" w:sz="4" w:space="0"/>
              <w:right w:val="single" w:color="auto" w:sz="4" w:space="0"/>
            </w:tcBorders>
            <w:vAlign w:val="center"/>
          </w:tcPr>
          <w:p w14:paraId="63289C3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4587AC2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791035C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070959D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41F456A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4BC48F5F">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1BD6B3A7">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152E352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2101101</w:t>
            </w:r>
          </w:p>
        </w:tc>
        <w:tc>
          <w:tcPr>
            <w:tcW w:w="2115" w:type="dxa"/>
            <w:tcBorders>
              <w:top w:val="single" w:color="auto" w:sz="4" w:space="0"/>
              <w:left w:val="single" w:color="auto" w:sz="4" w:space="0"/>
              <w:bottom w:val="single" w:color="auto" w:sz="4" w:space="0"/>
              <w:right w:val="single" w:color="auto" w:sz="4" w:space="0"/>
            </w:tcBorders>
            <w:vAlign w:val="center"/>
          </w:tcPr>
          <w:p w14:paraId="4FB62FF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行政单位医疗</w:t>
            </w:r>
          </w:p>
        </w:tc>
        <w:tc>
          <w:tcPr>
            <w:tcW w:w="1005" w:type="dxa"/>
            <w:tcBorders>
              <w:top w:val="single" w:color="auto" w:sz="4" w:space="0"/>
              <w:left w:val="single" w:color="auto" w:sz="4" w:space="0"/>
              <w:bottom w:val="single" w:color="auto" w:sz="4" w:space="0"/>
              <w:right w:val="single" w:color="auto" w:sz="4" w:space="0"/>
            </w:tcBorders>
            <w:vAlign w:val="center"/>
          </w:tcPr>
          <w:p w14:paraId="6FB67A1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1005" w:type="dxa"/>
            <w:tcBorders>
              <w:top w:val="single" w:color="auto" w:sz="4" w:space="0"/>
              <w:left w:val="single" w:color="auto" w:sz="4" w:space="0"/>
              <w:bottom w:val="single" w:color="auto" w:sz="4" w:space="0"/>
              <w:right w:val="single" w:color="auto" w:sz="4" w:space="0"/>
            </w:tcBorders>
            <w:vAlign w:val="center"/>
          </w:tcPr>
          <w:p w14:paraId="0A351FE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585" w:type="dxa"/>
            <w:tcBorders>
              <w:top w:val="single" w:color="auto" w:sz="4" w:space="0"/>
              <w:left w:val="single" w:color="auto" w:sz="4" w:space="0"/>
              <w:bottom w:val="single" w:color="auto" w:sz="4" w:space="0"/>
              <w:right w:val="single" w:color="auto" w:sz="4" w:space="0"/>
            </w:tcBorders>
            <w:vAlign w:val="center"/>
          </w:tcPr>
          <w:p w14:paraId="6964A04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23E1D08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06CE7E0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080A80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18DF9B2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051D340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10DED550">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2C64539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w:t>
            </w:r>
          </w:p>
        </w:tc>
        <w:tc>
          <w:tcPr>
            <w:tcW w:w="2115" w:type="dxa"/>
            <w:tcBorders>
              <w:top w:val="single" w:color="auto" w:sz="4" w:space="0"/>
              <w:left w:val="single" w:color="auto" w:sz="4" w:space="0"/>
              <w:bottom w:val="single" w:color="auto" w:sz="4" w:space="0"/>
              <w:right w:val="single" w:color="auto" w:sz="4" w:space="0"/>
            </w:tcBorders>
            <w:vAlign w:val="center"/>
          </w:tcPr>
          <w:p w14:paraId="0C354DE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城乡社区支出</w:t>
            </w:r>
          </w:p>
        </w:tc>
        <w:tc>
          <w:tcPr>
            <w:tcW w:w="1005" w:type="dxa"/>
            <w:tcBorders>
              <w:top w:val="single" w:color="auto" w:sz="4" w:space="0"/>
              <w:left w:val="single" w:color="auto" w:sz="4" w:space="0"/>
              <w:bottom w:val="single" w:color="auto" w:sz="4" w:space="0"/>
              <w:right w:val="single" w:color="auto" w:sz="4" w:space="0"/>
            </w:tcBorders>
            <w:vAlign w:val="center"/>
          </w:tcPr>
          <w:p w14:paraId="180DB9F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34.00</w:t>
            </w:r>
          </w:p>
        </w:tc>
        <w:tc>
          <w:tcPr>
            <w:tcW w:w="1005" w:type="dxa"/>
            <w:tcBorders>
              <w:top w:val="single" w:color="auto" w:sz="4" w:space="0"/>
              <w:left w:val="single" w:color="auto" w:sz="4" w:space="0"/>
              <w:bottom w:val="single" w:color="auto" w:sz="4" w:space="0"/>
              <w:right w:val="single" w:color="auto" w:sz="4" w:space="0"/>
            </w:tcBorders>
            <w:vAlign w:val="center"/>
          </w:tcPr>
          <w:p w14:paraId="2BFBF5F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34.00</w:t>
            </w:r>
          </w:p>
        </w:tc>
        <w:tc>
          <w:tcPr>
            <w:tcW w:w="585" w:type="dxa"/>
            <w:tcBorders>
              <w:top w:val="single" w:color="auto" w:sz="4" w:space="0"/>
              <w:left w:val="single" w:color="auto" w:sz="4" w:space="0"/>
              <w:bottom w:val="single" w:color="auto" w:sz="4" w:space="0"/>
              <w:right w:val="single" w:color="auto" w:sz="4" w:space="0"/>
            </w:tcBorders>
            <w:vAlign w:val="center"/>
          </w:tcPr>
          <w:p w14:paraId="32B11FA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764B9F6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6038534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39B025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7DECFB7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61BC8B4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5D3070FC">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2536DF0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21202</w:t>
            </w:r>
          </w:p>
        </w:tc>
        <w:tc>
          <w:tcPr>
            <w:tcW w:w="2115" w:type="dxa"/>
            <w:tcBorders>
              <w:top w:val="single" w:color="auto" w:sz="4" w:space="0"/>
              <w:left w:val="single" w:color="auto" w:sz="4" w:space="0"/>
              <w:bottom w:val="single" w:color="auto" w:sz="4" w:space="0"/>
              <w:right w:val="single" w:color="auto" w:sz="4" w:space="0"/>
            </w:tcBorders>
            <w:vAlign w:val="center"/>
          </w:tcPr>
          <w:p w14:paraId="36AC8953">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城乡社区规划与管理</w:t>
            </w:r>
          </w:p>
        </w:tc>
        <w:tc>
          <w:tcPr>
            <w:tcW w:w="1005" w:type="dxa"/>
            <w:tcBorders>
              <w:top w:val="single" w:color="auto" w:sz="4" w:space="0"/>
              <w:left w:val="single" w:color="auto" w:sz="4" w:space="0"/>
              <w:bottom w:val="single" w:color="auto" w:sz="4" w:space="0"/>
              <w:right w:val="single" w:color="auto" w:sz="4" w:space="0"/>
            </w:tcBorders>
            <w:vAlign w:val="center"/>
          </w:tcPr>
          <w:p w14:paraId="4AA0B61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1005" w:type="dxa"/>
            <w:tcBorders>
              <w:top w:val="single" w:color="auto" w:sz="4" w:space="0"/>
              <w:left w:val="single" w:color="auto" w:sz="4" w:space="0"/>
              <w:bottom w:val="single" w:color="auto" w:sz="4" w:space="0"/>
              <w:right w:val="single" w:color="auto" w:sz="4" w:space="0"/>
            </w:tcBorders>
            <w:vAlign w:val="center"/>
          </w:tcPr>
          <w:p w14:paraId="6A54AB3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585" w:type="dxa"/>
            <w:tcBorders>
              <w:top w:val="single" w:color="auto" w:sz="4" w:space="0"/>
              <w:left w:val="single" w:color="auto" w:sz="4" w:space="0"/>
              <w:bottom w:val="single" w:color="auto" w:sz="4" w:space="0"/>
              <w:right w:val="single" w:color="auto" w:sz="4" w:space="0"/>
            </w:tcBorders>
            <w:vAlign w:val="center"/>
          </w:tcPr>
          <w:p w14:paraId="5AD7A6C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21E67C4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5FA963F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F78E1F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4ECD779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6A617D5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73519084">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5B6506F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2120201</w:t>
            </w:r>
          </w:p>
        </w:tc>
        <w:tc>
          <w:tcPr>
            <w:tcW w:w="2115" w:type="dxa"/>
            <w:tcBorders>
              <w:top w:val="single" w:color="auto" w:sz="4" w:space="0"/>
              <w:left w:val="single" w:color="auto" w:sz="4" w:space="0"/>
              <w:bottom w:val="single" w:color="auto" w:sz="4" w:space="0"/>
              <w:right w:val="single" w:color="auto" w:sz="4" w:space="0"/>
            </w:tcBorders>
            <w:vAlign w:val="center"/>
          </w:tcPr>
          <w:p w14:paraId="25D87E4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城乡社区规划与管理</w:t>
            </w:r>
          </w:p>
        </w:tc>
        <w:tc>
          <w:tcPr>
            <w:tcW w:w="1005" w:type="dxa"/>
            <w:tcBorders>
              <w:top w:val="single" w:color="auto" w:sz="4" w:space="0"/>
              <w:left w:val="single" w:color="auto" w:sz="4" w:space="0"/>
              <w:bottom w:val="single" w:color="auto" w:sz="4" w:space="0"/>
              <w:right w:val="single" w:color="auto" w:sz="4" w:space="0"/>
            </w:tcBorders>
            <w:vAlign w:val="center"/>
          </w:tcPr>
          <w:p w14:paraId="5FF1554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1005" w:type="dxa"/>
            <w:tcBorders>
              <w:top w:val="single" w:color="auto" w:sz="4" w:space="0"/>
              <w:left w:val="single" w:color="auto" w:sz="4" w:space="0"/>
              <w:bottom w:val="single" w:color="auto" w:sz="4" w:space="0"/>
              <w:right w:val="single" w:color="auto" w:sz="4" w:space="0"/>
            </w:tcBorders>
            <w:vAlign w:val="center"/>
          </w:tcPr>
          <w:p w14:paraId="3BBFF82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585" w:type="dxa"/>
            <w:tcBorders>
              <w:top w:val="single" w:color="auto" w:sz="4" w:space="0"/>
              <w:left w:val="single" w:color="auto" w:sz="4" w:space="0"/>
              <w:bottom w:val="single" w:color="auto" w:sz="4" w:space="0"/>
              <w:right w:val="single" w:color="auto" w:sz="4" w:space="0"/>
            </w:tcBorders>
            <w:vAlign w:val="center"/>
          </w:tcPr>
          <w:p w14:paraId="591CEB3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466C241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10E887D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07B8443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58C7739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5545AF7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4B0ADEFE">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76E428F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21203</w:t>
            </w:r>
          </w:p>
        </w:tc>
        <w:tc>
          <w:tcPr>
            <w:tcW w:w="2115" w:type="dxa"/>
            <w:tcBorders>
              <w:top w:val="single" w:color="auto" w:sz="4" w:space="0"/>
              <w:left w:val="single" w:color="auto" w:sz="4" w:space="0"/>
              <w:bottom w:val="single" w:color="auto" w:sz="4" w:space="0"/>
              <w:right w:val="single" w:color="auto" w:sz="4" w:space="0"/>
            </w:tcBorders>
            <w:vAlign w:val="center"/>
          </w:tcPr>
          <w:p w14:paraId="271437A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城乡社区公共设施</w:t>
            </w:r>
          </w:p>
        </w:tc>
        <w:tc>
          <w:tcPr>
            <w:tcW w:w="1005" w:type="dxa"/>
            <w:tcBorders>
              <w:top w:val="single" w:color="auto" w:sz="4" w:space="0"/>
              <w:left w:val="single" w:color="auto" w:sz="4" w:space="0"/>
              <w:bottom w:val="single" w:color="auto" w:sz="4" w:space="0"/>
              <w:right w:val="single" w:color="auto" w:sz="4" w:space="0"/>
            </w:tcBorders>
            <w:vAlign w:val="center"/>
          </w:tcPr>
          <w:p w14:paraId="1776E50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05" w:type="dxa"/>
            <w:tcBorders>
              <w:top w:val="single" w:color="auto" w:sz="4" w:space="0"/>
              <w:left w:val="single" w:color="auto" w:sz="4" w:space="0"/>
              <w:bottom w:val="single" w:color="auto" w:sz="4" w:space="0"/>
              <w:right w:val="single" w:color="auto" w:sz="4" w:space="0"/>
            </w:tcBorders>
            <w:vAlign w:val="center"/>
          </w:tcPr>
          <w:p w14:paraId="6197CA6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585" w:type="dxa"/>
            <w:tcBorders>
              <w:top w:val="single" w:color="auto" w:sz="4" w:space="0"/>
              <w:left w:val="single" w:color="auto" w:sz="4" w:space="0"/>
              <w:bottom w:val="single" w:color="auto" w:sz="4" w:space="0"/>
              <w:right w:val="single" w:color="auto" w:sz="4" w:space="0"/>
            </w:tcBorders>
            <w:vAlign w:val="center"/>
          </w:tcPr>
          <w:p w14:paraId="1905E6B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7BF4045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2C49EFC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1222265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62F7034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043A715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48597C32">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7354F97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2120399</w:t>
            </w:r>
          </w:p>
        </w:tc>
        <w:tc>
          <w:tcPr>
            <w:tcW w:w="2115" w:type="dxa"/>
            <w:tcBorders>
              <w:top w:val="single" w:color="auto" w:sz="4" w:space="0"/>
              <w:left w:val="single" w:color="auto" w:sz="4" w:space="0"/>
              <w:bottom w:val="single" w:color="auto" w:sz="4" w:space="0"/>
              <w:right w:val="single" w:color="auto" w:sz="4" w:space="0"/>
            </w:tcBorders>
            <w:vAlign w:val="center"/>
          </w:tcPr>
          <w:p w14:paraId="7251BD3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其他城乡社区公共设施支出</w:t>
            </w:r>
          </w:p>
        </w:tc>
        <w:tc>
          <w:tcPr>
            <w:tcW w:w="1005" w:type="dxa"/>
            <w:tcBorders>
              <w:top w:val="single" w:color="auto" w:sz="4" w:space="0"/>
              <w:left w:val="single" w:color="auto" w:sz="4" w:space="0"/>
              <w:bottom w:val="single" w:color="auto" w:sz="4" w:space="0"/>
              <w:right w:val="single" w:color="auto" w:sz="4" w:space="0"/>
            </w:tcBorders>
            <w:vAlign w:val="center"/>
          </w:tcPr>
          <w:p w14:paraId="06C4870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05" w:type="dxa"/>
            <w:tcBorders>
              <w:top w:val="single" w:color="auto" w:sz="4" w:space="0"/>
              <w:left w:val="single" w:color="auto" w:sz="4" w:space="0"/>
              <w:bottom w:val="single" w:color="auto" w:sz="4" w:space="0"/>
              <w:right w:val="single" w:color="auto" w:sz="4" w:space="0"/>
            </w:tcBorders>
            <w:vAlign w:val="center"/>
          </w:tcPr>
          <w:p w14:paraId="3856837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585" w:type="dxa"/>
            <w:tcBorders>
              <w:top w:val="single" w:color="auto" w:sz="4" w:space="0"/>
              <w:left w:val="single" w:color="auto" w:sz="4" w:space="0"/>
              <w:bottom w:val="single" w:color="auto" w:sz="4" w:space="0"/>
              <w:right w:val="single" w:color="auto" w:sz="4" w:space="0"/>
            </w:tcBorders>
            <w:vAlign w:val="center"/>
          </w:tcPr>
          <w:p w14:paraId="222CEFA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1CA4C4B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562D8C1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6790397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4C640E2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17C5166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0C2F6FA4">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226C8FF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w:t>
            </w:r>
          </w:p>
        </w:tc>
        <w:tc>
          <w:tcPr>
            <w:tcW w:w="2115" w:type="dxa"/>
            <w:tcBorders>
              <w:top w:val="single" w:color="auto" w:sz="4" w:space="0"/>
              <w:left w:val="single" w:color="auto" w:sz="4" w:space="0"/>
              <w:bottom w:val="single" w:color="auto" w:sz="4" w:space="0"/>
              <w:right w:val="single" w:color="auto" w:sz="4" w:space="0"/>
            </w:tcBorders>
            <w:vAlign w:val="center"/>
          </w:tcPr>
          <w:p w14:paraId="5F49D63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农林水支出</w:t>
            </w:r>
          </w:p>
        </w:tc>
        <w:tc>
          <w:tcPr>
            <w:tcW w:w="1005" w:type="dxa"/>
            <w:tcBorders>
              <w:top w:val="single" w:color="auto" w:sz="4" w:space="0"/>
              <w:left w:val="single" w:color="auto" w:sz="4" w:space="0"/>
              <w:bottom w:val="single" w:color="auto" w:sz="4" w:space="0"/>
              <w:right w:val="single" w:color="auto" w:sz="4" w:space="0"/>
            </w:tcBorders>
            <w:vAlign w:val="center"/>
          </w:tcPr>
          <w:p w14:paraId="5A36076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333.96</w:t>
            </w:r>
          </w:p>
        </w:tc>
        <w:tc>
          <w:tcPr>
            <w:tcW w:w="1005" w:type="dxa"/>
            <w:tcBorders>
              <w:top w:val="single" w:color="auto" w:sz="4" w:space="0"/>
              <w:left w:val="single" w:color="auto" w:sz="4" w:space="0"/>
              <w:bottom w:val="single" w:color="auto" w:sz="4" w:space="0"/>
              <w:right w:val="single" w:color="auto" w:sz="4" w:space="0"/>
            </w:tcBorders>
            <w:vAlign w:val="center"/>
          </w:tcPr>
          <w:p w14:paraId="7156B49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333.96</w:t>
            </w:r>
          </w:p>
        </w:tc>
        <w:tc>
          <w:tcPr>
            <w:tcW w:w="585" w:type="dxa"/>
            <w:tcBorders>
              <w:top w:val="single" w:color="auto" w:sz="4" w:space="0"/>
              <w:left w:val="single" w:color="auto" w:sz="4" w:space="0"/>
              <w:bottom w:val="single" w:color="auto" w:sz="4" w:space="0"/>
              <w:right w:val="single" w:color="auto" w:sz="4" w:space="0"/>
            </w:tcBorders>
            <w:vAlign w:val="center"/>
          </w:tcPr>
          <w:p w14:paraId="65BE451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4395FC0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4E8B7CB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1A7CA9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2D417B7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2BD3E92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2868D5EE">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7A71CCF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w:t>
            </w:r>
          </w:p>
        </w:tc>
        <w:tc>
          <w:tcPr>
            <w:tcW w:w="2115" w:type="dxa"/>
            <w:tcBorders>
              <w:top w:val="single" w:color="auto" w:sz="4" w:space="0"/>
              <w:left w:val="single" w:color="auto" w:sz="4" w:space="0"/>
              <w:bottom w:val="single" w:color="auto" w:sz="4" w:space="0"/>
              <w:right w:val="single" w:color="auto" w:sz="4" w:space="0"/>
            </w:tcBorders>
            <w:vAlign w:val="center"/>
          </w:tcPr>
          <w:p w14:paraId="422DCAF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农业</w:t>
            </w:r>
          </w:p>
        </w:tc>
        <w:tc>
          <w:tcPr>
            <w:tcW w:w="1005" w:type="dxa"/>
            <w:tcBorders>
              <w:top w:val="single" w:color="auto" w:sz="4" w:space="0"/>
              <w:left w:val="single" w:color="auto" w:sz="4" w:space="0"/>
              <w:bottom w:val="single" w:color="auto" w:sz="4" w:space="0"/>
              <w:right w:val="single" w:color="auto" w:sz="4" w:space="0"/>
            </w:tcBorders>
            <w:vAlign w:val="center"/>
          </w:tcPr>
          <w:p w14:paraId="77995D8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1005" w:type="dxa"/>
            <w:tcBorders>
              <w:top w:val="single" w:color="auto" w:sz="4" w:space="0"/>
              <w:left w:val="single" w:color="auto" w:sz="4" w:space="0"/>
              <w:bottom w:val="single" w:color="auto" w:sz="4" w:space="0"/>
              <w:right w:val="single" w:color="auto" w:sz="4" w:space="0"/>
            </w:tcBorders>
            <w:vAlign w:val="center"/>
          </w:tcPr>
          <w:p w14:paraId="6276116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585" w:type="dxa"/>
            <w:tcBorders>
              <w:top w:val="single" w:color="auto" w:sz="4" w:space="0"/>
              <w:left w:val="single" w:color="auto" w:sz="4" w:space="0"/>
              <w:bottom w:val="single" w:color="auto" w:sz="4" w:space="0"/>
              <w:right w:val="single" w:color="auto" w:sz="4" w:space="0"/>
            </w:tcBorders>
            <w:vAlign w:val="center"/>
          </w:tcPr>
          <w:p w14:paraId="1A7B220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61E0BE2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5B34833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0C4E0B4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4DF4909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2A72EC9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27D97EC">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1907741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2130126</w:t>
            </w:r>
          </w:p>
        </w:tc>
        <w:tc>
          <w:tcPr>
            <w:tcW w:w="2115" w:type="dxa"/>
            <w:tcBorders>
              <w:top w:val="single" w:color="auto" w:sz="4" w:space="0"/>
              <w:left w:val="single" w:color="auto" w:sz="4" w:space="0"/>
              <w:bottom w:val="single" w:color="auto" w:sz="4" w:space="0"/>
              <w:right w:val="single" w:color="auto" w:sz="4" w:space="0"/>
            </w:tcBorders>
            <w:vAlign w:val="center"/>
          </w:tcPr>
          <w:p w14:paraId="23981AB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农村公益事业</w:t>
            </w:r>
          </w:p>
        </w:tc>
        <w:tc>
          <w:tcPr>
            <w:tcW w:w="1005" w:type="dxa"/>
            <w:tcBorders>
              <w:top w:val="single" w:color="auto" w:sz="4" w:space="0"/>
              <w:left w:val="single" w:color="auto" w:sz="4" w:space="0"/>
              <w:bottom w:val="single" w:color="auto" w:sz="4" w:space="0"/>
              <w:right w:val="single" w:color="auto" w:sz="4" w:space="0"/>
            </w:tcBorders>
            <w:vAlign w:val="center"/>
          </w:tcPr>
          <w:p w14:paraId="02901BA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1005" w:type="dxa"/>
            <w:tcBorders>
              <w:top w:val="single" w:color="auto" w:sz="4" w:space="0"/>
              <w:left w:val="single" w:color="auto" w:sz="4" w:space="0"/>
              <w:bottom w:val="single" w:color="auto" w:sz="4" w:space="0"/>
              <w:right w:val="single" w:color="auto" w:sz="4" w:space="0"/>
            </w:tcBorders>
            <w:vAlign w:val="center"/>
          </w:tcPr>
          <w:p w14:paraId="69B010B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585" w:type="dxa"/>
            <w:tcBorders>
              <w:top w:val="single" w:color="auto" w:sz="4" w:space="0"/>
              <w:left w:val="single" w:color="auto" w:sz="4" w:space="0"/>
              <w:bottom w:val="single" w:color="auto" w:sz="4" w:space="0"/>
              <w:right w:val="single" w:color="auto" w:sz="4" w:space="0"/>
            </w:tcBorders>
            <w:vAlign w:val="center"/>
          </w:tcPr>
          <w:p w14:paraId="52CBC86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0032C46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1469BFD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4E8CDEC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28A8BF7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7138784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5EF63BC2">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60461FC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21307</w:t>
            </w:r>
          </w:p>
        </w:tc>
        <w:tc>
          <w:tcPr>
            <w:tcW w:w="2115" w:type="dxa"/>
            <w:tcBorders>
              <w:top w:val="single" w:color="auto" w:sz="4" w:space="0"/>
              <w:left w:val="single" w:color="auto" w:sz="4" w:space="0"/>
              <w:bottom w:val="single" w:color="auto" w:sz="4" w:space="0"/>
              <w:right w:val="single" w:color="auto" w:sz="4" w:space="0"/>
            </w:tcBorders>
            <w:vAlign w:val="center"/>
          </w:tcPr>
          <w:p w14:paraId="5BE554C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农村综合改革</w:t>
            </w:r>
          </w:p>
        </w:tc>
        <w:tc>
          <w:tcPr>
            <w:tcW w:w="1005" w:type="dxa"/>
            <w:tcBorders>
              <w:top w:val="single" w:color="auto" w:sz="4" w:space="0"/>
              <w:left w:val="single" w:color="auto" w:sz="4" w:space="0"/>
              <w:bottom w:val="single" w:color="auto" w:sz="4" w:space="0"/>
              <w:right w:val="single" w:color="auto" w:sz="4" w:space="0"/>
            </w:tcBorders>
            <w:vAlign w:val="center"/>
          </w:tcPr>
          <w:p w14:paraId="07D4369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332.52</w:t>
            </w:r>
          </w:p>
        </w:tc>
        <w:tc>
          <w:tcPr>
            <w:tcW w:w="1005" w:type="dxa"/>
            <w:tcBorders>
              <w:top w:val="single" w:color="auto" w:sz="4" w:space="0"/>
              <w:left w:val="single" w:color="auto" w:sz="4" w:space="0"/>
              <w:bottom w:val="single" w:color="auto" w:sz="4" w:space="0"/>
              <w:right w:val="single" w:color="auto" w:sz="4" w:space="0"/>
            </w:tcBorders>
            <w:vAlign w:val="center"/>
          </w:tcPr>
          <w:p w14:paraId="01B56F3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332.52</w:t>
            </w:r>
          </w:p>
        </w:tc>
        <w:tc>
          <w:tcPr>
            <w:tcW w:w="585" w:type="dxa"/>
            <w:tcBorders>
              <w:top w:val="single" w:color="auto" w:sz="4" w:space="0"/>
              <w:left w:val="single" w:color="auto" w:sz="4" w:space="0"/>
              <w:bottom w:val="single" w:color="auto" w:sz="4" w:space="0"/>
              <w:right w:val="single" w:color="auto" w:sz="4" w:space="0"/>
            </w:tcBorders>
            <w:vAlign w:val="center"/>
          </w:tcPr>
          <w:p w14:paraId="16E92C6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721B8CB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628DC59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6F0F8F9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0A5EE77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6596322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005E60C9">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5AA36B3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2130701</w:t>
            </w:r>
          </w:p>
        </w:tc>
        <w:tc>
          <w:tcPr>
            <w:tcW w:w="2115" w:type="dxa"/>
            <w:tcBorders>
              <w:top w:val="single" w:color="auto" w:sz="4" w:space="0"/>
              <w:left w:val="single" w:color="auto" w:sz="4" w:space="0"/>
              <w:bottom w:val="single" w:color="auto" w:sz="4" w:space="0"/>
              <w:right w:val="single" w:color="auto" w:sz="4" w:space="0"/>
            </w:tcBorders>
            <w:vAlign w:val="center"/>
          </w:tcPr>
          <w:p w14:paraId="17846A8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对村级一事一议的补助</w:t>
            </w:r>
          </w:p>
        </w:tc>
        <w:tc>
          <w:tcPr>
            <w:tcW w:w="1005" w:type="dxa"/>
            <w:tcBorders>
              <w:top w:val="single" w:color="auto" w:sz="4" w:space="0"/>
              <w:left w:val="single" w:color="auto" w:sz="4" w:space="0"/>
              <w:bottom w:val="single" w:color="auto" w:sz="4" w:space="0"/>
              <w:right w:val="single" w:color="auto" w:sz="4" w:space="0"/>
            </w:tcBorders>
            <w:vAlign w:val="center"/>
          </w:tcPr>
          <w:p w14:paraId="1CBD339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137.00</w:t>
            </w:r>
          </w:p>
        </w:tc>
        <w:tc>
          <w:tcPr>
            <w:tcW w:w="1005" w:type="dxa"/>
            <w:tcBorders>
              <w:top w:val="single" w:color="auto" w:sz="4" w:space="0"/>
              <w:left w:val="single" w:color="auto" w:sz="4" w:space="0"/>
              <w:bottom w:val="single" w:color="auto" w:sz="4" w:space="0"/>
              <w:right w:val="single" w:color="auto" w:sz="4" w:space="0"/>
            </w:tcBorders>
            <w:vAlign w:val="center"/>
          </w:tcPr>
          <w:p w14:paraId="5580E76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137.00</w:t>
            </w:r>
          </w:p>
        </w:tc>
        <w:tc>
          <w:tcPr>
            <w:tcW w:w="585" w:type="dxa"/>
            <w:tcBorders>
              <w:top w:val="single" w:color="auto" w:sz="4" w:space="0"/>
              <w:left w:val="single" w:color="auto" w:sz="4" w:space="0"/>
              <w:bottom w:val="single" w:color="auto" w:sz="4" w:space="0"/>
              <w:right w:val="single" w:color="auto" w:sz="4" w:space="0"/>
            </w:tcBorders>
            <w:vAlign w:val="center"/>
          </w:tcPr>
          <w:p w14:paraId="1D0EC3A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7A65873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69CBA95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030C4F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7630AD1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6D17920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D94768A">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711943D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2130705</w:t>
            </w:r>
          </w:p>
        </w:tc>
        <w:tc>
          <w:tcPr>
            <w:tcW w:w="2115" w:type="dxa"/>
            <w:tcBorders>
              <w:top w:val="single" w:color="auto" w:sz="4" w:space="0"/>
              <w:left w:val="single" w:color="auto" w:sz="4" w:space="0"/>
              <w:bottom w:val="single" w:color="auto" w:sz="4" w:space="0"/>
              <w:right w:val="single" w:color="auto" w:sz="4" w:space="0"/>
            </w:tcBorders>
            <w:vAlign w:val="center"/>
          </w:tcPr>
          <w:p w14:paraId="0B972D3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对村民委员会和村党支部的补助</w:t>
            </w:r>
          </w:p>
        </w:tc>
        <w:tc>
          <w:tcPr>
            <w:tcW w:w="1005" w:type="dxa"/>
            <w:tcBorders>
              <w:top w:val="single" w:color="auto" w:sz="4" w:space="0"/>
              <w:left w:val="single" w:color="auto" w:sz="4" w:space="0"/>
              <w:bottom w:val="single" w:color="auto" w:sz="4" w:space="0"/>
              <w:right w:val="single" w:color="auto" w:sz="4" w:space="0"/>
            </w:tcBorders>
            <w:vAlign w:val="center"/>
          </w:tcPr>
          <w:p w14:paraId="60EA2B4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195.52</w:t>
            </w:r>
          </w:p>
        </w:tc>
        <w:tc>
          <w:tcPr>
            <w:tcW w:w="1005" w:type="dxa"/>
            <w:tcBorders>
              <w:top w:val="single" w:color="auto" w:sz="4" w:space="0"/>
              <w:left w:val="single" w:color="auto" w:sz="4" w:space="0"/>
              <w:bottom w:val="single" w:color="auto" w:sz="4" w:space="0"/>
              <w:right w:val="single" w:color="auto" w:sz="4" w:space="0"/>
            </w:tcBorders>
            <w:vAlign w:val="center"/>
          </w:tcPr>
          <w:p w14:paraId="708D18C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195.52</w:t>
            </w:r>
          </w:p>
        </w:tc>
        <w:tc>
          <w:tcPr>
            <w:tcW w:w="585" w:type="dxa"/>
            <w:tcBorders>
              <w:top w:val="single" w:color="auto" w:sz="4" w:space="0"/>
              <w:left w:val="single" w:color="auto" w:sz="4" w:space="0"/>
              <w:bottom w:val="single" w:color="auto" w:sz="4" w:space="0"/>
              <w:right w:val="single" w:color="auto" w:sz="4" w:space="0"/>
            </w:tcBorders>
            <w:vAlign w:val="center"/>
          </w:tcPr>
          <w:p w14:paraId="4A4C449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7675926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3518D1DF">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07417A9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0499AC4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239D35C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060CAEED">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4195A23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214</w:t>
            </w:r>
          </w:p>
        </w:tc>
        <w:tc>
          <w:tcPr>
            <w:tcW w:w="2115" w:type="dxa"/>
            <w:tcBorders>
              <w:top w:val="single" w:color="auto" w:sz="4" w:space="0"/>
              <w:left w:val="single" w:color="auto" w:sz="4" w:space="0"/>
              <w:bottom w:val="single" w:color="auto" w:sz="4" w:space="0"/>
              <w:right w:val="single" w:color="auto" w:sz="4" w:space="0"/>
            </w:tcBorders>
            <w:vAlign w:val="center"/>
          </w:tcPr>
          <w:p w14:paraId="573A8E6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交通运输支出</w:t>
            </w:r>
          </w:p>
        </w:tc>
        <w:tc>
          <w:tcPr>
            <w:tcW w:w="1005" w:type="dxa"/>
            <w:tcBorders>
              <w:top w:val="single" w:color="auto" w:sz="4" w:space="0"/>
              <w:left w:val="single" w:color="auto" w:sz="4" w:space="0"/>
              <w:bottom w:val="single" w:color="auto" w:sz="4" w:space="0"/>
              <w:right w:val="single" w:color="auto" w:sz="4" w:space="0"/>
            </w:tcBorders>
            <w:vAlign w:val="center"/>
          </w:tcPr>
          <w:p w14:paraId="5640D1D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1005" w:type="dxa"/>
            <w:tcBorders>
              <w:top w:val="single" w:color="auto" w:sz="4" w:space="0"/>
              <w:left w:val="single" w:color="auto" w:sz="4" w:space="0"/>
              <w:bottom w:val="single" w:color="auto" w:sz="4" w:space="0"/>
              <w:right w:val="single" w:color="auto" w:sz="4" w:space="0"/>
            </w:tcBorders>
            <w:vAlign w:val="center"/>
          </w:tcPr>
          <w:p w14:paraId="4BA510B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585" w:type="dxa"/>
            <w:tcBorders>
              <w:top w:val="single" w:color="auto" w:sz="4" w:space="0"/>
              <w:left w:val="single" w:color="auto" w:sz="4" w:space="0"/>
              <w:bottom w:val="single" w:color="auto" w:sz="4" w:space="0"/>
              <w:right w:val="single" w:color="auto" w:sz="4" w:space="0"/>
            </w:tcBorders>
            <w:vAlign w:val="center"/>
          </w:tcPr>
          <w:p w14:paraId="67FB4F0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0C5B032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4F238FA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CAF340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56358BF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322451D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CAF8425">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35DB13C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21401</w:t>
            </w:r>
          </w:p>
        </w:tc>
        <w:tc>
          <w:tcPr>
            <w:tcW w:w="2115" w:type="dxa"/>
            <w:tcBorders>
              <w:top w:val="single" w:color="auto" w:sz="4" w:space="0"/>
              <w:left w:val="single" w:color="auto" w:sz="4" w:space="0"/>
              <w:bottom w:val="single" w:color="auto" w:sz="4" w:space="0"/>
              <w:right w:val="single" w:color="auto" w:sz="4" w:space="0"/>
            </w:tcBorders>
            <w:vAlign w:val="center"/>
          </w:tcPr>
          <w:p w14:paraId="3AB266C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公路水路运输</w:t>
            </w:r>
          </w:p>
        </w:tc>
        <w:tc>
          <w:tcPr>
            <w:tcW w:w="1005" w:type="dxa"/>
            <w:tcBorders>
              <w:top w:val="single" w:color="auto" w:sz="4" w:space="0"/>
              <w:left w:val="single" w:color="auto" w:sz="4" w:space="0"/>
              <w:bottom w:val="single" w:color="auto" w:sz="4" w:space="0"/>
              <w:right w:val="single" w:color="auto" w:sz="4" w:space="0"/>
            </w:tcBorders>
            <w:vAlign w:val="center"/>
          </w:tcPr>
          <w:p w14:paraId="51D4FA5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1005" w:type="dxa"/>
            <w:tcBorders>
              <w:top w:val="single" w:color="auto" w:sz="4" w:space="0"/>
              <w:left w:val="single" w:color="auto" w:sz="4" w:space="0"/>
              <w:bottom w:val="single" w:color="auto" w:sz="4" w:space="0"/>
              <w:right w:val="single" w:color="auto" w:sz="4" w:space="0"/>
            </w:tcBorders>
            <w:vAlign w:val="center"/>
          </w:tcPr>
          <w:p w14:paraId="64E9865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585" w:type="dxa"/>
            <w:tcBorders>
              <w:top w:val="single" w:color="auto" w:sz="4" w:space="0"/>
              <w:left w:val="single" w:color="auto" w:sz="4" w:space="0"/>
              <w:bottom w:val="single" w:color="auto" w:sz="4" w:space="0"/>
              <w:right w:val="single" w:color="auto" w:sz="4" w:space="0"/>
            </w:tcBorders>
            <w:vAlign w:val="center"/>
          </w:tcPr>
          <w:p w14:paraId="354CB74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50B86B8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0AEE51F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095B018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7E74073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290BF68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47F0D0C4">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555BEB9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2140199</w:t>
            </w:r>
          </w:p>
        </w:tc>
        <w:tc>
          <w:tcPr>
            <w:tcW w:w="2115" w:type="dxa"/>
            <w:tcBorders>
              <w:top w:val="single" w:color="auto" w:sz="4" w:space="0"/>
              <w:left w:val="single" w:color="auto" w:sz="4" w:space="0"/>
              <w:bottom w:val="single" w:color="auto" w:sz="4" w:space="0"/>
              <w:right w:val="single" w:color="auto" w:sz="4" w:space="0"/>
            </w:tcBorders>
            <w:vAlign w:val="center"/>
          </w:tcPr>
          <w:p w14:paraId="312861E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其他公路水路运输支出</w:t>
            </w:r>
          </w:p>
        </w:tc>
        <w:tc>
          <w:tcPr>
            <w:tcW w:w="1005" w:type="dxa"/>
            <w:tcBorders>
              <w:top w:val="single" w:color="auto" w:sz="4" w:space="0"/>
              <w:left w:val="single" w:color="auto" w:sz="4" w:space="0"/>
              <w:bottom w:val="single" w:color="auto" w:sz="4" w:space="0"/>
              <w:right w:val="single" w:color="auto" w:sz="4" w:space="0"/>
            </w:tcBorders>
            <w:vAlign w:val="center"/>
          </w:tcPr>
          <w:p w14:paraId="2A2E197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1005" w:type="dxa"/>
            <w:tcBorders>
              <w:top w:val="single" w:color="auto" w:sz="4" w:space="0"/>
              <w:left w:val="single" w:color="auto" w:sz="4" w:space="0"/>
              <w:bottom w:val="single" w:color="auto" w:sz="4" w:space="0"/>
              <w:right w:val="single" w:color="auto" w:sz="4" w:space="0"/>
            </w:tcBorders>
            <w:vAlign w:val="center"/>
          </w:tcPr>
          <w:p w14:paraId="5615C38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585" w:type="dxa"/>
            <w:tcBorders>
              <w:top w:val="single" w:color="auto" w:sz="4" w:space="0"/>
              <w:left w:val="single" w:color="auto" w:sz="4" w:space="0"/>
              <w:bottom w:val="single" w:color="auto" w:sz="4" w:space="0"/>
              <w:right w:val="single" w:color="auto" w:sz="4" w:space="0"/>
            </w:tcBorders>
            <w:vAlign w:val="center"/>
          </w:tcPr>
          <w:p w14:paraId="3A83B5C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047C10A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758637F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09BB93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09B7B52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4A904EA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72744B7F">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6BC5878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w:t>
            </w:r>
          </w:p>
        </w:tc>
        <w:tc>
          <w:tcPr>
            <w:tcW w:w="2115" w:type="dxa"/>
            <w:tcBorders>
              <w:top w:val="single" w:color="auto" w:sz="4" w:space="0"/>
              <w:left w:val="single" w:color="auto" w:sz="4" w:space="0"/>
              <w:bottom w:val="single" w:color="auto" w:sz="4" w:space="0"/>
              <w:right w:val="single" w:color="auto" w:sz="4" w:space="0"/>
            </w:tcBorders>
            <w:vAlign w:val="center"/>
          </w:tcPr>
          <w:p w14:paraId="231B8C6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住房保障支出</w:t>
            </w:r>
          </w:p>
        </w:tc>
        <w:tc>
          <w:tcPr>
            <w:tcW w:w="1005" w:type="dxa"/>
            <w:tcBorders>
              <w:top w:val="single" w:color="auto" w:sz="4" w:space="0"/>
              <w:left w:val="single" w:color="auto" w:sz="4" w:space="0"/>
              <w:bottom w:val="single" w:color="auto" w:sz="4" w:space="0"/>
              <w:right w:val="single" w:color="auto" w:sz="4" w:space="0"/>
            </w:tcBorders>
            <w:vAlign w:val="center"/>
          </w:tcPr>
          <w:p w14:paraId="1F292AD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1005" w:type="dxa"/>
            <w:tcBorders>
              <w:top w:val="single" w:color="auto" w:sz="4" w:space="0"/>
              <w:left w:val="single" w:color="auto" w:sz="4" w:space="0"/>
              <w:bottom w:val="single" w:color="auto" w:sz="4" w:space="0"/>
              <w:right w:val="single" w:color="auto" w:sz="4" w:space="0"/>
            </w:tcBorders>
            <w:vAlign w:val="center"/>
          </w:tcPr>
          <w:p w14:paraId="59557F2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585" w:type="dxa"/>
            <w:tcBorders>
              <w:top w:val="single" w:color="auto" w:sz="4" w:space="0"/>
              <w:left w:val="single" w:color="auto" w:sz="4" w:space="0"/>
              <w:bottom w:val="single" w:color="auto" w:sz="4" w:space="0"/>
              <w:right w:val="single" w:color="auto" w:sz="4" w:space="0"/>
            </w:tcBorders>
            <w:vAlign w:val="center"/>
          </w:tcPr>
          <w:p w14:paraId="4233F6D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708691F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6ADED9D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0B24375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34FE515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31DC1A0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0F449092">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4ECD034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22102</w:t>
            </w:r>
          </w:p>
        </w:tc>
        <w:tc>
          <w:tcPr>
            <w:tcW w:w="2115" w:type="dxa"/>
            <w:tcBorders>
              <w:top w:val="single" w:color="auto" w:sz="4" w:space="0"/>
              <w:left w:val="single" w:color="auto" w:sz="4" w:space="0"/>
              <w:bottom w:val="single" w:color="auto" w:sz="4" w:space="0"/>
              <w:right w:val="single" w:color="auto" w:sz="4" w:space="0"/>
            </w:tcBorders>
            <w:vAlign w:val="center"/>
          </w:tcPr>
          <w:p w14:paraId="7A843FF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住房改革支出</w:t>
            </w:r>
          </w:p>
        </w:tc>
        <w:tc>
          <w:tcPr>
            <w:tcW w:w="1005" w:type="dxa"/>
            <w:tcBorders>
              <w:top w:val="single" w:color="auto" w:sz="4" w:space="0"/>
              <w:left w:val="single" w:color="auto" w:sz="4" w:space="0"/>
              <w:bottom w:val="single" w:color="auto" w:sz="4" w:space="0"/>
              <w:right w:val="single" w:color="auto" w:sz="4" w:space="0"/>
            </w:tcBorders>
            <w:vAlign w:val="center"/>
          </w:tcPr>
          <w:p w14:paraId="254F704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1005" w:type="dxa"/>
            <w:tcBorders>
              <w:top w:val="single" w:color="auto" w:sz="4" w:space="0"/>
              <w:left w:val="single" w:color="auto" w:sz="4" w:space="0"/>
              <w:bottom w:val="single" w:color="auto" w:sz="4" w:space="0"/>
              <w:right w:val="single" w:color="auto" w:sz="4" w:space="0"/>
            </w:tcBorders>
            <w:vAlign w:val="center"/>
          </w:tcPr>
          <w:p w14:paraId="3AE30C4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585" w:type="dxa"/>
            <w:tcBorders>
              <w:top w:val="single" w:color="auto" w:sz="4" w:space="0"/>
              <w:left w:val="single" w:color="auto" w:sz="4" w:space="0"/>
              <w:bottom w:val="single" w:color="auto" w:sz="4" w:space="0"/>
              <w:right w:val="single" w:color="auto" w:sz="4" w:space="0"/>
            </w:tcBorders>
            <w:vAlign w:val="center"/>
          </w:tcPr>
          <w:p w14:paraId="7E9CB43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10FEAE5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4A2B36C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22C3CF8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0949C0B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0D48ED3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0FAA96E6">
        <w:tblPrEx>
          <w:tblCellMar>
            <w:top w:w="15" w:type="dxa"/>
            <w:left w:w="15" w:type="dxa"/>
            <w:bottom w:w="15" w:type="dxa"/>
            <w:right w:w="15" w:type="dxa"/>
          </w:tblCellMar>
        </w:tblPrEx>
        <w:trPr>
          <w:trHeight w:val="449" w:hRule="atLeast"/>
        </w:trPr>
        <w:tc>
          <w:tcPr>
            <w:tcW w:w="957" w:type="dxa"/>
            <w:tcBorders>
              <w:top w:val="single" w:color="auto" w:sz="4" w:space="0"/>
              <w:left w:val="single" w:color="auto" w:sz="4" w:space="0"/>
              <w:bottom w:val="single" w:color="auto" w:sz="4" w:space="0"/>
              <w:right w:val="single" w:color="auto" w:sz="4" w:space="0"/>
            </w:tcBorders>
            <w:vAlign w:val="center"/>
          </w:tcPr>
          <w:p w14:paraId="46F2D6A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2210201</w:t>
            </w:r>
          </w:p>
        </w:tc>
        <w:tc>
          <w:tcPr>
            <w:tcW w:w="2115" w:type="dxa"/>
            <w:tcBorders>
              <w:top w:val="single" w:color="auto" w:sz="4" w:space="0"/>
              <w:left w:val="single" w:color="auto" w:sz="4" w:space="0"/>
              <w:bottom w:val="single" w:color="auto" w:sz="4" w:space="0"/>
              <w:right w:val="single" w:color="auto" w:sz="4" w:space="0"/>
            </w:tcBorders>
            <w:vAlign w:val="center"/>
          </w:tcPr>
          <w:p w14:paraId="4F4F0BD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住房公积金</w:t>
            </w:r>
          </w:p>
        </w:tc>
        <w:tc>
          <w:tcPr>
            <w:tcW w:w="1005" w:type="dxa"/>
            <w:tcBorders>
              <w:top w:val="single" w:color="auto" w:sz="4" w:space="0"/>
              <w:left w:val="single" w:color="auto" w:sz="4" w:space="0"/>
              <w:bottom w:val="single" w:color="auto" w:sz="4" w:space="0"/>
              <w:right w:val="single" w:color="auto" w:sz="4" w:space="0"/>
            </w:tcBorders>
            <w:vAlign w:val="center"/>
          </w:tcPr>
          <w:p w14:paraId="4570440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1005" w:type="dxa"/>
            <w:tcBorders>
              <w:top w:val="single" w:color="auto" w:sz="4" w:space="0"/>
              <w:left w:val="single" w:color="auto" w:sz="4" w:space="0"/>
              <w:bottom w:val="single" w:color="auto" w:sz="4" w:space="0"/>
              <w:right w:val="single" w:color="auto" w:sz="4" w:space="0"/>
            </w:tcBorders>
            <w:vAlign w:val="center"/>
          </w:tcPr>
          <w:p w14:paraId="661EDB6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585" w:type="dxa"/>
            <w:tcBorders>
              <w:top w:val="single" w:color="auto" w:sz="4" w:space="0"/>
              <w:left w:val="single" w:color="auto" w:sz="4" w:space="0"/>
              <w:bottom w:val="single" w:color="auto" w:sz="4" w:space="0"/>
              <w:right w:val="single" w:color="auto" w:sz="4" w:space="0"/>
            </w:tcBorders>
            <w:vAlign w:val="center"/>
          </w:tcPr>
          <w:p w14:paraId="3D09945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40" w:type="dxa"/>
            <w:tcBorders>
              <w:top w:val="single" w:color="auto" w:sz="4" w:space="0"/>
              <w:left w:val="single" w:color="auto" w:sz="4" w:space="0"/>
              <w:bottom w:val="single" w:color="auto" w:sz="4" w:space="0"/>
              <w:right w:val="single" w:color="auto" w:sz="4" w:space="0"/>
            </w:tcBorders>
            <w:vAlign w:val="center"/>
          </w:tcPr>
          <w:p w14:paraId="0F8A7E5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vAlign w:val="center"/>
          </w:tcPr>
          <w:p w14:paraId="5D10446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1422190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70" w:type="dxa"/>
            <w:tcBorders>
              <w:top w:val="single" w:color="auto" w:sz="4" w:space="0"/>
              <w:left w:val="single" w:color="auto" w:sz="4" w:space="0"/>
              <w:bottom w:val="single" w:color="auto" w:sz="4" w:space="0"/>
              <w:right w:val="single" w:color="auto" w:sz="4" w:space="0"/>
            </w:tcBorders>
            <w:vAlign w:val="center"/>
          </w:tcPr>
          <w:p w14:paraId="6123E1D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60" w:type="dxa"/>
            <w:tcBorders>
              <w:top w:val="single" w:color="auto" w:sz="4" w:space="0"/>
              <w:left w:val="single" w:color="auto" w:sz="4" w:space="0"/>
              <w:bottom w:val="single" w:color="auto" w:sz="4" w:space="0"/>
              <w:right w:val="single" w:color="auto" w:sz="4" w:space="0"/>
            </w:tcBorders>
            <w:vAlign w:val="center"/>
          </w:tcPr>
          <w:p w14:paraId="1E1F19A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bl>
    <w:p w14:paraId="52C8F840">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14:paraId="0CD87EC8">
      <w:pPr>
        <w:rPr>
          <w:rFonts w:hint="eastAsia" w:ascii="宋体" w:hAnsi="宋体" w:cs="宋体"/>
          <w:b/>
          <w:bCs/>
          <w:sz w:val="32"/>
          <w:szCs w:val="32"/>
        </w:rPr>
      </w:pPr>
      <w:r>
        <w:rPr>
          <w:rFonts w:hint="eastAsia" w:ascii="宋体" w:hAnsi="宋体" w:cs="宋体"/>
          <w:b/>
          <w:bCs/>
          <w:sz w:val="32"/>
          <w:szCs w:val="32"/>
        </w:rPr>
        <w:br w:type="page"/>
      </w:r>
    </w:p>
    <w:p w14:paraId="0E0AEC25">
      <w:pPr>
        <w:jc w:val="center"/>
        <w:rPr>
          <w:rFonts w:ascii="宋体" w:hAnsi="宋体" w:cs="宋体"/>
          <w:b/>
          <w:bCs/>
          <w:sz w:val="32"/>
          <w:szCs w:val="32"/>
        </w:rPr>
      </w:pPr>
      <w:r>
        <w:rPr>
          <w:rFonts w:hint="eastAsia" w:ascii="宋体" w:hAnsi="宋体" w:cs="宋体"/>
          <w:b/>
          <w:bCs/>
          <w:sz w:val="32"/>
          <w:szCs w:val="32"/>
        </w:rPr>
        <w:t>支出决算表</w:t>
      </w:r>
    </w:p>
    <w:p w14:paraId="1A5F07BF">
      <w:pPr>
        <w:rPr>
          <w:rFonts w:ascii="宋体" w:hAnsi="宋体" w:cs="宋体"/>
          <w:b/>
          <w:bCs/>
          <w:szCs w:val="21"/>
        </w:rPr>
      </w:pPr>
      <w:r>
        <w:rPr>
          <w:rFonts w:hint="eastAsia" w:ascii="宋体" w:hAnsi="宋体" w:cs="宋体"/>
          <w:b/>
          <w:bCs/>
          <w:szCs w:val="21"/>
        </w:rPr>
        <w:t xml:space="preserve">                                               公开03表</w:t>
      </w:r>
    </w:p>
    <w:p w14:paraId="2F59058E">
      <w:pPr>
        <w:rPr>
          <w:rFonts w:ascii="宋体" w:hAnsi="宋体" w:cs="宋体"/>
          <w:b/>
          <w:bCs/>
          <w:sz w:val="48"/>
          <w:szCs w:val="48"/>
        </w:rPr>
      </w:pPr>
      <w:r>
        <w:rPr>
          <w:rFonts w:hint="eastAsia" w:ascii="宋体" w:hAnsi="宋体" w:cs="宋体"/>
          <w:b/>
          <w:bCs/>
          <w:szCs w:val="21"/>
        </w:rPr>
        <w:t>编制部门：                                                            金额单位：万元</w:t>
      </w:r>
    </w:p>
    <w:tbl>
      <w:tblPr>
        <w:tblStyle w:val="9"/>
        <w:tblW w:w="8896" w:type="dxa"/>
        <w:tblInd w:w="0" w:type="dxa"/>
        <w:tblLayout w:type="fixed"/>
        <w:tblCellMar>
          <w:top w:w="15" w:type="dxa"/>
          <w:left w:w="15" w:type="dxa"/>
          <w:bottom w:w="15" w:type="dxa"/>
          <w:right w:w="15" w:type="dxa"/>
        </w:tblCellMar>
      </w:tblPr>
      <w:tblGrid>
        <w:gridCol w:w="914"/>
        <w:gridCol w:w="83"/>
        <w:gridCol w:w="3269"/>
        <w:gridCol w:w="915"/>
        <w:gridCol w:w="975"/>
        <w:gridCol w:w="735"/>
        <w:gridCol w:w="675"/>
        <w:gridCol w:w="585"/>
        <w:gridCol w:w="745"/>
      </w:tblGrid>
      <w:tr w14:paraId="53353960">
        <w:tblPrEx>
          <w:tblCellMar>
            <w:top w:w="15" w:type="dxa"/>
            <w:left w:w="15" w:type="dxa"/>
            <w:bottom w:w="15" w:type="dxa"/>
            <w:right w:w="15" w:type="dxa"/>
          </w:tblCellMar>
        </w:tblPrEx>
        <w:trPr>
          <w:trHeight w:val="372" w:hRule="atLeast"/>
        </w:trPr>
        <w:tc>
          <w:tcPr>
            <w:tcW w:w="4266" w:type="dxa"/>
            <w:gridSpan w:val="3"/>
            <w:tcBorders>
              <w:top w:val="single" w:color="auto" w:sz="4" w:space="0"/>
              <w:left w:val="single" w:color="auto" w:sz="4" w:space="0"/>
              <w:bottom w:val="single" w:color="auto" w:sz="4" w:space="0"/>
              <w:right w:val="single" w:color="auto" w:sz="4" w:space="0"/>
            </w:tcBorders>
            <w:vAlign w:val="center"/>
          </w:tcPr>
          <w:p w14:paraId="1D84AED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14:paraId="467837D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4615A4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基本支出</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14:paraId="7B8D488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项目支出</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1FE78551">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上缴上</w:t>
            </w:r>
          </w:p>
          <w:p w14:paraId="4AAB61B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级支出</w:t>
            </w:r>
          </w:p>
        </w:tc>
        <w:tc>
          <w:tcPr>
            <w:tcW w:w="585" w:type="dxa"/>
            <w:vMerge w:val="restart"/>
            <w:tcBorders>
              <w:top w:val="single" w:color="auto" w:sz="4" w:space="0"/>
              <w:left w:val="single" w:color="auto" w:sz="4" w:space="0"/>
              <w:bottom w:val="single" w:color="auto" w:sz="4" w:space="0"/>
              <w:right w:val="single" w:color="auto" w:sz="4" w:space="0"/>
            </w:tcBorders>
            <w:vAlign w:val="center"/>
          </w:tcPr>
          <w:p w14:paraId="5F7966C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经营支出</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14:paraId="621F77C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对附属单位补助支出</w:t>
            </w:r>
          </w:p>
        </w:tc>
      </w:tr>
      <w:tr w14:paraId="39348CA2">
        <w:tblPrEx>
          <w:tblCellMar>
            <w:top w:w="15" w:type="dxa"/>
            <w:left w:w="15" w:type="dxa"/>
            <w:bottom w:w="15" w:type="dxa"/>
            <w:right w:w="15" w:type="dxa"/>
          </w:tblCellMar>
        </w:tblPrEx>
        <w:trPr>
          <w:trHeight w:val="702" w:hRule="atLeast"/>
        </w:trPr>
        <w:tc>
          <w:tcPr>
            <w:tcW w:w="997" w:type="dxa"/>
            <w:gridSpan w:val="2"/>
            <w:tcBorders>
              <w:top w:val="single" w:color="auto" w:sz="4" w:space="0"/>
              <w:left w:val="single" w:color="auto" w:sz="4" w:space="0"/>
              <w:bottom w:val="single" w:color="auto" w:sz="4" w:space="0"/>
              <w:right w:val="single" w:color="auto" w:sz="4" w:space="0"/>
            </w:tcBorders>
            <w:vAlign w:val="center"/>
          </w:tcPr>
          <w:p w14:paraId="6DCCF76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功能分类科目编码</w:t>
            </w:r>
          </w:p>
        </w:tc>
        <w:tc>
          <w:tcPr>
            <w:tcW w:w="3269" w:type="dxa"/>
            <w:tcBorders>
              <w:top w:val="single" w:color="auto" w:sz="4" w:space="0"/>
              <w:left w:val="single" w:color="auto" w:sz="4" w:space="0"/>
              <w:bottom w:val="single" w:color="auto" w:sz="4" w:space="0"/>
              <w:right w:val="single" w:color="auto" w:sz="4" w:space="0"/>
            </w:tcBorders>
            <w:vAlign w:val="center"/>
          </w:tcPr>
          <w:p w14:paraId="43CC60B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14:paraId="6648C4AF">
            <w:pPr>
              <w:jc w:val="center"/>
              <w:rPr>
                <w:rFonts w:ascii="宋体" w:hAnsi="宋体" w:cs="宋体"/>
                <w:b/>
                <w:color w:val="00000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406EDF0">
            <w:pPr>
              <w:jc w:val="center"/>
              <w:rPr>
                <w:rFonts w:ascii="宋体" w:hAnsi="宋体" w:cs="宋体"/>
                <w:b/>
                <w:color w:val="000000"/>
                <w:sz w:val="18"/>
                <w:szCs w:val="18"/>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14:paraId="697057B0">
            <w:pPr>
              <w:jc w:val="center"/>
              <w:rPr>
                <w:rFonts w:ascii="宋体" w:hAnsi="宋体" w:cs="宋体"/>
                <w:b/>
                <w:color w:val="000000"/>
                <w:sz w:val="18"/>
                <w:szCs w:val="18"/>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5DDC3735">
            <w:pPr>
              <w:jc w:val="center"/>
              <w:rPr>
                <w:rFonts w:ascii="宋体" w:hAnsi="宋体" w:cs="宋体"/>
                <w:b/>
                <w:color w:val="000000"/>
                <w:sz w:val="18"/>
                <w:szCs w:val="18"/>
              </w:rPr>
            </w:pPr>
          </w:p>
        </w:tc>
        <w:tc>
          <w:tcPr>
            <w:tcW w:w="585" w:type="dxa"/>
            <w:vMerge w:val="continue"/>
            <w:tcBorders>
              <w:top w:val="single" w:color="auto" w:sz="4" w:space="0"/>
              <w:left w:val="single" w:color="auto" w:sz="4" w:space="0"/>
              <w:bottom w:val="single" w:color="auto" w:sz="4" w:space="0"/>
              <w:right w:val="single" w:color="auto" w:sz="4" w:space="0"/>
            </w:tcBorders>
            <w:vAlign w:val="center"/>
          </w:tcPr>
          <w:p w14:paraId="0DD10300">
            <w:pPr>
              <w:jc w:val="center"/>
              <w:rPr>
                <w:rFonts w:ascii="宋体" w:hAnsi="宋体" w:cs="宋体"/>
                <w:b/>
                <w:color w:val="000000"/>
                <w:sz w:val="18"/>
                <w:szCs w:val="18"/>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14:paraId="762D9735">
            <w:pPr>
              <w:jc w:val="center"/>
              <w:rPr>
                <w:rFonts w:ascii="宋体" w:hAnsi="宋体" w:cs="宋体"/>
                <w:b/>
                <w:color w:val="000000"/>
                <w:sz w:val="18"/>
                <w:szCs w:val="18"/>
              </w:rPr>
            </w:pPr>
          </w:p>
        </w:tc>
      </w:tr>
      <w:tr w14:paraId="0EDD0BA6">
        <w:tblPrEx>
          <w:tblCellMar>
            <w:top w:w="15" w:type="dxa"/>
            <w:left w:w="15" w:type="dxa"/>
            <w:bottom w:w="15" w:type="dxa"/>
            <w:right w:w="15" w:type="dxa"/>
          </w:tblCellMar>
        </w:tblPrEx>
        <w:trPr>
          <w:trHeight w:val="372" w:hRule="atLeast"/>
        </w:trPr>
        <w:tc>
          <w:tcPr>
            <w:tcW w:w="4266" w:type="dxa"/>
            <w:gridSpan w:val="3"/>
            <w:tcBorders>
              <w:top w:val="single" w:color="auto" w:sz="4" w:space="0"/>
              <w:left w:val="single" w:color="auto" w:sz="4" w:space="0"/>
              <w:bottom w:val="single" w:color="auto" w:sz="4" w:space="0"/>
              <w:right w:val="single" w:color="auto" w:sz="4" w:space="0"/>
            </w:tcBorders>
            <w:vAlign w:val="center"/>
          </w:tcPr>
          <w:p w14:paraId="2BFD47F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915" w:type="dxa"/>
            <w:tcBorders>
              <w:top w:val="single" w:color="auto" w:sz="4" w:space="0"/>
              <w:left w:val="single" w:color="auto" w:sz="4" w:space="0"/>
              <w:bottom w:val="single" w:color="auto" w:sz="4" w:space="0"/>
              <w:right w:val="single" w:color="auto" w:sz="4" w:space="0"/>
            </w:tcBorders>
            <w:vAlign w:val="center"/>
          </w:tcPr>
          <w:p w14:paraId="59566BD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1,125.69</w:t>
            </w:r>
          </w:p>
        </w:tc>
        <w:tc>
          <w:tcPr>
            <w:tcW w:w="975" w:type="dxa"/>
            <w:tcBorders>
              <w:top w:val="single" w:color="auto" w:sz="4" w:space="0"/>
              <w:left w:val="single" w:color="auto" w:sz="4" w:space="0"/>
              <w:bottom w:val="single" w:color="auto" w:sz="4" w:space="0"/>
              <w:right w:val="single" w:color="auto" w:sz="4" w:space="0"/>
            </w:tcBorders>
            <w:vAlign w:val="center"/>
          </w:tcPr>
          <w:p w14:paraId="2CF4037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905.69</w:t>
            </w:r>
          </w:p>
        </w:tc>
        <w:tc>
          <w:tcPr>
            <w:tcW w:w="735" w:type="dxa"/>
            <w:tcBorders>
              <w:top w:val="single" w:color="auto" w:sz="4" w:space="0"/>
              <w:left w:val="single" w:color="auto" w:sz="4" w:space="0"/>
              <w:bottom w:val="single" w:color="auto" w:sz="4" w:space="0"/>
              <w:right w:val="single" w:color="auto" w:sz="4" w:space="0"/>
            </w:tcBorders>
            <w:vAlign w:val="center"/>
          </w:tcPr>
          <w:p w14:paraId="69F1FDE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220.00</w:t>
            </w:r>
          </w:p>
        </w:tc>
        <w:tc>
          <w:tcPr>
            <w:tcW w:w="675" w:type="dxa"/>
            <w:tcBorders>
              <w:top w:val="single" w:color="auto" w:sz="4" w:space="0"/>
              <w:left w:val="single" w:color="auto" w:sz="4" w:space="0"/>
              <w:bottom w:val="single" w:color="auto" w:sz="4" w:space="0"/>
              <w:right w:val="single" w:color="auto" w:sz="4" w:space="0"/>
            </w:tcBorders>
            <w:vAlign w:val="center"/>
          </w:tcPr>
          <w:p w14:paraId="63B69FC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DADAFB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26FC596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D183BB5">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1C032D0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186003C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一般公共服务支出</w:t>
            </w:r>
          </w:p>
        </w:tc>
        <w:tc>
          <w:tcPr>
            <w:tcW w:w="915" w:type="dxa"/>
            <w:tcBorders>
              <w:top w:val="single" w:color="auto" w:sz="4" w:space="0"/>
              <w:left w:val="single" w:color="auto" w:sz="4" w:space="0"/>
              <w:bottom w:val="single" w:color="auto" w:sz="4" w:space="0"/>
              <w:right w:val="single" w:color="auto" w:sz="4" w:space="0"/>
            </w:tcBorders>
            <w:vAlign w:val="center"/>
          </w:tcPr>
          <w:p w14:paraId="53DB734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562.36</w:t>
            </w:r>
          </w:p>
        </w:tc>
        <w:tc>
          <w:tcPr>
            <w:tcW w:w="975" w:type="dxa"/>
            <w:tcBorders>
              <w:top w:val="single" w:color="auto" w:sz="4" w:space="0"/>
              <w:left w:val="single" w:color="auto" w:sz="4" w:space="0"/>
              <w:bottom w:val="single" w:color="auto" w:sz="4" w:space="0"/>
              <w:right w:val="single" w:color="auto" w:sz="4" w:space="0"/>
            </w:tcBorders>
            <w:vAlign w:val="center"/>
          </w:tcPr>
          <w:p w14:paraId="3C551F5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479.36</w:t>
            </w:r>
          </w:p>
        </w:tc>
        <w:tc>
          <w:tcPr>
            <w:tcW w:w="735" w:type="dxa"/>
            <w:tcBorders>
              <w:top w:val="single" w:color="auto" w:sz="4" w:space="0"/>
              <w:left w:val="single" w:color="auto" w:sz="4" w:space="0"/>
              <w:bottom w:val="single" w:color="auto" w:sz="4" w:space="0"/>
              <w:right w:val="single" w:color="auto" w:sz="4" w:space="0"/>
            </w:tcBorders>
            <w:vAlign w:val="center"/>
          </w:tcPr>
          <w:p w14:paraId="4961438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83.00</w:t>
            </w:r>
          </w:p>
        </w:tc>
        <w:tc>
          <w:tcPr>
            <w:tcW w:w="675" w:type="dxa"/>
            <w:tcBorders>
              <w:top w:val="single" w:color="auto" w:sz="4" w:space="0"/>
              <w:left w:val="single" w:color="auto" w:sz="4" w:space="0"/>
              <w:bottom w:val="single" w:color="auto" w:sz="4" w:space="0"/>
              <w:right w:val="single" w:color="auto" w:sz="4" w:space="0"/>
            </w:tcBorders>
            <w:vAlign w:val="center"/>
          </w:tcPr>
          <w:p w14:paraId="031B3A4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4A1F44E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4AA599D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564C904E">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1F83467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3B347E1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人大事务</w:t>
            </w:r>
          </w:p>
        </w:tc>
        <w:tc>
          <w:tcPr>
            <w:tcW w:w="915" w:type="dxa"/>
            <w:tcBorders>
              <w:top w:val="single" w:color="auto" w:sz="4" w:space="0"/>
              <w:left w:val="single" w:color="auto" w:sz="4" w:space="0"/>
              <w:bottom w:val="single" w:color="auto" w:sz="4" w:space="0"/>
              <w:right w:val="single" w:color="auto" w:sz="4" w:space="0"/>
            </w:tcBorders>
            <w:vAlign w:val="center"/>
          </w:tcPr>
          <w:p w14:paraId="570AAFA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975" w:type="dxa"/>
            <w:tcBorders>
              <w:top w:val="single" w:color="auto" w:sz="4" w:space="0"/>
              <w:left w:val="single" w:color="auto" w:sz="4" w:space="0"/>
              <w:bottom w:val="single" w:color="auto" w:sz="4" w:space="0"/>
              <w:right w:val="single" w:color="auto" w:sz="4" w:space="0"/>
            </w:tcBorders>
            <w:vAlign w:val="center"/>
          </w:tcPr>
          <w:p w14:paraId="3DB84B6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735" w:type="dxa"/>
            <w:tcBorders>
              <w:top w:val="single" w:color="auto" w:sz="4" w:space="0"/>
              <w:left w:val="single" w:color="auto" w:sz="4" w:space="0"/>
              <w:bottom w:val="single" w:color="auto" w:sz="4" w:space="0"/>
              <w:right w:val="single" w:color="auto" w:sz="4" w:space="0"/>
            </w:tcBorders>
            <w:vAlign w:val="center"/>
          </w:tcPr>
          <w:p w14:paraId="1E5778C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056CF7B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136ADFC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312678B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695368DF">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048CA47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2010108</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4494956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代表工作</w:t>
            </w:r>
          </w:p>
        </w:tc>
        <w:tc>
          <w:tcPr>
            <w:tcW w:w="915" w:type="dxa"/>
            <w:tcBorders>
              <w:top w:val="single" w:color="auto" w:sz="4" w:space="0"/>
              <w:left w:val="single" w:color="auto" w:sz="4" w:space="0"/>
              <w:bottom w:val="single" w:color="auto" w:sz="4" w:space="0"/>
              <w:right w:val="single" w:color="auto" w:sz="4" w:space="0"/>
            </w:tcBorders>
            <w:vAlign w:val="center"/>
          </w:tcPr>
          <w:p w14:paraId="577AE19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975" w:type="dxa"/>
            <w:tcBorders>
              <w:top w:val="single" w:color="auto" w:sz="4" w:space="0"/>
              <w:left w:val="single" w:color="auto" w:sz="4" w:space="0"/>
              <w:bottom w:val="single" w:color="auto" w:sz="4" w:space="0"/>
              <w:right w:val="single" w:color="auto" w:sz="4" w:space="0"/>
            </w:tcBorders>
            <w:vAlign w:val="center"/>
          </w:tcPr>
          <w:p w14:paraId="0982F02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735" w:type="dxa"/>
            <w:tcBorders>
              <w:top w:val="single" w:color="auto" w:sz="4" w:space="0"/>
              <w:left w:val="single" w:color="auto" w:sz="4" w:space="0"/>
              <w:bottom w:val="single" w:color="auto" w:sz="4" w:space="0"/>
              <w:right w:val="single" w:color="auto" w:sz="4" w:space="0"/>
            </w:tcBorders>
            <w:vAlign w:val="center"/>
          </w:tcPr>
          <w:p w14:paraId="2C0E0E7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21A083F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6D2877B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7A166B4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27644E93">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0E2743C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20103</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7A3846D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915" w:type="dxa"/>
            <w:tcBorders>
              <w:top w:val="single" w:color="auto" w:sz="4" w:space="0"/>
              <w:left w:val="single" w:color="auto" w:sz="4" w:space="0"/>
              <w:bottom w:val="single" w:color="auto" w:sz="4" w:space="0"/>
              <w:right w:val="single" w:color="auto" w:sz="4" w:space="0"/>
            </w:tcBorders>
            <w:vAlign w:val="center"/>
          </w:tcPr>
          <w:p w14:paraId="66BAD90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511.06</w:t>
            </w:r>
          </w:p>
        </w:tc>
        <w:tc>
          <w:tcPr>
            <w:tcW w:w="975" w:type="dxa"/>
            <w:tcBorders>
              <w:top w:val="single" w:color="auto" w:sz="4" w:space="0"/>
              <w:left w:val="single" w:color="auto" w:sz="4" w:space="0"/>
              <w:bottom w:val="single" w:color="auto" w:sz="4" w:space="0"/>
              <w:right w:val="single" w:color="auto" w:sz="4" w:space="0"/>
            </w:tcBorders>
            <w:vAlign w:val="center"/>
          </w:tcPr>
          <w:p w14:paraId="5118D6D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428.06</w:t>
            </w:r>
          </w:p>
        </w:tc>
        <w:tc>
          <w:tcPr>
            <w:tcW w:w="735" w:type="dxa"/>
            <w:tcBorders>
              <w:top w:val="single" w:color="auto" w:sz="4" w:space="0"/>
              <w:left w:val="single" w:color="auto" w:sz="4" w:space="0"/>
              <w:bottom w:val="single" w:color="auto" w:sz="4" w:space="0"/>
              <w:right w:val="single" w:color="auto" w:sz="4" w:space="0"/>
            </w:tcBorders>
            <w:vAlign w:val="center"/>
          </w:tcPr>
          <w:p w14:paraId="2F87F87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83.00</w:t>
            </w:r>
          </w:p>
        </w:tc>
        <w:tc>
          <w:tcPr>
            <w:tcW w:w="675" w:type="dxa"/>
            <w:tcBorders>
              <w:top w:val="single" w:color="auto" w:sz="4" w:space="0"/>
              <w:left w:val="single" w:color="auto" w:sz="4" w:space="0"/>
              <w:bottom w:val="single" w:color="auto" w:sz="4" w:space="0"/>
              <w:right w:val="single" w:color="auto" w:sz="4" w:space="0"/>
            </w:tcBorders>
            <w:vAlign w:val="center"/>
          </w:tcPr>
          <w:p w14:paraId="1BEDD2F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66AA1B4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68F7D81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68936945">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517AD72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2010301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0977D04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行政运行</w:t>
            </w:r>
          </w:p>
        </w:tc>
        <w:tc>
          <w:tcPr>
            <w:tcW w:w="915" w:type="dxa"/>
            <w:tcBorders>
              <w:top w:val="single" w:color="auto" w:sz="4" w:space="0"/>
              <w:left w:val="single" w:color="auto" w:sz="4" w:space="0"/>
              <w:bottom w:val="single" w:color="auto" w:sz="4" w:space="0"/>
              <w:right w:val="single" w:color="auto" w:sz="4" w:space="0"/>
            </w:tcBorders>
            <w:vAlign w:val="center"/>
          </w:tcPr>
          <w:p w14:paraId="0D229C7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428.06</w:t>
            </w:r>
          </w:p>
        </w:tc>
        <w:tc>
          <w:tcPr>
            <w:tcW w:w="975" w:type="dxa"/>
            <w:tcBorders>
              <w:top w:val="single" w:color="auto" w:sz="4" w:space="0"/>
              <w:left w:val="single" w:color="auto" w:sz="4" w:space="0"/>
              <w:bottom w:val="single" w:color="auto" w:sz="4" w:space="0"/>
              <w:right w:val="single" w:color="auto" w:sz="4" w:space="0"/>
            </w:tcBorders>
            <w:vAlign w:val="center"/>
          </w:tcPr>
          <w:p w14:paraId="618FCDA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428.06</w:t>
            </w:r>
          </w:p>
        </w:tc>
        <w:tc>
          <w:tcPr>
            <w:tcW w:w="735" w:type="dxa"/>
            <w:tcBorders>
              <w:top w:val="single" w:color="auto" w:sz="4" w:space="0"/>
              <w:left w:val="single" w:color="auto" w:sz="4" w:space="0"/>
              <w:bottom w:val="single" w:color="auto" w:sz="4" w:space="0"/>
              <w:right w:val="single" w:color="auto" w:sz="4" w:space="0"/>
            </w:tcBorders>
            <w:vAlign w:val="center"/>
          </w:tcPr>
          <w:p w14:paraId="3862CBC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7CFEFEB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A11319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063DFBA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1140DBB5">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422CFA8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2010302</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611CD0A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915" w:type="dxa"/>
            <w:tcBorders>
              <w:top w:val="single" w:color="auto" w:sz="4" w:space="0"/>
              <w:left w:val="single" w:color="auto" w:sz="4" w:space="0"/>
              <w:bottom w:val="single" w:color="auto" w:sz="4" w:space="0"/>
              <w:right w:val="single" w:color="auto" w:sz="4" w:space="0"/>
            </w:tcBorders>
            <w:vAlign w:val="center"/>
          </w:tcPr>
          <w:p w14:paraId="431BCA2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83.00</w:t>
            </w:r>
          </w:p>
        </w:tc>
        <w:tc>
          <w:tcPr>
            <w:tcW w:w="975" w:type="dxa"/>
            <w:tcBorders>
              <w:top w:val="single" w:color="auto" w:sz="4" w:space="0"/>
              <w:left w:val="single" w:color="auto" w:sz="4" w:space="0"/>
              <w:bottom w:val="single" w:color="auto" w:sz="4" w:space="0"/>
              <w:right w:val="single" w:color="auto" w:sz="4" w:space="0"/>
            </w:tcBorders>
            <w:vAlign w:val="center"/>
          </w:tcPr>
          <w:p w14:paraId="67B1157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35" w:type="dxa"/>
            <w:tcBorders>
              <w:top w:val="single" w:color="auto" w:sz="4" w:space="0"/>
              <w:left w:val="single" w:color="auto" w:sz="4" w:space="0"/>
              <w:bottom w:val="single" w:color="auto" w:sz="4" w:space="0"/>
              <w:right w:val="single" w:color="auto" w:sz="4" w:space="0"/>
            </w:tcBorders>
            <w:vAlign w:val="center"/>
          </w:tcPr>
          <w:p w14:paraId="7A09D92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83.00</w:t>
            </w:r>
          </w:p>
        </w:tc>
        <w:tc>
          <w:tcPr>
            <w:tcW w:w="675" w:type="dxa"/>
            <w:tcBorders>
              <w:top w:val="single" w:color="auto" w:sz="4" w:space="0"/>
              <w:left w:val="single" w:color="auto" w:sz="4" w:space="0"/>
              <w:bottom w:val="single" w:color="auto" w:sz="4" w:space="0"/>
              <w:right w:val="single" w:color="auto" w:sz="4" w:space="0"/>
            </w:tcBorders>
            <w:vAlign w:val="center"/>
          </w:tcPr>
          <w:p w14:paraId="56B0C89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0B3261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263D8C5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070A5BE7">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6BFA53F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20106</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47FEE82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财政事务</w:t>
            </w:r>
          </w:p>
        </w:tc>
        <w:tc>
          <w:tcPr>
            <w:tcW w:w="915" w:type="dxa"/>
            <w:tcBorders>
              <w:top w:val="single" w:color="auto" w:sz="4" w:space="0"/>
              <w:left w:val="single" w:color="auto" w:sz="4" w:space="0"/>
              <w:bottom w:val="single" w:color="auto" w:sz="4" w:space="0"/>
              <w:right w:val="single" w:color="auto" w:sz="4" w:space="0"/>
            </w:tcBorders>
            <w:vAlign w:val="center"/>
          </w:tcPr>
          <w:p w14:paraId="6CAE45C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47.95</w:t>
            </w:r>
          </w:p>
        </w:tc>
        <w:tc>
          <w:tcPr>
            <w:tcW w:w="975" w:type="dxa"/>
            <w:tcBorders>
              <w:top w:val="single" w:color="auto" w:sz="4" w:space="0"/>
              <w:left w:val="single" w:color="auto" w:sz="4" w:space="0"/>
              <w:bottom w:val="single" w:color="auto" w:sz="4" w:space="0"/>
              <w:right w:val="single" w:color="auto" w:sz="4" w:space="0"/>
            </w:tcBorders>
            <w:vAlign w:val="center"/>
          </w:tcPr>
          <w:p w14:paraId="67BF190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47.95</w:t>
            </w:r>
          </w:p>
        </w:tc>
        <w:tc>
          <w:tcPr>
            <w:tcW w:w="735" w:type="dxa"/>
            <w:tcBorders>
              <w:top w:val="single" w:color="auto" w:sz="4" w:space="0"/>
              <w:left w:val="single" w:color="auto" w:sz="4" w:space="0"/>
              <w:bottom w:val="single" w:color="auto" w:sz="4" w:space="0"/>
              <w:right w:val="single" w:color="auto" w:sz="4" w:space="0"/>
            </w:tcBorders>
            <w:vAlign w:val="center"/>
          </w:tcPr>
          <w:p w14:paraId="2783EF2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3DB67A8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7485982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3F09490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02608C3A">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20D132E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2010601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718F33E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行政运行</w:t>
            </w:r>
          </w:p>
        </w:tc>
        <w:tc>
          <w:tcPr>
            <w:tcW w:w="915" w:type="dxa"/>
            <w:tcBorders>
              <w:top w:val="single" w:color="auto" w:sz="4" w:space="0"/>
              <w:left w:val="single" w:color="auto" w:sz="4" w:space="0"/>
              <w:bottom w:val="single" w:color="auto" w:sz="4" w:space="0"/>
              <w:right w:val="single" w:color="auto" w:sz="4" w:space="0"/>
            </w:tcBorders>
            <w:vAlign w:val="center"/>
          </w:tcPr>
          <w:p w14:paraId="42EF6C2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41.63</w:t>
            </w:r>
          </w:p>
        </w:tc>
        <w:tc>
          <w:tcPr>
            <w:tcW w:w="975" w:type="dxa"/>
            <w:tcBorders>
              <w:top w:val="single" w:color="auto" w:sz="4" w:space="0"/>
              <w:left w:val="single" w:color="auto" w:sz="4" w:space="0"/>
              <w:bottom w:val="single" w:color="auto" w:sz="4" w:space="0"/>
              <w:right w:val="single" w:color="auto" w:sz="4" w:space="0"/>
            </w:tcBorders>
            <w:vAlign w:val="center"/>
          </w:tcPr>
          <w:p w14:paraId="31FEE32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41.63</w:t>
            </w:r>
          </w:p>
        </w:tc>
        <w:tc>
          <w:tcPr>
            <w:tcW w:w="735" w:type="dxa"/>
            <w:tcBorders>
              <w:top w:val="single" w:color="auto" w:sz="4" w:space="0"/>
              <w:left w:val="single" w:color="auto" w:sz="4" w:space="0"/>
              <w:bottom w:val="single" w:color="auto" w:sz="4" w:space="0"/>
              <w:right w:val="single" w:color="auto" w:sz="4" w:space="0"/>
            </w:tcBorders>
            <w:vAlign w:val="center"/>
          </w:tcPr>
          <w:p w14:paraId="2CB17D7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77C6B16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4D39571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1D6F520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78ABF18E">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590545C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2010699</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5A9BEF1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其他财政事务支出</w:t>
            </w:r>
          </w:p>
        </w:tc>
        <w:tc>
          <w:tcPr>
            <w:tcW w:w="915" w:type="dxa"/>
            <w:tcBorders>
              <w:top w:val="single" w:color="auto" w:sz="4" w:space="0"/>
              <w:left w:val="single" w:color="auto" w:sz="4" w:space="0"/>
              <w:bottom w:val="single" w:color="auto" w:sz="4" w:space="0"/>
              <w:right w:val="single" w:color="auto" w:sz="4" w:space="0"/>
            </w:tcBorders>
            <w:vAlign w:val="center"/>
          </w:tcPr>
          <w:p w14:paraId="06C88E7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6.32</w:t>
            </w:r>
          </w:p>
        </w:tc>
        <w:tc>
          <w:tcPr>
            <w:tcW w:w="975" w:type="dxa"/>
            <w:tcBorders>
              <w:top w:val="single" w:color="auto" w:sz="4" w:space="0"/>
              <w:left w:val="single" w:color="auto" w:sz="4" w:space="0"/>
              <w:bottom w:val="single" w:color="auto" w:sz="4" w:space="0"/>
              <w:right w:val="single" w:color="auto" w:sz="4" w:space="0"/>
            </w:tcBorders>
            <w:vAlign w:val="center"/>
          </w:tcPr>
          <w:p w14:paraId="3A428C7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6.32</w:t>
            </w:r>
          </w:p>
        </w:tc>
        <w:tc>
          <w:tcPr>
            <w:tcW w:w="735" w:type="dxa"/>
            <w:tcBorders>
              <w:top w:val="single" w:color="auto" w:sz="4" w:space="0"/>
              <w:left w:val="single" w:color="auto" w:sz="4" w:space="0"/>
              <w:bottom w:val="single" w:color="auto" w:sz="4" w:space="0"/>
              <w:right w:val="single" w:color="auto" w:sz="4" w:space="0"/>
            </w:tcBorders>
            <w:vAlign w:val="center"/>
          </w:tcPr>
          <w:p w14:paraId="760982E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4C163E6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62F4BB1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32C07B8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6279952B">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666DCDC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20132</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2465439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组织事务</w:t>
            </w:r>
          </w:p>
        </w:tc>
        <w:tc>
          <w:tcPr>
            <w:tcW w:w="915" w:type="dxa"/>
            <w:tcBorders>
              <w:top w:val="single" w:color="auto" w:sz="4" w:space="0"/>
              <w:left w:val="single" w:color="auto" w:sz="4" w:space="0"/>
              <w:bottom w:val="single" w:color="auto" w:sz="4" w:space="0"/>
              <w:right w:val="single" w:color="auto" w:sz="4" w:space="0"/>
            </w:tcBorders>
            <w:vAlign w:val="center"/>
          </w:tcPr>
          <w:p w14:paraId="799470A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975" w:type="dxa"/>
            <w:tcBorders>
              <w:top w:val="single" w:color="auto" w:sz="4" w:space="0"/>
              <w:left w:val="single" w:color="auto" w:sz="4" w:space="0"/>
              <w:bottom w:val="single" w:color="auto" w:sz="4" w:space="0"/>
              <w:right w:val="single" w:color="auto" w:sz="4" w:space="0"/>
            </w:tcBorders>
            <w:vAlign w:val="center"/>
          </w:tcPr>
          <w:p w14:paraId="7BFEED0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735" w:type="dxa"/>
            <w:tcBorders>
              <w:top w:val="single" w:color="auto" w:sz="4" w:space="0"/>
              <w:left w:val="single" w:color="auto" w:sz="4" w:space="0"/>
              <w:bottom w:val="single" w:color="auto" w:sz="4" w:space="0"/>
              <w:right w:val="single" w:color="auto" w:sz="4" w:space="0"/>
            </w:tcBorders>
            <w:vAlign w:val="center"/>
          </w:tcPr>
          <w:p w14:paraId="1725BC3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1FFF079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6FC7AAE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661E137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0564C2F2">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77AD6E3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2013204</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716D2A9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公务员事务</w:t>
            </w:r>
          </w:p>
        </w:tc>
        <w:tc>
          <w:tcPr>
            <w:tcW w:w="915" w:type="dxa"/>
            <w:tcBorders>
              <w:top w:val="single" w:color="auto" w:sz="4" w:space="0"/>
              <w:left w:val="single" w:color="auto" w:sz="4" w:space="0"/>
              <w:bottom w:val="single" w:color="auto" w:sz="4" w:space="0"/>
              <w:right w:val="single" w:color="auto" w:sz="4" w:space="0"/>
            </w:tcBorders>
            <w:vAlign w:val="center"/>
          </w:tcPr>
          <w:p w14:paraId="5B9D9BB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975" w:type="dxa"/>
            <w:tcBorders>
              <w:top w:val="single" w:color="auto" w:sz="4" w:space="0"/>
              <w:left w:val="single" w:color="auto" w:sz="4" w:space="0"/>
              <w:bottom w:val="single" w:color="auto" w:sz="4" w:space="0"/>
              <w:right w:val="single" w:color="auto" w:sz="4" w:space="0"/>
            </w:tcBorders>
            <w:vAlign w:val="center"/>
          </w:tcPr>
          <w:p w14:paraId="1FE5914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735" w:type="dxa"/>
            <w:tcBorders>
              <w:top w:val="single" w:color="auto" w:sz="4" w:space="0"/>
              <w:left w:val="single" w:color="auto" w:sz="4" w:space="0"/>
              <w:bottom w:val="single" w:color="auto" w:sz="4" w:space="0"/>
              <w:right w:val="single" w:color="auto" w:sz="4" w:space="0"/>
            </w:tcBorders>
            <w:vAlign w:val="center"/>
          </w:tcPr>
          <w:p w14:paraId="7717CE2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28F7475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2CABF60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02FD1E7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3AC387A3">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6AF0DC6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204</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6551265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公共安全支出</w:t>
            </w:r>
          </w:p>
        </w:tc>
        <w:tc>
          <w:tcPr>
            <w:tcW w:w="915" w:type="dxa"/>
            <w:tcBorders>
              <w:top w:val="single" w:color="auto" w:sz="4" w:space="0"/>
              <w:left w:val="single" w:color="auto" w:sz="4" w:space="0"/>
              <w:bottom w:val="single" w:color="auto" w:sz="4" w:space="0"/>
              <w:right w:val="single" w:color="auto" w:sz="4" w:space="0"/>
            </w:tcBorders>
            <w:vAlign w:val="center"/>
          </w:tcPr>
          <w:p w14:paraId="403D7DF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975" w:type="dxa"/>
            <w:tcBorders>
              <w:top w:val="single" w:color="auto" w:sz="4" w:space="0"/>
              <w:left w:val="single" w:color="auto" w:sz="4" w:space="0"/>
              <w:bottom w:val="single" w:color="auto" w:sz="4" w:space="0"/>
              <w:right w:val="single" w:color="auto" w:sz="4" w:space="0"/>
            </w:tcBorders>
            <w:vAlign w:val="center"/>
          </w:tcPr>
          <w:p w14:paraId="0D9AA0A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735" w:type="dxa"/>
            <w:tcBorders>
              <w:top w:val="single" w:color="auto" w:sz="4" w:space="0"/>
              <w:left w:val="single" w:color="auto" w:sz="4" w:space="0"/>
              <w:bottom w:val="single" w:color="auto" w:sz="4" w:space="0"/>
              <w:right w:val="single" w:color="auto" w:sz="4" w:space="0"/>
            </w:tcBorders>
            <w:vAlign w:val="center"/>
          </w:tcPr>
          <w:p w14:paraId="698F0A4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18DC244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1C0C441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713E684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0D334027">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6235EB3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20406</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03A62F3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司法</w:t>
            </w:r>
          </w:p>
        </w:tc>
        <w:tc>
          <w:tcPr>
            <w:tcW w:w="915" w:type="dxa"/>
            <w:tcBorders>
              <w:top w:val="single" w:color="auto" w:sz="4" w:space="0"/>
              <w:left w:val="single" w:color="auto" w:sz="4" w:space="0"/>
              <w:bottom w:val="single" w:color="auto" w:sz="4" w:space="0"/>
              <w:right w:val="single" w:color="auto" w:sz="4" w:space="0"/>
            </w:tcBorders>
            <w:vAlign w:val="center"/>
          </w:tcPr>
          <w:p w14:paraId="36A12BF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975" w:type="dxa"/>
            <w:tcBorders>
              <w:top w:val="single" w:color="auto" w:sz="4" w:space="0"/>
              <w:left w:val="single" w:color="auto" w:sz="4" w:space="0"/>
              <w:bottom w:val="single" w:color="auto" w:sz="4" w:space="0"/>
              <w:right w:val="single" w:color="auto" w:sz="4" w:space="0"/>
            </w:tcBorders>
            <w:vAlign w:val="center"/>
          </w:tcPr>
          <w:p w14:paraId="533AD63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735" w:type="dxa"/>
            <w:tcBorders>
              <w:top w:val="single" w:color="auto" w:sz="4" w:space="0"/>
              <w:left w:val="single" w:color="auto" w:sz="4" w:space="0"/>
              <w:bottom w:val="single" w:color="auto" w:sz="4" w:space="0"/>
              <w:right w:val="single" w:color="auto" w:sz="4" w:space="0"/>
            </w:tcBorders>
            <w:vAlign w:val="center"/>
          </w:tcPr>
          <w:p w14:paraId="11EF902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320E24E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2679A57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6649473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79297EC4">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25D752E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2040604</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3E1B052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基层司法业务</w:t>
            </w:r>
          </w:p>
        </w:tc>
        <w:tc>
          <w:tcPr>
            <w:tcW w:w="915" w:type="dxa"/>
            <w:tcBorders>
              <w:top w:val="single" w:color="auto" w:sz="4" w:space="0"/>
              <w:left w:val="single" w:color="auto" w:sz="4" w:space="0"/>
              <w:bottom w:val="single" w:color="auto" w:sz="4" w:space="0"/>
              <w:right w:val="single" w:color="auto" w:sz="4" w:space="0"/>
            </w:tcBorders>
            <w:vAlign w:val="center"/>
          </w:tcPr>
          <w:p w14:paraId="313A1FB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975" w:type="dxa"/>
            <w:tcBorders>
              <w:top w:val="single" w:color="auto" w:sz="4" w:space="0"/>
              <w:left w:val="single" w:color="auto" w:sz="4" w:space="0"/>
              <w:bottom w:val="single" w:color="auto" w:sz="4" w:space="0"/>
              <w:right w:val="single" w:color="auto" w:sz="4" w:space="0"/>
            </w:tcBorders>
            <w:vAlign w:val="center"/>
          </w:tcPr>
          <w:p w14:paraId="7B0A8C4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735" w:type="dxa"/>
            <w:tcBorders>
              <w:top w:val="single" w:color="auto" w:sz="4" w:space="0"/>
              <w:left w:val="single" w:color="auto" w:sz="4" w:space="0"/>
              <w:bottom w:val="single" w:color="auto" w:sz="4" w:space="0"/>
              <w:right w:val="single" w:color="auto" w:sz="4" w:space="0"/>
            </w:tcBorders>
            <w:vAlign w:val="center"/>
          </w:tcPr>
          <w:p w14:paraId="64EF7D4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3DBAFD6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43C2F1E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5E5BB96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643D8D0A">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3B7F3AD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205</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40FCD0F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教育支出</w:t>
            </w:r>
          </w:p>
        </w:tc>
        <w:tc>
          <w:tcPr>
            <w:tcW w:w="915" w:type="dxa"/>
            <w:tcBorders>
              <w:top w:val="single" w:color="auto" w:sz="4" w:space="0"/>
              <w:left w:val="single" w:color="auto" w:sz="4" w:space="0"/>
              <w:bottom w:val="single" w:color="auto" w:sz="4" w:space="0"/>
              <w:right w:val="single" w:color="auto" w:sz="4" w:space="0"/>
            </w:tcBorders>
            <w:vAlign w:val="center"/>
          </w:tcPr>
          <w:p w14:paraId="716EDC9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975" w:type="dxa"/>
            <w:tcBorders>
              <w:top w:val="single" w:color="auto" w:sz="4" w:space="0"/>
              <w:left w:val="single" w:color="auto" w:sz="4" w:space="0"/>
              <w:bottom w:val="single" w:color="auto" w:sz="4" w:space="0"/>
              <w:right w:val="single" w:color="auto" w:sz="4" w:space="0"/>
            </w:tcBorders>
            <w:vAlign w:val="center"/>
          </w:tcPr>
          <w:p w14:paraId="4C6A180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735" w:type="dxa"/>
            <w:tcBorders>
              <w:top w:val="single" w:color="auto" w:sz="4" w:space="0"/>
              <w:left w:val="single" w:color="auto" w:sz="4" w:space="0"/>
              <w:bottom w:val="single" w:color="auto" w:sz="4" w:space="0"/>
              <w:right w:val="single" w:color="auto" w:sz="4" w:space="0"/>
            </w:tcBorders>
            <w:vAlign w:val="center"/>
          </w:tcPr>
          <w:p w14:paraId="7F266B2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41707CD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6D93A0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07AFE2F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68847848">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3E84747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20502</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07A7805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普通教育</w:t>
            </w:r>
          </w:p>
        </w:tc>
        <w:tc>
          <w:tcPr>
            <w:tcW w:w="915" w:type="dxa"/>
            <w:tcBorders>
              <w:top w:val="single" w:color="auto" w:sz="4" w:space="0"/>
              <w:left w:val="single" w:color="auto" w:sz="4" w:space="0"/>
              <w:bottom w:val="single" w:color="auto" w:sz="4" w:space="0"/>
              <w:right w:val="single" w:color="auto" w:sz="4" w:space="0"/>
            </w:tcBorders>
            <w:vAlign w:val="center"/>
          </w:tcPr>
          <w:p w14:paraId="0EA39B1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975" w:type="dxa"/>
            <w:tcBorders>
              <w:top w:val="single" w:color="auto" w:sz="4" w:space="0"/>
              <w:left w:val="single" w:color="auto" w:sz="4" w:space="0"/>
              <w:bottom w:val="single" w:color="auto" w:sz="4" w:space="0"/>
              <w:right w:val="single" w:color="auto" w:sz="4" w:space="0"/>
            </w:tcBorders>
            <w:vAlign w:val="center"/>
          </w:tcPr>
          <w:p w14:paraId="29AD9EB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735" w:type="dxa"/>
            <w:tcBorders>
              <w:top w:val="single" w:color="auto" w:sz="4" w:space="0"/>
              <w:left w:val="single" w:color="auto" w:sz="4" w:space="0"/>
              <w:bottom w:val="single" w:color="auto" w:sz="4" w:space="0"/>
              <w:right w:val="single" w:color="auto" w:sz="4" w:space="0"/>
            </w:tcBorders>
            <w:vAlign w:val="center"/>
          </w:tcPr>
          <w:p w14:paraId="5521761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28DE962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438C2B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4AA7418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73E8F309">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3B3FDB5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2050299</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44A8143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其他普通教育支出</w:t>
            </w:r>
          </w:p>
        </w:tc>
        <w:tc>
          <w:tcPr>
            <w:tcW w:w="915" w:type="dxa"/>
            <w:tcBorders>
              <w:top w:val="single" w:color="auto" w:sz="4" w:space="0"/>
              <w:left w:val="single" w:color="auto" w:sz="4" w:space="0"/>
              <w:bottom w:val="single" w:color="auto" w:sz="4" w:space="0"/>
              <w:right w:val="single" w:color="auto" w:sz="4" w:space="0"/>
            </w:tcBorders>
            <w:vAlign w:val="center"/>
          </w:tcPr>
          <w:p w14:paraId="271D305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975" w:type="dxa"/>
            <w:tcBorders>
              <w:top w:val="single" w:color="auto" w:sz="4" w:space="0"/>
              <w:left w:val="single" w:color="auto" w:sz="4" w:space="0"/>
              <w:bottom w:val="single" w:color="auto" w:sz="4" w:space="0"/>
              <w:right w:val="single" w:color="auto" w:sz="4" w:space="0"/>
            </w:tcBorders>
            <w:vAlign w:val="center"/>
          </w:tcPr>
          <w:p w14:paraId="1C60D8E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735" w:type="dxa"/>
            <w:tcBorders>
              <w:top w:val="single" w:color="auto" w:sz="4" w:space="0"/>
              <w:left w:val="single" w:color="auto" w:sz="4" w:space="0"/>
              <w:bottom w:val="single" w:color="auto" w:sz="4" w:space="0"/>
              <w:right w:val="single" w:color="auto" w:sz="4" w:space="0"/>
            </w:tcBorders>
            <w:vAlign w:val="center"/>
          </w:tcPr>
          <w:p w14:paraId="2FBD42B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024D9D9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495E5A1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1692D3D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624EA376">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416ACA5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57BEEE2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文化旅游体育与传媒支出</w:t>
            </w:r>
          </w:p>
        </w:tc>
        <w:tc>
          <w:tcPr>
            <w:tcW w:w="915" w:type="dxa"/>
            <w:tcBorders>
              <w:top w:val="single" w:color="auto" w:sz="4" w:space="0"/>
              <w:left w:val="single" w:color="auto" w:sz="4" w:space="0"/>
              <w:bottom w:val="single" w:color="auto" w:sz="4" w:space="0"/>
              <w:right w:val="single" w:color="auto" w:sz="4" w:space="0"/>
            </w:tcBorders>
            <w:vAlign w:val="center"/>
          </w:tcPr>
          <w:p w14:paraId="1D67769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975" w:type="dxa"/>
            <w:tcBorders>
              <w:top w:val="single" w:color="auto" w:sz="4" w:space="0"/>
              <w:left w:val="single" w:color="auto" w:sz="4" w:space="0"/>
              <w:bottom w:val="single" w:color="auto" w:sz="4" w:space="0"/>
              <w:right w:val="single" w:color="auto" w:sz="4" w:space="0"/>
            </w:tcBorders>
            <w:vAlign w:val="center"/>
          </w:tcPr>
          <w:p w14:paraId="7A90540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735" w:type="dxa"/>
            <w:tcBorders>
              <w:top w:val="single" w:color="auto" w:sz="4" w:space="0"/>
              <w:left w:val="single" w:color="auto" w:sz="4" w:space="0"/>
              <w:bottom w:val="single" w:color="auto" w:sz="4" w:space="0"/>
              <w:right w:val="single" w:color="auto" w:sz="4" w:space="0"/>
            </w:tcBorders>
            <w:vAlign w:val="center"/>
          </w:tcPr>
          <w:p w14:paraId="2F1EC46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0FA5986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223B0BB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6E8585F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4317FFCB">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01EB8CA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20701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63C220C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文化和旅游</w:t>
            </w:r>
          </w:p>
        </w:tc>
        <w:tc>
          <w:tcPr>
            <w:tcW w:w="915" w:type="dxa"/>
            <w:tcBorders>
              <w:top w:val="single" w:color="auto" w:sz="4" w:space="0"/>
              <w:left w:val="single" w:color="auto" w:sz="4" w:space="0"/>
              <w:bottom w:val="single" w:color="auto" w:sz="4" w:space="0"/>
              <w:right w:val="single" w:color="auto" w:sz="4" w:space="0"/>
            </w:tcBorders>
            <w:vAlign w:val="center"/>
          </w:tcPr>
          <w:p w14:paraId="7AB9517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975" w:type="dxa"/>
            <w:tcBorders>
              <w:top w:val="single" w:color="auto" w:sz="4" w:space="0"/>
              <w:left w:val="single" w:color="auto" w:sz="4" w:space="0"/>
              <w:bottom w:val="single" w:color="auto" w:sz="4" w:space="0"/>
              <w:right w:val="single" w:color="auto" w:sz="4" w:space="0"/>
            </w:tcBorders>
            <w:vAlign w:val="center"/>
          </w:tcPr>
          <w:p w14:paraId="212D461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735" w:type="dxa"/>
            <w:tcBorders>
              <w:top w:val="single" w:color="auto" w:sz="4" w:space="0"/>
              <w:left w:val="single" w:color="auto" w:sz="4" w:space="0"/>
              <w:bottom w:val="single" w:color="auto" w:sz="4" w:space="0"/>
              <w:right w:val="single" w:color="auto" w:sz="4" w:space="0"/>
            </w:tcBorders>
            <w:vAlign w:val="center"/>
          </w:tcPr>
          <w:p w14:paraId="2097594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13098C6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722C92D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74DAF25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15A74A95">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4A141BE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2070109</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7FB98AA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群众文化</w:t>
            </w:r>
          </w:p>
        </w:tc>
        <w:tc>
          <w:tcPr>
            <w:tcW w:w="915" w:type="dxa"/>
            <w:tcBorders>
              <w:top w:val="single" w:color="auto" w:sz="4" w:space="0"/>
              <w:left w:val="single" w:color="auto" w:sz="4" w:space="0"/>
              <w:bottom w:val="single" w:color="auto" w:sz="4" w:space="0"/>
              <w:right w:val="single" w:color="auto" w:sz="4" w:space="0"/>
            </w:tcBorders>
            <w:vAlign w:val="center"/>
          </w:tcPr>
          <w:p w14:paraId="648C6C1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975" w:type="dxa"/>
            <w:tcBorders>
              <w:top w:val="single" w:color="auto" w:sz="4" w:space="0"/>
              <w:left w:val="single" w:color="auto" w:sz="4" w:space="0"/>
              <w:bottom w:val="single" w:color="auto" w:sz="4" w:space="0"/>
              <w:right w:val="single" w:color="auto" w:sz="4" w:space="0"/>
            </w:tcBorders>
            <w:vAlign w:val="center"/>
          </w:tcPr>
          <w:p w14:paraId="4F226D3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735" w:type="dxa"/>
            <w:tcBorders>
              <w:top w:val="single" w:color="auto" w:sz="4" w:space="0"/>
              <w:left w:val="single" w:color="auto" w:sz="4" w:space="0"/>
              <w:bottom w:val="single" w:color="auto" w:sz="4" w:space="0"/>
              <w:right w:val="single" w:color="auto" w:sz="4" w:space="0"/>
            </w:tcBorders>
            <w:vAlign w:val="center"/>
          </w:tcPr>
          <w:p w14:paraId="089BE4E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61ADC17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F5A003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3722644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215B58E7">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308CCA0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057619E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社会保障和就业支出</w:t>
            </w:r>
          </w:p>
        </w:tc>
        <w:tc>
          <w:tcPr>
            <w:tcW w:w="915" w:type="dxa"/>
            <w:tcBorders>
              <w:top w:val="single" w:color="auto" w:sz="4" w:space="0"/>
              <w:left w:val="single" w:color="auto" w:sz="4" w:space="0"/>
              <w:bottom w:val="single" w:color="auto" w:sz="4" w:space="0"/>
              <w:right w:val="single" w:color="auto" w:sz="4" w:space="0"/>
            </w:tcBorders>
            <w:vAlign w:val="center"/>
          </w:tcPr>
          <w:p w14:paraId="299D5F0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70.84</w:t>
            </w:r>
          </w:p>
        </w:tc>
        <w:tc>
          <w:tcPr>
            <w:tcW w:w="975" w:type="dxa"/>
            <w:tcBorders>
              <w:top w:val="single" w:color="auto" w:sz="4" w:space="0"/>
              <w:left w:val="single" w:color="auto" w:sz="4" w:space="0"/>
              <w:bottom w:val="single" w:color="auto" w:sz="4" w:space="0"/>
              <w:right w:val="single" w:color="auto" w:sz="4" w:space="0"/>
            </w:tcBorders>
            <w:vAlign w:val="center"/>
          </w:tcPr>
          <w:p w14:paraId="41AA2DD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70.84</w:t>
            </w:r>
          </w:p>
        </w:tc>
        <w:tc>
          <w:tcPr>
            <w:tcW w:w="735" w:type="dxa"/>
            <w:tcBorders>
              <w:top w:val="single" w:color="auto" w:sz="4" w:space="0"/>
              <w:left w:val="single" w:color="auto" w:sz="4" w:space="0"/>
              <w:bottom w:val="single" w:color="auto" w:sz="4" w:space="0"/>
              <w:right w:val="single" w:color="auto" w:sz="4" w:space="0"/>
            </w:tcBorders>
            <w:vAlign w:val="center"/>
          </w:tcPr>
          <w:p w14:paraId="69D1B1A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050D6EF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26D6829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00B5368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768E7C37">
        <w:tblPrEx>
          <w:tblCellMar>
            <w:top w:w="15" w:type="dxa"/>
            <w:left w:w="15" w:type="dxa"/>
            <w:bottom w:w="15" w:type="dxa"/>
            <w:right w:w="15" w:type="dxa"/>
          </w:tblCellMar>
        </w:tblPrEx>
        <w:trPr>
          <w:trHeight w:val="372" w:hRule="atLeast"/>
        </w:trPr>
        <w:tc>
          <w:tcPr>
            <w:tcW w:w="914" w:type="dxa"/>
            <w:tcBorders>
              <w:top w:val="single" w:color="auto" w:sz="4" w:space="0"/>
              <w:left w:val="single" w:color="auto" w:sz="4" w:space="0"/>
              <w:bottom w:val="single" w:color="auto" w:sz="4" w:space="0"/>
              <w:right w:val="single" w:color="auto" w:sz="4" w:space="0"/>
            </w:tcBorders>
            <w:vAlign w:val="center"/>
          </w:tcPr>
          <w:p w14:paraId="58D833A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60367C1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行政事业单位离退休</w:t>
            </w:r>
          </w:p>
        </w:tc>
        <w:tc>
          <w:tcPr>
            <w:tcW w:w="915" w:type="dxa"/>
            <w:tcBorders>
              <w:top w:val="single" w:color="auto" w:sz="4" w:space="0"/>
              <w:left w:val="single" w:color="auto" w:sz="4" w:space="0"/>
              <w:bottom w:val="single" w:color="auto" w:sz="4" w:space="0"/>
              <w:right w:val="single" w:color="auto" w:sz="4" w:space="0"/>
            </w:tcBorders>
            <w:vAlign w:val="center"/>
          </w:tcPr>
          <w:p w14:paraId="6FA62AB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975" w:type="dxa"/>
            <w:tcBorders>
              <w:top w:val="single" w:color="auto" w:sz="4" w:space="0"/>
              <w:left w:val="single" w:color="auto" w:sz="4" w:space="0"/>
              <w:bottom w:val="single" w:color="auto" w:sz="4" w:space="0"/>
              <w:right w:val="single" w:color="auto" w:sz="4" w:space="0"/>
            </w:tcBorders>
            <w:vAlign w:val="center"/>
          </w:tcPr>
          <w:p w14:paraId="3E3DF19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735" w:type="dxa"/>
            <w:tcBorders>
              <w:top w:val="single" w:color="auto" w:sz="4" w:space="0"/>
              <w:left w:val="single" w:color="auto" w:sz="4" w:space="0"/>
              <w:bottom w:val="single" w:color="auto" w:sz="4" w:space="0"/>
              <w:right w:val="single" w:color="auto" w:sz="4" w:space="0"/>
            </w:tcBorders>
            <w:vAlign w:val="center"/>
          </w:tcPr>
          <w:p w14:paraId="7028809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24487B5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4880B3E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53A636E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774BB51F">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24C8F00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2080505</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6FBB9F3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915" w:type="dxa"/>
            <w:tcBorders>
              <w:top w:val="single" w:color="auto" w:sz="4" w:space="0"/>
              <w:left w:val="single" w:color="auto" w:sz="4" w:space="0"/>
              <w:bottom w:val="single" w:color="auto" w:sz="4" w:space="0"/>
              <w:right w:val="single" w:color="auto" w:sz="4" w:space="0"/>
            </w:tcBorders>
            <w:vAlign w:val="center"/>
          </w:tcPr>
          <w:p w14:paraId="3945384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975" w:type="dxa"/>
            <w:tcBorders>
              <w:top w:val="single" w:color="auto" w:sz="4" w:space="0"/>
              <w:left w:val="single" w:color="auto" w:sz="4" w:space="0"/>
              <w:bottom w:val="single" w:color="auto" w:sz="4" w:space="0"/>
              <w:right w:val="single" w:color="auto" w:sz="4" w:space="0"/>
            </w:tcBorders>
            <w:vAlign w:val="center"/>
          </w:tcPr>
          <w:p w14:paraId="7A2A8CE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735" w:type="dxa"/>
            <w:tcBorders>
              <w:top w:val="single" w:color="auto" w:sz="4" w:space="0"/>
              <w:left w:val="single" w:color="auto" w:sz="4" w:space="0"/>
              <w:bottom w:val="single" w:color="auto" w:sz="4" w:space="0"/>
              <w:right w:val="single" w:color="auto" w:sz="4" w:space="0"/>
            </w:tcBorders>
            <w:vAlign w:val="center"/>
          </w:tcPr>
          <w:p w14:paraId="1DC8A0B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4CA2FD4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DEA64C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1C397E6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7BD5B7FA">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78B4927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20808</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4E64AE9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抚恤</w:t>
            </w:r>
          </w:p>
        </w:tc>
        <w:tc>
          <w:tcPr>
            <w:tcW w:w="915" w:type="dxa"/>
            <w:tcBorders>
              <w:top w:val="single" w:color="auto" w:sz="4" w:space="0"/>
              <w:left w:val="single" w:color="auto" w:sz="4" w:space="0"/>
              <w:bottom w:val="single" w:color="auto" w:sz="4" w:space="0"/>
              <w:right w:val="single" w:color="auto" w:sz="4" w:space="0"/>
            </w:tcBorders>
            <w:vAlign w:val="center"/>
          </w:tcPr>
          <w:p w14:paraId="2179902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975" w:type="dxa"/>
            <w:tcBorders>
              <w:top w:val="single" w:color="auto" w:sz="4" w:space="0"/>
              <w:left w:val="single" w:color="auto" w:sz="4" w:space="0"/>
              <w:bottom w:val="single" w:color="auto" w:sz="4" w:space="0"/>
              <w:right w:val="single" w:color="auto" w:sz="4" w:space="0"/>
            </w:tcBorders>
            <w:vAlign w:val="center"/>
          </w:tcPr>
          <w:p w14:paraId="1548518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735" w:type="dxa"/>
            <w:tcBorders>
              <w:top w:val="single" w:color="auto" w:sz="4" w:space="0"/>
              <w:left w:val="single" w:color="auto" w:sz="4" w:space="0"/>
              <w:bottom w:val="single" w:color="auto" w:sz="4" w:space="0"/>
              <w:right w:val="single" w:color="auto" w:sz="4" w:space="0"/>
            </w:tcBorders>
            <w:vAlign w:val="center"/>
          </w:tcPr>
          <w:p w14:paraId="5CCB677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07B7EE8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7075C0E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0CCCD7A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7AEBF013">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4726041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2080801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6BE21CA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死亡抚恤</w:t>
            </w:r>
          </w:p>
        </w:tc>
        <w:tc>
          <w:tcPr>
            <w:tcW w:w="915" w:type="dxa"/>
            <w:tcBorders>
              <w:top w:val="single" w:color="auto" w:sz="4" w:space="0"/>
              <w:left w:val="single" w:color="auto" w:sz="4" w:space="0"/>
              <w:bottom w:val="single" w:color="auto" w:sz="4" w:space="0"/>
              <w:right w:val="single" w:color="auto" w:sz="4" w:space="0"/>
            </w:tcBorders>
            <w:vAlign w:val="center"/>
          </w:tcPr>
          <w:p w14:paraId="70EE8CC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975" w:type="dxa"/>
            <w:tcBorders>
              <w:top w:val="single" w:color="auto" w:sz="4" w:space="0"/>
              <w:left w:val="single" w:color="auto" w:sz="4" w:space="0"/>
              <w:bottom w:val="single" w:color="auto" w:sz="4" w:space="0"/>
              <w:right w:val="single" w:color="auto" w:sz="4" w:space="0"/>
            </w:tcBorders>
            <w:vAlign w:val="center"/>
          </w:tcPr>
          <w:p w14:paraId="57242C7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735" w:type="dxa"/>
            <w:tcBorders>
              <w:top w:val="single" w:color="auto" w:sz="4" w:space="0"/>
              <w:left w:val="single" w:color="auto" w:sz="4" w:space="0"/>
              <w:bottom w:val="single" w:color="auto" w:sz="4" w:space="0"/>
              <w:right w:val="single" w:color="auto" w:sz="4" w:space="0"/>
            </w:tcBorders>
            <w:vAlign w:val="center"/>
          </w:tcPr>
          <w:p w14:paraId="1B19371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5A205EF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4F2970C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53ABD93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46C2C2C6">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0480453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104DCDE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卫生健康支出</w:t>
            </w:r>
          </w:p>
        </w:tc>
        <w:tc>
          <w:tcPr>
            <w:tcW w:w="915" w:type="dxa"/>
            <w:tcBorders>
              <w:top w:val="single" w:color="auto" w:sz="4" w:space="0"/>
              <w:left w:val="single" w:color="auto" w:sz="4" w:space="0"/>
              <w:bottom w:val="single" w:color="auto" w:sz="4" w:space="0"/>
              <w:right w:val="single" w:color="auto" w:sz="4" w:space="0"/>
            </w:tcBorders>
            <w:vAlign w:val="center"/>
          </w:tcPr>
          <w:p w14:paraId="51D7DE9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42.43</w:t>
            </w:r>
          </w:p>
        </w:tc>
        <w:tc>
          <w:tcPr>
            <w:tcW w:w="975" w:type="dxa"/>
            <w:tcBorders>
              <w:top w:val="single" w:color="auto" w:sz="4" w:space="0"/>
              <w:left w:val="single" w:color="auto" w:sz="4" w:space="0"/>
              <w:bottom w:val="single" w:color="auto" w:sz="4" w:space="0"/>
              <w:right w:val="single" w:color="auto" w:sz="4" w:space="0"/>
            </w:tcBorders>
            <w:vAlign w:val="center"/>
          </w:tcPr>
          <w:p w14:paraId="7B6FB35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42.43</w:t>
            </w:r>
          </w:p>
        </w:tc>
        <w:tc>
          <w:tcPr>
            <w:tcW w:w="735" w:type="dxa"/>
            <w:tcBorders>
              <w:top w:val="single" w:color="auto" w:sz="4" w:space="0"/>
              <w:left w:val="single" w:color="auto" w:sz="4" w:space="0"/>
              <w:bottom w:val="single" w:color="auto" w:sz="4" w:space="0"/>
              <w:right w:val="single" w:color="auto" w:sz="4" w:space="0"/>
            </w:tcBorders>
            <w:vAlign w:val="center"/>
          </w:tcPr>
          <w:p w14:paraId="50F1278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2F6D27E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02786ED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19E4812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50B9219B">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7F9EDE4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21007</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2E2C4D6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计划生育事务</w:t>
            </w:r>
          </w:p>
        </w:tc>
        <w:tc>
          <w:tcPr>
            <w:tcW w:w="915" w:type="dxa"/>
            <w:tcBorders>
              <w:top w:val="single" w:color="auto" w:sz="4" w:space="0"/>
              <w:left w:val="single" w:color="auto" w:sz="4" w:space="0"/>
              <w:bottom w:val="single" w:color="auto" w:sz="4" w:space="0"/>
              <w:right w:val="single" w:color="auto" w:sz="4" w:space="0"/>
            </w:tcBorders>
            <w:vAlign w:val="center"/>
          </w:tcPr>
          <w:p w14:paraId="342B061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975" w:type="dxa"/>
            <w:tcBorders>
              <w:top w:val="single" w:color="auto" w:sz="4" w:space="0"/>
              <w:left w:val="single" w:color="auto" w:sz="4" w:space="0"/>
              <w:bottom w:val="single" w:color="auto" w:sz="4" w:space="0"/>
              <w:right w:val="single" w:color="auto" w:sz="4" w:space="0"/>
            </w:tcBorders>
            <w:vAlign w:val="center"/>
          </w:tcPr>
          <w:p w14:paraId="1890D4A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735" w:type="dxa"/>
            <w:tcBorders>
              <w:top w:val="single" w:color="auto" w:sz="4" w:space="0"/>
              <w:left w:val="single" w:color="auto" w:sz="4" w:space="0"/>
              <w:bottom w:val="single" w:color="auto" w:sz="4" w:space="0"/>
              <w:right w:val="single" w:color="auto" w:sz="4" w:space="0"/>
            </w:tcBorders>
            <w:vAlign w:val="center"/>
          </w:tcPr>
          <w:p w14:paraId="6C7FACC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4D325E0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70A16E9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380E4EB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2B46E736">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265E339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2100716</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606751C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计划生育机构</w:t>
            </w:r>
          </w:p>
        </w:tc>
        <w:tc>
          <w:tcPr>
            <w:tcW w:w="915" w:type="dxa"/>
            <w:tcBorders>
              <w:top w:val="single" w:color="auto" w:sz="4" w:space="0"/>
              <w:left w:val="single" w:color="auto" w:sz="4" w:space="0"/>
              <w:bottom w:val="single" w:color="auto" w:sz="4" w:space="0"/>
              <w:right w:val="single" w:color="auto" w:sz="4" w:space="0"/>
            </w:tcBorders>
            <w:vAlign w:val="center"/>
          </w:tcPr>
          <w:p w14:paraId="6206704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975" w:type="dxa"/>
            <w:tcBorders>
              <w:top w:val="single" w:color="auto" w:sz="4" w:space="0"/>
              <w:left w:val="single" w:color="auto" w:sz="4" w:space="0"/>
              <w:bottom w:val="single" w:color="auto" w:sz="4" w:space="0"/>
              <w:right w:val="single" w:color="auto" w:sz="4" w:space="0"/>
            </w:tcBorders>
            <w:vAlign w:val="center"/>
          </w:tcPr>
          <w:p w14:paraId="1580A87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735" w:type="dxa"/>
            <w:tcBorders>
              <w:top w:val="single" w:color="auto" w:sz="4" w:space="0"/>
              <w:left w:val="single" w:color="auto" w:sz="4" w:space="0"/>
              <w:bottom w:val="single" w:color="auto" w:sz="4" w:space="0"/>
              <w:right w:val="single" w:color="auto" w:sz="4" w:space="0"/>
            </w:tcBorders>
            <w:vAlign w:val="center"/>
          </w:tcPr>
          <w:p w14:paraId="4EAEBE6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5738077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1703BAF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3F30698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363A9EB7">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1730E05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21011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4202F46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行政事业单位医疗</w:t>
            </w:r>
          </w:p>
        </w:tc>
        <w:tc>
          <w:tcPr>
            <w:tcW w:w="915" w:type="dxa"/>
            <w:tcBorders>
              <w:top w:val="single" w:color="auto" w:sz="4" w:space="0"/>
              <w:left w:val="single" w:color="auto" w:sz="4" w:space="0"/>
              <w:bottom w:val="single" w:color="auto" w:sz="4" w:space="0"/>
              <w:right w:val="single" w:color="auto" w:sz="4" w:space="0"/>
            </w:tcBorders>
            <w:vAlign w:val="center"/>
          </w:tcPr>
          <w:p w14:paraId="145BF9D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975" w:type="dxa"/>
            <w:tcBorders>
              <w:top w:val="single" w:color="auto" w:sz="4" w:space="0"/>
              <w:left w:val="single" w:color="auto" w:sz="4" w:space="0"/>
              <w:bottom w:val="single" w:color="auto" w:sz="4" w:space="0"/>
              <w:right w:val="single" w:color="auto" w:sz="4" w:space="0"/>
            </w:tcBorders>
            <w:vAlign w:val="center"/>
          </w:tcPr>
          <w:p w14:paraId="3CF7646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735" w:type="dxa"/>
            <w:tcBorders>
              <w:top w:val="single" w:color="auto" w:sz="4" w:space="0"/>
              <w:left w:val="single" w:color="auto" w:sz="4" w:space="0"/>
              <w:bottom w:val="single" w:color="auto" w:sz="4" w:space="0"/>
              <w:right w:val="single" w:color="auto" w:sz="4" w:space="0"/>
            </w:tcBorders>
            <w:vAlign w:val="center"/>
          </w:tcPr>
          <w:p w14:paraId="6CCC576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3828DF5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A3B420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3D1D347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37222123">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15F5E66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2101101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68B2995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行政单位医疗</w:t>
            </w:r>
          </w:p>
        </w:tc>
        <w:tc>
          <w:tcPr>
            <w:tcW w:w="915" w:type="dxa"/>
            <w:tcBorders>
              <w:top w:val="single" w:color="auto" w:sz="4" w:space="0"/>
              <w:left w:val="single" w:color="auto" w:sz="4" w:space="0"/>
              <w:bottom w:val="single" w:color="auto" w:sz="4" w:space="0"/>
              <w:right w:val="single" w:color="auto" w:sz="4" w:space="0"/>
            </w:tcBorders>
            <w:vAlign w:val="center"/>
          </w:tcPr>
          <w:p w14:paraId="32AD70F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975" w:type="dxa"/>
            <w:tcBorders>
              <w:top w:val="single" w:color="auto" w:sz="4" w:space="0"/>
              <w:left w:val="single" w:color="auto" w:sz="4" w:space="0"/>
              <w:bottom w:val="single" w:color="auto" w:sz="4" w:space="0"/>
              <w:right w:val="single" w:color="auto" w:sz="4" w:space="0"/>
            </w:tcBorders>
            <w:vAlign w:val="center"/>
          </w:tcPr>
          <w:p w14:paraId="63A8AAF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735" w:type="dxa"/>
            <w:tcBorders>
              <w:top w:val="single" w:color="auto" w:sz="4" w:space="0"/>
              <w:left w:val="single" w:color="auto" w:sz="4" w:space="0"/>
              <w:bottom w:val="single" w:color="auto" w:sz="4" w:space="0"/>
              <w:right w:val="single" w:color="auto" w:sz="4" w:space="0"/>
            </w:tcBorders>
            <w:vAlign w:val="center"/>
          </w:tcPr>
          <w:p w14:paraId="2940DBA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28E032F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2E116E2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16E2CDF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757F6725">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6F8877F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3042CC0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城乡社区支出</w:t>
            </w:r>
          </w:p>
        </w:tc>
        <w:tc>
          <w:tcPr>
            <w:tcW w:w="915" w:type="dxa"/>
            <w:tcBorders>
              <w:top w:val="single" w:color="auto" w:sz="4" w:space="0"/>
              <w:left w:val="single" w:color="auto" w:sz="4" w:space="0"/>
              <w:bottom w:val="single" w:color="auto" w:sz="4" w:space="0"/>
              <w:right w:val="single" w:color="auto" w:sz="4" w:space="0"/>
            </w:tcBorders>
            <w:vAlign w:val="center"/>
          </w:tcPr>
          <w:p w14:paraId="66B28F1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34.00</w:t>
            </w:r>
          </w:p>
        </w:tc>
        <w:tc>
          <w:tcPr>
            <w:tcW w:w="975" w:type="dxa"/>
            <w:tcBorders>
              <w:top w:val="single" w:color="auto" w:sz="4" w:space="0"/>
              <w:left w:val="single" w:color="auto" w:sz="4" w:space="0"/>
              <w:bottom w:val="single" w:color="auto" w:sz="4" w:space="0"/>
              <w:right w:val="single" w:color="auto" w:sz="4" w:space="0"/>
            </w:tcBorders>
            <w:vAlign w:val="center"/>
          </w:tcPr>
          <w:p w14:paraId="30D19B1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34.00</w:t>
            </w:r>
          </w:p>
        </w:tc>
        <w:tc>
          <w:tcPr>
            <w:tcW w:w="735" w:type="dxa"/>
            <w:tcBorders>
              <w:top w:val="single" w:color="auto" w:sz="4" w:space="0"/>
              <w:left w:val="single" w:color="auto" w:sz="4" w:space="0"/>
              <w:bottom w:val="single" w:color="auto" w:sz="4" w:space="0"/>
              <w:right w:val="single" w:color="auto" w:sz="4" w:space="0"/>
            </w:tcBorders>
            <w:vAlign w:val="center"/>
          </w:tcPr>
          <w:p w14:paraId="24FA2D0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75F814C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68CC87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19D99AC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375B6B70">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0BD783F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21202</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399C48A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城乡社区规划与管理</w:t>
            </w:r>
          </w:p>
        </w:tc>
        <w:tc>
          <w:tcPr>
            <w:tcW w:w="915" w:type="dxa"/>
            <w:tcBorders>
              <w:top w:val="single" w:color="auto" w:sz="4" w:space="0"/>
              <w:left w:val="single" w:color="auto" w:sz="4" w:space="0"/>
              <w:bottom w:val="single" w:color="auto" w:sz="4" w:space="0"/>
              <w:right w:val="single" w:color="auto" w:sz="4" w:space="0"/>
            </w:tcBorders>
            <w:vAlign w:val="center"/>
          </w:tcPr>
          <w:p w14:paraId="5B46D3A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975" w:type="dxa"/>
            <w:tcBorders>
              <w:top w:val="single" w:color="auto" w:sz="4" w:space="0"/>
              <w:left w:val="single" w:color="auto" w:sz="4" w:space="0"/>
              <w:bottom w:val="single" w:color="auto" w:sz="4" w:space="0"/>
              <w:right w:val="single" w:color="auto" w:sz="4" w:space="0"/>
            </w:tcBorders>
            <w:vAlign w:val="center"/>
          </w:tcPr>
          <w:p w14:paraId="16E61FB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735" w:type="dxa"/>
            <w:tcBorders>
              <w:top w:val="single" w:color="auto" w:sz="4" w:space="0"/>
              <w:left w:val="single" w:color="auto" w:sz="4" w:space="0"/>
              <w:bottom w:val="single" w:color="auto" w:sz="4" w:space="0"/>
              <w:right w:val="single" w:color="auto" w:sz="4" w:space="0"/>
            </w:tcBorders>
            <w:vAlign w:val="center"/>
          </w:tcPr>
          <w:p w14:paraId="34046A4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78B68E2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767FB95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6F5490B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7C971323">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70DE4EB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2120201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4707614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城乡社区规划与管理</w:t>
            </w:r>
          </w:p>
        </w:tc>
        <w:tc>
          <w:tcPr>
            <w:tcW w:w="915" w:type="dxa"/>
            <w:tcBorders>
              <w:top w:val="single" w:color="auto" w:sz="4" w:space="0"/>
              <w:left w:val="single" w:color="auto" w:sz="4" w:space="0"/>
              <w:bottom w:val="single" w:color="auto" w:sz="4" w:space="0"/>
              <w:right w:val="single" w:color="auto" w:sz="4" w:space="0"/>
            </w:tcBorders>
            <w:vAlign w:val="center"/>
          </w:tcPr>
          <w:p w14:paraId="1BF0993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975" w:type="dxa"/>
            <w:tcBorders>
              <w:top w:val="single" w:color="auto" w:sz="4" w:space="0"/>
              <w:left w:val="single" w:color="auto" w:sz="4" w:space="0"/>
              <w:bottom w:val="single" w:color="auto" w:sz="4" w:space="0"/>
              <w:right w:val="single" w:color="auto" w:sz="4" w:space="0"/>
            </w:tcBorders>
            <w:vAlign w:val="center"/>
          </w:tcPr>
          <w:p w14:paraId="0586F2F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735" w:type="dxa"/>
            <w:tcBorders>
              <w:top w:val="single" w:color="auto" w:sz="4" w:space="0"/>
              <w:left w:val="single" w:color="auto" w:sz="4" w:space="0"/>
              <w:bottom w:val="single" w:color="auto" w:sz="4" w:space="0"/>
              <w:right w:val="single" w:color="auto" w:sz="4" w:space="0"/>
            </w:tcBorders>
            <w:vAlign w:val="center"/>
          </w:tcPr>
          <w:p w14:paraId="290DD0F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57079B9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73E688F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4A1EC27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1D437AAE">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4EB7F47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21203</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2A0CC43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城乡社区公共设施</w:t>
            </w:r>
          </w:p>
        </w:tc>
        <w:tc>
          <w:tcPr>
            <w:tcW w:w="915" w:type="dxa"/>
            <w:tcBorders>
              <w:top w:val="single" w:color="auto" w:sz="4" w:space="0"/>
              <w:left w:val="single" w:color="auto" w:sz="4" w:space="0"/>
              <w:bottom w:val="single" w:color="auto" w:sz="4" w:space="0"/>
              <w:right w:val="single" w:color="auto" w:sz="4" w:space="0"/>
            </w:tcBorders>
            <w:vAlign w:val="center"/>
          </w:tcPr>
          <w:p w14:paraId="4708018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975" w:type="dxa"/>
            <w:tcBorders>
              <w:top w:val="single" w:color="auto" w:sz="4" w:space="0"/>
              <w:left w:val="single" w:color="auto" w:sz="4" w:space="0"/>
              <w:bottom w:val="single" w:color="auto" w:sz="4" w:space="0"/>
              <w:right w:val="single" w:color="auto" w:sz="4" w:space="0"/>
            </w:tcBorders>
            <w:vAlign w:val="center"/>
          </w:tcPr>
          <w:p w14:paraId="5352122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735" w:type="dxa"/>
            <w:tcBorders>
              <w:top w:val="single" w:color="auto" w:sz="4" w:space="0"/>
              <w:left w:val="single" w:color="auto" w:sz="4" w:space="0"/>
              <w:bottom w:val="single" w:color="auto" w:sz="4" w:space="0"/>
              <w:right w:val="single" w:color="auto" w:sz="4" w:space="0"/>
            </w:tcBorders>
            <w:vAlign w:val="center"/>
          </w:tcPr>
          <w:p w14:paraId="1AEB2D0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2246F65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4531AFD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2792EC6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74571DB9">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699A2B5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2120399</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288C022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其他城乡社区公共设施支出</w:t>
            </w:r>
          </w:p>
        </w:tc>
        <w:tc>
          <w:tcPr>
            <w:tcW w:w="915" w:type="dxa"/>
            <w:tcBorders>
              <w:top w:val="single" w:color="auto" w:sz="4" w:space="0"/>
              <w:left w:val="single" w:color="auto" w:sz="4" w:space="0"/>
              <w:bottom w:val="single" w:color="auto" w:sz="4" w:space="0"/>
              <w:right w:val="single" w:color="auto" w:sz="4" w:space="0"/>
            </w:tcBorders>
            <w:vAlign w:val="center"/>
          </w:tcPr>
          <w:p w14:paraId="6A1CF0F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975" w:type="dxa"/>
            <w:tcBorders>
              <w:top w:val="single" w:color="auto" w:sz="4" w:space="0"/>
              <w:left w:val="single" w:color="auto" w:sz="4" w:space="0"/>
              <w:bottom w:val="single" w:color="auto" w:sz="4" w:space="0"/>
              <w:right w:val="single" w:color="auto" w:sz="4" w:space="0"/>
            </w:tcBorders>
            <w:vAlign w:val="center"/>
          </w:tcPr>
          <w:p w14:paraId="69CBB85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735" w:type="dxa"/>
            <w:tcBorders>
              <w:top w:val="single" w:color="auto" w:sz="4" w:space="0"/>
              <w:left w:val="single" w:color="auto" w:sz="4" w:space="0"/>
              <w:bottom w:val="single" w:color="auto" w:sz="4" w:space="0"/>
              <w:right w:val="single" w:color="auto" w:sz="4" w:space="0"/>
            </w:tcBorders>
            <w:vAlign w:val="center"/>
          </w:tcPr>
          <w:p w14:paraId="51D6EAD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4E864DC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4B6A173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451F664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7A457A83">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06CF91B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5BA90D0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农林水支出</w:t>
            </w:r>
          </w:p>
        </w:tc>
        <w:tc>
          <w:tcPr>
            <w:tcW w:w="915" w:type="dxa"/>
            <w:tcBorders>
              <w:top w:val="single" w:color="auto" w:sz="4" w:space="0"/>
              <w:left w:val="single" w:color="auto" w:sz="4" w:space="0"/>
              <w:bottom w:val="single" w:color="auto" w:sz="4" w:space="0"/>
              <w:right w:val="single" w:color="auto" w:sz="4" w:space="0"/>
            </w:tcBorders>
            <w:vAlign w:val="center"/>
          </w:tcPr>
          <w:p w14:paraId="0A8361B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333.96</w:t>
            </w:r>
          </w:p>
        </w:tc>
        <w:tc>
          <w:tcPr>
            <w:tcW w:w="975" w:type="dxa"/>
            <w:tcBorders>
              <w:top w:val="single" w:color="auto" w:sz="4" w:space="0"/>
              <w:left w:val="single" w:color="auto" w:sz="4" w:space="0"/>
              <w:bottom w:val="single" w:color="auto" w:sz="4" w:space="0"/>
              <w:right w:val="single" w:color="auto" w:sz="4" w:space="0"/>
            </w:tcBorders>
            <w:vAlign w:val="center"/>
          </w:tcPr>
          <w:p w14:paraId="1DEBC94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196.96</w:t>
            </w:r>
          </w:p>
        </w:tc>
        <w:tc>
          <w:tcPr>
            <w:tcW w:w="735" w:type="dxa"/>
            <w:tcBorders>
              <w:top w:val="single" w:color="auto" w:sz="4" w:space="0"/>
              <w:left w:val="single" w:color="auto" w:sz="4" w:space="0"/>
              <w:bottom w:val="single" w:color="auto" w:sz="4" w:space="0"/>
              <w:right w:val="single" w:color="auto" w:sz="4" w:space="0"/>
            </w:tcBorders>
            <w:vAlign w:val="center"/>
          </w:tcPr>
          <w:p w14:paraId="4C5D22C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137.00</w:t>
            </w:r>
          </w:p>
        </w:tc>
        <w:tc>
          <w:tcPr>
            <w:tcW w:w="675" w:type="dxa"/>
            <w:tcBorders>
              <w:top w:val="single" w:color="auto" w:sz="4" w:space="0"/>
              <w:left w:val="single" w:color="auto" w:sz="4" w:space="0"/>
              <w:bottom w:val="single" w:color="auto" w:sz="4" w:space="0"/>
              <w:right w:val="single" w:color="auto" w:sz="4" w:space="0"/>
            </w:tcBorders>
            <w:vAlign w:val="center"/>
          </w:tcPr>
          <w:p w14:paraId="6B66E09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639468A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593F5A2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69EE8C9A">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05D45B2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2B7CCC8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农业</w:t>
            </w:r>
          </w:p>
        </w:tc>
        <w:tc>
          <w:tcPr>
            <w:tcW w:w="915" w:type="dxa"/>
            <w:tcBorders>
              <w:top w:val="single" w:color="auto" w:sz="4" w:space="0"/>
              <w:left w:val="single" w:color="auto" w:sz="4" w:space="0"/>
              <w:bottom w:val="single" w:color="auto" w:sz="4" w:space="0"/>
              <w:right w:val="single" w:color="auto" w:sz="4" w:space="0"/>
            </w:tcBorders>
            <w:vAlign w:val="center"/>
          </w:tcPr>
          <w:p w14:paraId="5BE8CC9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975" w:type="dxa"/>
            <w:tcBorders>
              <w:top w:val="single" w:color="auto" w:sz="4" w:space="0"/>
              <w:left w:val="single" w:color="auto" w:sz="4" w:space="0"/>
              <w:bottom w:val="single" w:color="auto" w:sz="4" w:space="0"/>
              <w:right w:val="single" w:color="auto" w:sz="4" w:space="0"/>
            </w:tcBorders>
            <w:vAlign w:val="center"/>
          </w:tcPr>
          <w:p w14:paraId="2A497B7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735" w:type="dxa"/>
            <w:tcBorders>
              <w:top w:val="single" w:color="auto" w:sz="4" w:space="0"/>
              <w:left w:val="single" w:color="auto" w:sz="4" w:space="0"/>
              <w:bottom w:val="single" w:color="auto" w:sz="4" w:space="0"/>
              <w:right w:val="single" w:color="auto" w:sz="4" w:space="0"/>
            </w:tcBorders>
            <w:vAlign w:val="center"/>
          </w:tcPr>
          <w:p w14:paraId="3DF60B4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02BEAC6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0772FC7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796AF6F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5B5648DA">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023A257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2130126</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176F5F4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农村公益事业</w:t>
            </w:r>
          </w:p>
        </w:tc>
        <w:tc>
          <w:tcPr>
            <w:tcW w:w="915" w:type="dxa"/>
            <w:tcBorders>
              <w:top w:val="single" w:color="auto" w:sz="4" w:space="0"/>
              <w:left w:val="single" w:color="auto" w:sz="4" w:space="0"/>
              <w:bottom w:val="single" w:color="auto" w:sz="4" w:space="0"/>
              <w:right w:val="single" w:color="auto" w:sz="4" w:space="0"/>
            </w:tcBorders>
            <w:vAlign w:val="center"/>
          </w:tcPr>
          <w:p w14:paraId="690D45D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975" w:type="dxa"/>
            <w:tcBorders>
              <w:top w:val="single" w:color="auto" w:sz="4" w:space="0"/>
              <w:left w:val="single" w:color="auto" w:sz="4" w:space="0"/>
              <w:bottom w:val="single" w:color="auto" w:sz="4" w:space="0"/>
              <w:right w:val="single" w:color="auto" w:sz="4" w:space="0"/>
            </w:tcBorders>
            <w:vAlign w:val="center"/>
          </w:tcPr>
          <w:p w14:paraId="7D7A471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735" w:type="dxa"/>
            <w:tcBorders>
              <w:top w:val="single" w:color="auto" w:sz="4" w:space="0"/>
              <w:left w:val="single" w:color="auto" w:sz="4" w:space="0"/>
              <w:bottom w:val="single" w:color="auto" w:sz="4" w:space="0"/>
              <w:right w:val="single" w:color="auto" w:sz="4" w:space="0"/>
            </w:tcBorders>
            <w:vAlign w:val="center"/>
          </w:tcPr>
          <w:p w14:paraId="240E2B9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0165A68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B07B6A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3A43D86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7F11BA18">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1A2DE8F3">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21307</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7E9646B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农村综合改革</w:t>
            </w:r>
          </w:p>
        </w:tc>
        <w:tc>
          <w:tcPr>
            <w:tcW w:w="915" w:type="dxa"/>
            <w:tcBorders>
              <w:top w:val="single" w:color="auto" w:sz="4" w:space="0"/>
              <w:left w:val="single" w:color="auto" w:sz="4" w:space="0"/>
              <w:bottom w:val="single" w:color="auto" w:sz="4" w:space="0"/>
              <w:right w:val="single" w:color="auto" w:sz="4" w:space="0"/>
            </w:tcBorders>
            <w:vAlign w:val="center"/>
          </w:tcPr>
          <w:p w14:paraId="7B43E04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332.52</w:t>
            </w:r>
          </w:p>
        </w:tc>
        <w:tc>
          <w:tcPr>
            <w:tcW w:w="975" w:type="dxa"/>
            <w:tcBorders>
              <w:top w:val="single" w:color="auto" w:sz="4" w:space="0"/>
              <w:left w:val="single" w:color="auto" w:sz="4" w:space="0"/>
              <w:bottom w:val="single" w:color="auto" w:sz="4" w:space="0"/>
              <w:right w:val="single" w:color="auto" w:sz="4" w:space="0"/>
            </w:tcBorders>
            <w:vAlign w:val="center"/>
          </w:tcPr>
          <w:p w14:paraId="6257210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195.52</w:t>
            </w:r>
          </w:p>
        </w:tc>
        <w:tc>
          <w:tcPr>
            <w:tcW w:w="735" w:type="dxa"/>
            <w:tcBorders>
              <w:top w:val="single" w:color="auto" w:sz="4" w:space="0"/>
              <w:left w:val="single" w:color="auto" w:sz="4" w:space="0"/>
              <w:bottom w:val="single" w:color="auto" w:sz="4" w:space="0"/>
              <w:right w:val="single" w:color="auto" w:sz="4" w:space="0"/>
            </w:tcBorders>
            <w:vAlign w:val="center"/>
          </w:tcPr>
          <w:p w14:paraId="59D883D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137.00</w:t>
            </w:r>
          </w:p>
        </w:tc>
        <w:tc>
          <w:tcPr>
            <w:tcW w:w="675" w:type="dxa"/>
            <w:tcBorders>
              <w:top w:val="single" w:color="auto" w:sz="4" w:space="0"/>
              <w:left w:val="single" w:color="auto" w:sz="4" w:space="0"/>
              <w:bottom w:val="single" w:color="auto" w:sz="4" w:space="0"/>
              <w:right w:val="single" w:color="auto" w:sz="4" w:space="0"/>
            </w:tcBorders>
            <w:vAlign w:val="center"/>
          </w:tcPr>
          <w:p w14:paraId="37ABF2B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B355E9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0D18A6E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53670A99">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7DA52C7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2130701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662E7AE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对村级一事一议的补助</w:t>
            </w:r>
          </w:p>
        </w:tc>
        <w:tc>
          <w:tcPr>
            <w:tcW w:w="915" w:type="dxa"/>
            <w:tcBorders>
              <w:top w:val="single" w:color="auto" w:sz="4" w:space="0"/>
              <w:left w:val="single" w:color="auto" w:sz="4" w:space="0"/>
              <w:bottom w:val="single" w:color="auto" w:sz="4" w:space="0"/>
              <w:right w:val="single" w:color="auto" w:sz="4" w:space="0"/>
            </w:tcBorders>
            <w:vAlign w:val="center"/>
          </w:tcPr>
          <w:p w14:paraId="4571C22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137.00</w:t>
            </w:r>
          </w:p>
        </w:tc>
        <w:tc>
          <w:tcPr>
            <w:tcW w:w="975" w:type="dxa"/>
            <w:tcBorders>
              <w:top w:val="single" w:color="auto" w:sz="4" w:space="0"/>
              <w:left w:val="single" w:color="auto" w:sz="4" w:space="0"/>
              <w:bottom w:val="single" w:color="auto" w:sz="4" w:space="0"/>
              <w:right w:val="single" w:color="auto" w:sz="4" w:space="0"/>
            </w:tcBorders>
            <w:vAlign w:val="center"/>
          </w:tcPr>
          <w:p w14:paraId="6DBC9C0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35" w:type="dxa"/>
            <w:tcBorders>
              <w:top w:val="single" w:color="auto" w:sz="4" w:space="0"/>
              <w:left w:val="single" w:color="auto" w:sz="4" w:space="0"/>
              <w:bottom w:val="single" w:color="auto" w:sz="4" w:space="0"/>
              <w:right w:val="single" w:color="auto" w:sz="4" w:space="0"/>
            </w:tcBorders>
            <w:vAlign w:val="center"/>
          </w:tcPr>
          <w:p w14:paraId="07E9984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137.00</w:t>
            </w:r>
          </w:p>
        </w:tc>
        <w:tc>
          <w:tcPr>
            <w:tcW w:w="675" w:type="dxa"/>
            <w:tcBorders>
              <w:top w:val="single" w:color="auto" w:sz="4" w:space="0"/>
              <w:left w:val="single" w:color="auto" w:sz="4" w:space="0"/>
              <w:bottom w:val="single" w:color="auto" w:sz="4" w:space="0"/>
              <w:right w:val="single" w:color="auto" w:sz="4" w:space="0"/>
            </w:tcBorders>
            <w:vAlign w:val="center"/>
          </w:tcPr>
          <w:p w14:paraId="26A983B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8701D0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453F1A5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3EEEE03A">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09E93D3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2130705</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1112F46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对村民委员会和村党支部的补助</w:t>
            </w:r>
          </w:p>
        </w:tc>
        <w:tc>
          <w:tcPr>
            <w:tcW w:w="915" w:type="dxa"/>
            <w:tcBorders>
              <w:top w:val="single" w:color="auto" w:sz="4" w:space="0"/>
              <w:left w:val="single" w:color="auto" w:sz="4" w:space="0"/>
              <w:bottom w:val="single" w:color="auto" w:sz="4" w:space="0"/>
              <w:right w:val="single" w:color="auto" w:sz="4" w:space="0"/>
            </w:tcBorders>
            <w:vAlign w:val="center"/>
          </w:tcPr>
          <w:p w14:paraId="39FBF25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195.52</w:t>
            </w:r>
          </w:p>
        </w:tc>
        <w:tc>
          <w:tcPr>
            <w:tcW w:w="975" w:type="dxa"/>
            <w:tcBorders>
              <w:top w:val="single" w:color="auto" w:sz="4" w:space="0"/>
              <w:left w:val="single" w:color="auto" w:sz="4" w:space="0"/>
              <w:bottom w:val="single" w:color="auto" w:sz="4" w:space="0"/>
              <w:right w:val="single" w:color="auto" w:sz="4" w:space="0"/>
            </w:tcBorders>
            <w:vAlign w:val="center"/>
          </w:tcPr>
          <w:p w14:paraId="560A226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195.52</w:t>
            </w:r>
          </w:p>
        </w:tc>
        <w:tc>
          <w:tcPr>
            <w:tcW w:w="735" w:type="dxa"/>
            <w:tcBorders>
              <w:top w:val="single" w:color="auto" w:sz="4" w:space="0"/>
              <w:left w:val="single" w:color="auto" w:sz="4" w:space="0"/>
              <w:bottom w:val="single" w:color="auto" w:sz="4" w:space="0"/>
              <w:right w:val="single" w:color="auto" w:sz="4" w:space="0"/>
            </w:tcBorders>
            <w:vAlign w:val="center"/>
          </w:tcPr>
          <w:p w14:paraId="33C480C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213B32E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71C4B21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4B0D87D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5C248567">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2E74FBD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214</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6039F5B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交通运输支出</w:t>
            </w:r>
          </w:p>
        </w:tc>
        <w:tc>
          <w:tcPr>
            <w:tcW w:w="915" w:type="dxa"/>
            <w:tcBorders>
              <w:top w:val="single" w:color="auto" w:sz="4" w:space="0"/>
              <w:left w:val="single" w:color="auto" w:sz="4" w:space="0"/>
              <w:bottom w:val="single" w:color="auto" w:sz="4" w:space="0"/>
              <w:right w:val="single" w:color="auto" w:sz="4" w:space="0"/>
            </w:tcBorders>
            <w:vAlign w:val="center"/>
          </w:tcPr>
          <w:p w14:paraId="65323A7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975" w:type="dxa"/>
            <w:tcBorders>
              <w:top w:val="single" w:color="auto" w:sz="4" w:space="0"/>
              <w:left w:val="single" w:color="auto" w:sz="4" w:space="0"/>
              <w:bottom w:val="single" w:color="auto" w:sz="4" w:space="0"/>
              <w:right w:val="single" w:color="auto" w:sz="4" w:space="0"/>
            </w:tcBorders>
            <w:vAlign w:val="center"/>
          </w:tcPr>
          <w:p w14:paraId="25AF5EF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735" w:type="dxa"/>
            <w:tcBorders>
              <w:top w:val="single" w:color="auto" w:sz="4" w:space="0"/>
              <w:left w:val="single" w:color="auto" w:sz="4" w:space="0"/>
              <w:bottom w:val="single" w:color="auto" w:sz="4" w:space="0"/>
              <w:right w:val="single" w:color="auto" w:sz="4" w:space="0"/>
            </w:tcBorders>
            <w:vAlign w:val="center"/>
          </w:tcPr>
          <w:p w14:paraId="3942ECC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5DC2AEC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FBCE73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49F052D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10878357">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0E7883D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21401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63FAEBA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公路水路运输</w:t>
            </w:r>
          </w:p>
        </w:tc>
        <w:tc>
          <w:tcPr>
            <w:tcW w:w="915" w:type="dxa"/>
            <w:tcBorders>
              <w:top w:val="single" w:color="auto" w:sz="4" w:space="0"/>
              <w:left w:val="single" w:color="auto" w:sz="4" w:space="0"/>
              <w:bottom w:val="single" w:color="auto" w:sz="4" w:space="0"/>
              <w:right w:val="single" w:color="auto" w:sz="4" w:space="0"/>
            </w:tcBorders>
            <w:vAlign w:val="center"/>
          </w:tcPr>
          <w:p w14:paraId="597435D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975" w:type="dxa"/>
            <w:tcBorders>
              <w:top w:val="single" w:color="auto" w:sz="4" w:space="0"/>
              <w:left w:val="single" w:color="auto" w:sz="4" w:space="0"/>
              <w:bottom w:val="single" w:color="auto" w:sz="4" w:space="0"/>
              <w:right w:val="single" w:color="auto" w:sz="4" w:space="0"/>
            </w:tcBorders>
            <w:vAlign w:val="center"/>
          </w:tcPr>
          <w:p w14:paraId="7707E3A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735" w:type="dxa"/>
            <w:tcBorders>
              <w:top w:val="single" w:color="auto" w:sz="4" w:space="0"/>
              <w:left w:val="single" w:color="auto" w:sz="4" w:space="0"/>
              <w:bottom w:val="single" w:color="auto" w:sz="4" w:space="0"/>
              <w:right w:val="single" w:color="auto" w:sz="4" w:space="0"/>
            </w:tcBorders>
            <w:vAlign w:val="center"/>
          </w:tcPr>
          <w:p w14:paraId="4B71F6D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07DBB22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7E27921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6C9CBC9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2FA3DCB0">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1B6C2AB3">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2140199</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51CBE1A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其他公路水路运输支出</w:t>
            </w:r>
          </w:p>
        </w:tc>
        <w:tc>
          <w:tcPr>
            <w:tcW w:w="915" w:type="dxa"/>
            <w:tcBorders>
              <w:top w:val="single" w:color="auto" w:sz="4" w:space="0"/>
              <w:left w:val="single" w:color="auto" w:sz="4" w:space="0"/>
              <w:bottom w:val="single" w:color="auto" w:sz="4" w:space="0"/>
              <w:right w:val="single" w:color="auto" w:sz="4" w:space="0"/>
            </w:tcBorders>
            <w:vAlign w:val="center"/>
          </w:tcPr>
          <w:p w14:paraId="742072C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975" w:type="dxa"/>
            <w:tcBorders>
              <w:top w:val="single" w:color="auto" w:sz="4" w:space="0"/>
              <w:left w:val="single" w:color="auto" w:sz="4" w:space="0"/>
              <w:bottom w:val="single" w:color="auto" w:sz="4" w:space="0"/>
              <w:right w:val="single" w:color="auto" w:sz="4" w:space="0"/>
            </w:tcBorders>
            <w:vAlign w:val="center"/>
          </w:tcPr>
          <w:p w14:paraId="0C296E2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735" w:type="dxa"/>
            <w:tcBorders>
              <w:top w:val="single" w:color="auto" w:sz="4" w:space="0"/>
              <w:left w:val="single" w:color="auto" w:sz="4" w:space="0"/>
              <w:bottom w:val="single" w:color="auto" w:sz="4" w:space="0"/>
              <w:right w:val="single" w:color="auto" w:sz="4" w:space="0"/>
            </w:tcBorders>
            <w:vAlign w:val="center"/>
          </w:tcPr>
          <w:p w14:paraId="0E9ABFA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466DB90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75C810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78ED9AB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5B81CC13">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217BB74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2DD5B62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住房保障支出</w:t>
            </w:r>
          </w:p>
        </w:tc>
        <w:tc>
          <w:tcPr>
            <w:tcW w:w="915" w:type="dxa"/>
            <w:tcBorders>
              <w:top w:val="single" w:color="auto" w:sz="4" w:space="0"/>
              <w:left w:val="single" w:color="auto" w:sz="4" w:space="0"/>
              <w:bottom w:val="single" w:color="auto" w:sz="4" w:space="0"/>
              <w:right w:val="single" w:color="auto" w:sz="4" w:space="0"/>
            </w:tcBorders>
            <w:vAlign w:val="center"/>
          </w:tcPr>
          <w:p w14:paraId="6183239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975" w:type="dxa"/>
            <w:tcBorders>
              <w:top w:val="single" w:color="auto" w:sz="4" w:space="0"/>
              <w:left w:val="single" w:color="auto" w:sz="4" w:space="0"/>
              <w:bottom w:val="single" w:color="auto" w:sz="4" w:space="0"/>
              <w:right w:val="single" w:color="auto" w:sz="4" w:space="0"/>
            </w:tcBorders>
            <w:vAlign w:val="center"/>
          </w:tcPr>
          <w:p w14:paraId="28F501A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735" w:type="dxa"/>
            <w:tcBorders>
              <w:top w:val="single" w:color="auto" w:sz="4" w:space="0"/>
              <w:left w:val="single" w:color="auto" w:sz="4" w:space="0"/>
              <w:bottom w:val="single" w:color="auto" w:sz="4" w:space="0"/>
              <w:right w:val="single" w:color="auto" w:sz="4" w:space="0"/>
            </w:tcBorders>
            <w:vAlign w:val="center"/>
          </w:tcPr>
          <w:p w14:paraId="13474E2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5281440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75F8B29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1328EA3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03DC13C5">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6AF500A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22102</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17A276E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住房改革支出</w:t>
            </w:r>
          </w:p>
        </w:tc>
        <w:tc>
          <w:tcPr>
            <w:tcW w:w="915" w:type="dxa"/>
            <w:tcBorders>
              <w:top w:val="single" w:color="auto" w:sz="4" w:space="0"/>
              <w:left w:val="single" w:color="auto" w:sz="4" w:space="0"/>
              <w:bottom w:val="single" w:color="auto" w:sz="4" w:space="0"/>
              <w:right w:val="single" w:color="auto" w:sz="4" w:space="0"/>
            </w:tcBorders>
            <w:vAlign w:val="center"/>
          </w:tcPr>
          <w:p w14:paraId="2C4176A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975" w:type="dxa"/>
            <w:tcBorders>
              <w:top w:val="single" w:color="auto" w:sz="4" w:space="0"/>
              <w:left w:val="single" w:color="auto" w:sz="4" w:space="0"/>
              <w:bottom w:val="single" w:color="auto" w:sz="4" w:space="0"/>
              <w:right w:val="single" w:color="auto" w:sz="4" w:space="0"/>
            </w:tcBorders>
            <w:vAlign w:val="center"/>
          </w:tcPr>
          <w:p w14:paraId="05631F3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735" w:type="dxa"/>
            <w:tcBorders>
              <w:top w:val="single" w:color="auto" w:sz="4" w:space="0"/>
              <w:left w:val="single" w:color="auto" w:sz="4" w:space="0"/>
              <w:bottom w:val="single" w:color="auto" w:sz="4" w:space="0"/>
              <w:right w:val="single" w:color="auto" w:sz="4" w:space="0"/>
            </w:tcBorders>
            <w:vAlign w:val="center"/>
          </w:tcPr>
          <w:p w14:paraId="0B07BE9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374D54A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320739A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430329C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r w14:paraId="76F2CC16">
        <w:tblPrEx>
          <w:tblCellMar>
            <w:top w:w="15" w:type="dxa"/>
            <w:left w:w="15" w:type="dxa"/>
            <w:bottom w:w="15" w:type="dxa"/>
            <w:right w:w="15" w:type="dxa"/>
          </w:tblCellMar>
        </w:tblPrEx>
        <w:trPr>
          <w:trHeight w:val="383" w:hRule="atLeast"/>
        </w:trPr>
        <w:tc>
          <w:tcPr>
            <w:tcW w:w="914" w:type="dxa"/>
            <w:tcBorders>
              <w:top w:val="single" w:color="auto" w:sz="4" w:space="0"/>
              <w:left w:val="single" w:color="auto" w:sz="4" w:space="0"/>
              <w:bottom w:val="single" w:color="auto" w:sz="4" w:space="0"/>
              <w:right w:val="single" w:color="auto" w:sz="4" w:space="0"/>
            </w:tcBorders>
            <w:vAlign w:val="center"/>
          </w:tcPr>
          <w:p w14:paraId="1B279C0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2210201</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1BDD00F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住房公积金</w:t>
            </w:r>
          </w:p>
        </w:tc>
        <w:tc>
          <w:tcPr>
            <w:tcW w:w="915" w:type="dxa"/>
            <w:tcBorders>
              <w:top w:val="single" w:color="auto" w:sz="4" w:space="0"/>
              <w:left w:val="single" w:color="auto" w:sz="4" w:space="0"/>
              <w:bottom w:val="single" w:color="auto" w:sz="4" w:space="0"/>
              <w:right w:val="single" w:color="auto" w:sz="4" w:space="0"/>
            </w:tcBorders>
            <w:vAlign w:val="center"/>
          </w:tcPr>
          <w:p w14:paraId="6B30B5B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975" w:type="dxa"/>
            <w:tcBorders>
              <w:top w:val="single" w:color="auto" w:sz="4" w:space="0"/>
              <w:left w:val="single" w:color="auto" w:sz="4" w:space="0"/>
              <w:bottom w:val="single" w:color="auto" w:sz="4" w:space="0"/>
              <w:right w:val="single" w:color="auto" w:sz="4" w:space="0"/>
            </w:tcBorders>
            <w:vAlign w:val="center"/>
          </w:tcPr>
          <w:p w14:paraId="0FF131B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735" w:type="dxa"/>
            <w:tcBorders>
              <w:top w:val="single" w:color="auto" w:sz="4" w:space="0"/>
              <w:left w:val="single" w:color="auto" w:sz="4" w:space="0"/>
              <w:bottom w:val="single" w:color="auto" w:sz="4" w:space="0"/>
              <w:right w:val="single" w:color="auto" w:sz="4" w:space="0"/>
            </w:tcBorders>
            <w:vAlign w:val="center"/>
          </w:tcPr>
          <w:p w14:paraId="0756808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675" w:type="dxa"/>
            <w:tcBorders>
              <w:top w:val="single" w:color="auto" w:sz="4" w:space="0"/>
              <w:left w:val="single" w:color="auto" w:sz="4" w:space="0"/>
              <w:bottom w:val="single" w:color="auto" w:sz="4" w:space="0"/>
              <w:right w:val="single" w:color="auto" w:sz="4" w:space="0"/>
            </w:tcBorders>
            <w:vAlign w:val="center"/>
          </w:tcPr>
          <w:p w14:paraId="7DB76B3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85" w:type="dxa"/>
            <w:tcBorders>
              <w:top w:val="single" w:color="auto" w:sz="4" w:space="0"/>
              <w:left w:val="single" w:color="auto" w:sz="4" w:space="0"/>
              <w:bottom w:val="single" w:color="auto" w:sz="4" w:space="0"/>
              <w:right w:val="single" w:color="auto" w:sz="4" w:space="0"/>
            </w:tcBorders>
            <w:vAlign w:val="center"/>
          </w:tcPr>
          <w:p w14:paraId="5867906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auto" w:sz="4" w:space="0"/>
              <w:left w:val="single" w:color="auto" w:sz="4" w:space="0"/>
              <w:bottom w:val="single" w:color="auto" w:sz="4" w:space="0"/>
              <w:right w:val="single" w:color="auto" w:sz="4" w:space="0"/>
            </w:tcBorders>
            <w:vAlign w:val="center"/>
          </w:tcPr>
          <w:p w14:paraId="23387E6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r>
    </w:tbl>
    <w:p w14:paraId="49829E73">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14:paraId="08A433C2">
      <w:pPr>
        <w:rPr>
          <w:rFonts w:hint="eastAsia" w:ascii="宋体" w:hAnsi="宋体" w:cs="宋体"/>
          <w:b/>
          <w:bCs/>
          <w:sz w:val="32"/>
          <w:szCs w:val="32"/>
        </w:rPr>
      </w:pPr>
      <w:r>
        <w:rPr>
          <w:rFonts w:hint="eastAsia" w:ascii="宋体" w:hAnsi="宋体" w:cs="宋体"/>
          <w:b/>
          <w:bCs/>
          <w:sz w:val="32"/>
          <w:szCs w:val="32"/>
        </w:rPr>
        <w:br w:type="page"/>
      </w:r>
    </w:p>
    <w:p w14:paraId="7F9FF9F2">
      <w:pPr>
        <w:jc w:val="center"/>
        <w:rPr>
          <w:rFonts w:ascii="宋体" w:hAnsi="宋体" w:cs="宋体"/>
          <w:b/>
          <w:bCs/>
          <w:sz w:val="32"/>
          <w:szCs w:val="32"/>
        </w:rPr>
      </w:pPr>
      <w:r>
        <w:rPr>
          <w:rFonts w:hint="eastAsia" w:ascii="宋体" w:hAnsi="宋体" w:cs="宋体"/>
          <w:b/>
          <w:bCs/>
          <w:sz w:val="32"/>
          <w:szCs w:val="32"/>
        </w:rPr>
        <w:t>财政拨款收入支出决算总表</w:t>
      </w:r>
    </w:p>
    <w:p w14:paraId="2545193F">
      <w:pPr>
        <w:rPr>
          <w:rFonts w:ascii="宋体" w:hAnsi="宋体" w:cs="宋体"/>
          <w:b/>
          <w:bCs/>
          <w:szCs w:val="21"/>
        </w:rPr>
      </w:pPr>
      <w:r>
        <w:rPr>
          <w:rFonts w:hint="eastAsia" w:ascii="宋体" w:hAnsi="宋体" w:cs="宋体"/>
          <w:b/>
          <w:bCs/>
          <w:szCs w:val="21"/>
        </w:rPr>
        <w:t>公开04表</w:t>
      </w:r>
    </w:p>
    <w:p w14:paraId="2005CBE9">
      <w:pPr>
        <w:rPr>
          <w:rFonts w:ascii="宋体" w:hAnsi="宋体" w:cs="宋体"/>
          <w:b/>
          <w:bCs/>
          <w:szCs w:val="21"/>
        </w:rPr>
      </w:pPr>
      <w:r>
        <w:rPr>
          <w:rFonts w:hint="eastAsia" w:ascii="宋体" w:hAnsi="宋体" w:cs="宋体"/>
          <w:b/>
          <w:bCs/>
          <w:szCs w:val="21"/>
        </w:rPr>
        <w:t>编制部门：                                                            金额单位：万元</w:t>
      </w:r>
    </w:p>
    <w:tbl>
      <w:tblPr>
        <w:tblStyle w:val="9"/>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14:paraId="7B1FF1AD">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14:paraId="2B37939F">
            <w:pPr>
              <w:widowControl/>
              <w:jc w:val="center"/>
              <w:textAlignment w:val="center"/>
              <w:rPr>
                <w:rFonts w:ascii="宋体" w:hAnsi="宋体" w:cs="宋体"/>
                <w:b/>
                <w:color w:val="000000"/>
                <w:sz w:val="18"/>
                <w:szCs w:val="18"/>
              </w:rPr>
            </w:pPr>
            <w:r>
              <w:rPr>
                <w:rFonts w:hint="eastAsia" w:ascii="宋体" w:hAnsi="宋体" w:cs="宋体"/>
                <w:b/>
                <w:color w:val="000000"/>
                <w:sz w:val="18"/>
                <w:szCs w:val="18"/>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14:paraId="302FB374">
            <w:pPr>
              <w:widowControl/>
              <w:jc w:val="center"/>
              <w:textAlignment w:val="center"/>
              <w:rPr>
                <w:rFonts w:ascii="宋体" w:hAnsi="宋体" w:cs="宋体"/>
                <w:b/>
                <w:color w:val="000000"/>
                <w:sz w:val="18"/>
                <w:szCs w:val="18"/>
              </w:rPr>
            </w:pPr>
            <w:r>
              <w:rPr>
                <w:rFonts w:hint="eastAsia" w:ascii="宋体" w:hAnsi="宋体" w:cs="宋体"/>
                <w:b/>
                <w:color w:val="000000"/>
                <w:sz w:val="18"/>
                <w:szCs w:val="18"/>
              </w:rPr>
              <w:t>支出</w:t>
            </w:r>
          </w:p>
        </w:tc>
      </w:tr>
      <w:tr w14:paraId="14DB443D">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3320805E">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14:paraId="241FE167">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14:paraId="257983DC">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14:paraId="3EBB2C36">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14:paraId="4ECC0427">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14:paraId="5865598A">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政府性基金预算财政拨款</w:t>
            </w:r>
          </w:p>
        </w:tc>
      </w:tr>
      <w:tr w14:paraId="0843FC96">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E89C6D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14:paraId="1961C82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1,125.69</w:t>
            </w:r>
          </w:p>
        </w:tc>
        <w:tc>
          <w:tcPr>
            <w:tcW w:w="2703" w:type="dxa"/>
            <w:tcBorders>
              <w:top w:val="single" w:color="000000" w:sz="4" w:space="0"/>
              <w:left w:val="single" w:color="000000" w:sz="4" w:space="0"/>
              <w:bottom w:val="single" w:color="000000" w:sz="4" w:space="0"/>
              <w:right w:val="single" w:color="000000" w:sz="4" w:space="0"/>
            </w:tcBorders>
            <w:vAlign w:val="center"/>
          </w:tcPr>
          <w:p w14:paraId="2B73951A">
            <w:pPr>
              <w:widowControl/>
              <w:textAlignment w:val="center"/>
              <w:rPr>
                <w:rFonts w:ascii="宋体" w:hAnsi="宋体" w:cs="宋体"/>
                <w:color w:val="000000"/>
                <w:sz w:val="18"/>
                <w:szCs w:val="18"/>
              </w:rPr>
            </w:pPr>
            <w:r>
              <w:rPr>
                <w:rFonts w:hint="eastAsia" w:ascii="宋体" w:hAnsi="宋体" w:cs="宋体"/>
                <w:color w:val="000000"/>
                <w:kern w:val="0"/>
                <w:sz w:val="18"/>
                <w:szCs w:val="18"/>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532D93F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562.36</w:t>
            </w:r>
          </w:p>
        </w:tc>
        <w:tc>
          <w:tcPr>
            <w:tcW w:w="1102" w:type="dxa"/>
            <w:tcBorders>
              <w:top w:val="single" w:color="000000" w:sz="4" w:space="0"/>
              <w:left w:val="single" w:color="000000" w:sz="4" w:space="0"/>
              <w:bottom w:val="single" w:color="000000" w:sz="4" w:space="0"/>
              <w:right w:val="single" w:color="000000" w:sz="4" w:space="0"/>
            </w:tcBorders>
            <w:vAlign w:val="center"/>
          </w:tcPr>
          <w:p w14:paraId="3B13F57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562.36</w:t>
            </w:r>
          </w:p>
        </w:tc>
        <w:tc>
          <w:tcPr>
            <w:tcW w:w="984" w:type="dxa"/>
            <w:tcBorders>
              <w:top w:val="single" w:color="000000" w:sz="4" w:space="0"/>
              <w:left w:val="single" w:color="000000" w:sz="4" w:space="0"/>
              <w:bottom w:val="single" w:color="000000" w:sz="4" w:space="0"/>
              <w:right w:val="single" w:color="000000" w:sz="4" w:space="0"/>
            </w:tcBorders>
            <w:vAlign w:val="center"/>
          </w:tcPr>
          <w:p w14:paraId="09EDE0E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05C17898">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74FA4EB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14:paraId="57ADF61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14:paraId="2B8EF8D4">
            <w:pPr>
              <w:widowControl/>
              <w:textAlignment w:val="center"/>
              <w:rPr>
                <w:rFonts w:ascii="宋体" w:hAnsi="宋体" w:cs="宋体"/>
                <w:color w:val="000000"/>
                <w:sz w:val="18"/>
                <w:szCs w:val="18"/>
              </w:rPr>
            </w:pPr>
            <w:r>
              <w:rPr>
                <w:rFonts w:hint="eastAsia" w:ascii="宋体" w:hAnsi="宋体" w:cs="宋体"/>
                <w:color w:val="000000"/>
                <w:kern w:val="0"/>
                <w:sz w:val="18"/>
                <w:szCs w:val="18"/>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73F37F8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4FC5159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22D98CB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E6AED3D">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3BBFE40">
            <w:pPr>
              <w:widowControl/>
              <w:jc w:val="left"/>
              <w:textAlignment w:val="center"/>
              <w:rPr>
                <w:rFonts w:ascii="宋体" w:hAnsi="宋体" w:cs="宋体"/>
                <w:color w:val="000000"/>
                <w:sz w:val="18"/>
                <w:szCs w:val="18"/>
              </w:rPr>
            </w:pPr>
            <w:r>
              <w:rPr>
                <w:rFonts w:hint="eastAsia" w:ascii="宋体" w:hAnsi="宋体" w:cs="宋体"/>
                <w:color w:val="000000"/>
                <w:sz w:val="18"/>
                <w:szCs w:val="18"/>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14:paraId="298F993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14:paraId="25E0DCEC">
            <w:pPr>
              <w:widowControl/>
              <w:textAlignment w:val="center"/>
              <w:rPr>
                <w:rFonts w:ascii="宋体" w:hAnsi="宋体" w:cs="宋体"/>
                <w:color w:val="000000"/>
                <w:sz w:val="18"/>
                <w:szCs w:val="18"/>
              </w:rPr>
            </w:pPr>
            <w:r>
              <w:rPr>
                <w:rFonts w:hint="eastAsia" w:ascii="宋体" w:hAnsi="宋体" w:cs="宋体"/>
                <w:color w:val="000000"/>
                <w:kern w:val="0"/>
                <w:sz w:val="18"/>
                <w:szCs w:val="18"/>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20EF8592">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1ED3C12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087673F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7E3C222D">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14:paraId="0CF21380">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18790ED5">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07A8A201">
            <w:pPr>
              <w:widowControl/>
              <w:textAlignment w:val="center"/>
              <w:rPr>
                <w:rFonts w:ascii="宋体" w:hAnsi="宋体" w:cs="宋体"/>
                <w:color w:val="000000"/>
                <w:sz w:val="18"/>
                <w:szCs w:val="18"/>
              </w:rPr>
            </w:pPr>
            <w:r>
              <w:rPr>
                <w:rFonts w:hint="eastAsia" w:ascii="宋体" w:hAnsi="宋体" w:cs="宋体"/>
                <w:color w:val="000000"/>
                <w:kern w:val="0"/>
                <w:sz w:val="18"/>
                <w:szCs w:val="18"/>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35EBD09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6.99</w:t>
            </w:r>
          </w:p>
        </w:tc>
        <w:tc>
          <w:tcPr>
            <w:tcW w:w="1102" w:type="dxa"/>
            <w:tcBorders>
              <w:top w:val="single" w:color="000000" w:sz="4" w:space="0"/>
              <w:left w:val="single" w:color="000000" w:sz="4" w:space="0"/>
              <w:bottom w:val="single" w:color="000000" w:sz="4" w:space="0"/>
              <w:right w:val="single" w:color="000000" w:sz="4" w:space="0"/>
            </w:tcBorders>
            <w:vAlign w:val="center"/>
          </w:tcPr>
          <w:p w14:paraId="4FEDDE9F">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6.99</w:t>
            </w:r>
          </w:p>
        </w:tc>
        <w:tc>
          <w:tcPr>
            <w:tcW w:w="984" w:type="dxa"/>
            <w:tcBorders>
              <w:top w:val="single" w:color="000000" w:sz="4" w:space="0"/>
              <w:left w:val="single" w:color="000000" w:sz="4" w:space="0"/>
              <w:bottom w:val="single" w:color="000000" w:sz="4" w:space="0"/>
              <w:right w:val="single" w:color="000000" w:sz="4" w:space="0"/>
            </w:tcBorders>
            <w:vAlign w:val="center"/>
          </w:tcPr>
          <w:p w14:paraId="0B58D53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0A2B7B26">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2143113">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271BEEBD">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7858A37F">
            <w:pPr>
              <w:widowControl/>
              <w:textAlignment w:val="center"/>
              <w:rPr>
                <w:rFonts w:ascii="宋体" w:hAnsi="宋体" w:cs="宋体"/>
                <w:color w:val="000000"/>
                <w:sz w:val="18"/>
                <w:szCs w:val="18"/>
              </w:rPr>
            </w:pPr>
            <w:r>
              <w:rPr>
                <w:rFonts w:hint="eastAsia" w:ascii="宋体" w:hAnsi="宋体" w:cs="宋体"/>
                <w:color w:val="000000"/>
                <w:kern w:val="0"/>
                <w:sz w:val="18"/>
                <w:szCs w:val="18"/>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7F202FA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7.00</w:t>
            </w:r>
          </w:p>
        </w:tc>
        <w:tc>
          <w:tcPr>
            <w:tcW w:w="1102" w:type="dxa"/>
            <w:tcBorders>
              <w:top w:val="single" w:color="000000" w:sz="4" w:space="0"/>
              <w:left w:val="single" w:color="000000" w:sz="4" w:space="0"/>
              <w:bottom w:val="single" w:color="000000" w:sz="4" w:space="0"/>
              <w:right w:val="single" w:color="000000" w:sz="4" w:space="0"/>
            </w:tcBorders>
            <w:vAlign w:val="center"/>
          </w:tcPr>
          <w:p w14:paraId="2CDA810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7.00</w:t>
            </w:r>
          </w:p>
        </w:tc>
        <w:tc>
          <w:tcPr>
            <w:tcW w:w="984" w:type="dxa"/>
            <w:tcBorders>
              <w:top w:val="single" w:color="000000" w:sz="4" w:space="0"/>
              <w:left w:val="single" w:color="000000" w:sz="4" w:space="0"/>
              <w:bottom w:val="single" w:color="000000" w:sz="4" w:space="0"/>
              <w:right w:val="single" w:color="000000" w:sz="4" w:space="0"/>
            </w:tcBorders>
            <w:vAlign w:val="center"/>
          </w:tcPr>
          <w:p w14:paraId="4EFDE63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7F9C8FBD">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6711CCAF">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006E1553">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450E1077">
            <w:pPr>
              <w:widowControl/>
              <w:textAlignment w:val="center"/>
              <w:rPr>
                <w:rFonts w:ascii="宋体" w:hAnsi="宋体" w:cs="宋体"/>
                <w:color w:val="000000"/>
                <w:sz w:val="18"/>
                <w:szCs w:val="18"/>
              </w:rPr>
            </w:pPr>
            <w:r>
              <w:rPr>
                <w:rFonts w:hint="eastAsia" w:ascii="宋体" w:hAnsi="宋体" w:cs="宋体"/>
                <w:color w:val="000000"/>
                <w:kern w:val="0"/>
                <w:sz w:val="18"/>
                <w:szCs w:val="18"/>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315D55C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00B42C6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575E68B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EFBAD60">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386D8D13">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073891B9">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2C5EE7F5">
            <w:pPr>
              <w:widowControl/>
              <w:textAlignment w:val="center"/>
              <w:rPr>
                <w:rFonts w:ascii="宋体" w:hAnsi="宋体" w:cs="宋体"/>
                <w:color w:val="000000"/>
                <w:sz w:val="18"/>
                <w:szCs w:val="18"/>
              </w:rPr>
            </w:pPr>
            <w:r>
              <w:rPr>
                <w:rFonts w:hint="eastAsia" w:ascii="宋体" w:hAnsi="宋体" w:cs="宋体"/>
                <w:color w:val="000000"/>
                <w:kern w:val="0"/>
                <w:sz w:val="18"/>
                <w:szCs w:val="18"/>
              </w:rPr>
              <w:t>7、</w:t>
            </w:r>
            <w:r>
              <w:rPr>
                <w:rFonts w:hint="eastAsia" w:ascii="宋体" w:hAnsi="宋体" w:cs="宋体"/>
                <w:color w:val="000000"/>
                <w:spacing w:val="-11"/>
                <w:w w:val="98"/>
                <w:kern w:val="0"/>
                <w:sz w:val="18"/>
                <w:szCs w:val="18"/>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52A591A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15.00</w:t>
            </w:r>
          </w:p>
        </w:tc>
        <w:tc>
          <w:tcPr>
            <w:tcW w:w="1102" w:type="dxa"/>
            <w:tcBorders>
              <w:top w:val="single" w:color="000000" w:sz="4" w:space="0"/>
              <w:left w:val="single" w:color="000000" w:sz="4" w:space="0"/>
              <w:bottom w:val="single" w:color="000000" w:sz="4" w:space="0"/>
              <w:right w:val="single" w:color="000000" w:sz="4" w:space="0"/>
            </w:tcBorders>
            <w:vAlign w:val="center"/>
          </w:tcPr>
          <w:p w14:paraId="0433728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15.00</w:t>
            </w:r>
          </w:p>
        </w:tc>
        <w:tc>
          <w:tcPr>
            <w:tcW w:w="984" w:type="dxa"/>
            <w:tcBorders>
              <w:top w:val="single" w:color="000000" w:sz="4" w:space="0"/>
              <w:left w:val="single" w:color="000000" w:sz="4" w:space="0"/>
              <w:bottom w:val="single" w:color="000000" w:sz="4" w:space="0"/>
              <w:right w:val="single" w:color="000000" w:sz="4" w:space="0"/>
            </w:tcBorders>
            <w:vAlign w:val="center"/>
          </w:tcPr>
          <w:p w14:paraId="26E1DE8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21B0404B">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F2A73D5">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16CAA1A0">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559D5AFF">
            <w:pPr>
              <w:widowControl/>
              <w:textAlignment w:val="center"/>
              <w:rPr>
                <w:rFonts w:ascii="宋体" w:hAnsi="宋体" w:cs="宋体"/>
                <w:color w:val="000000"/>
                <w:sz w:val="18"/>
                <w:szCs w:val="18"/>
              </w:rPr>
            </w:pPr>
            <w:r>
              <w:rPr>
                <w:rFonts w:hint="eastAsia" w:ascii="宋体" w:hAnsi="宋体" w:cs="宋体"/>
                <w:color w:val="000000"/>
                <w:kern w:val="0"/>
                <w:sz w:val="18"/>
                <w:szCs w:val="18"/>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56BA945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70.84</w:t>
            </w:r>
          </w:p>
        </w:tc>
        <w:tc>
          <w:tcPr>
            <w:tcW w:w="1102" w:type="dxa"/>
            <w:tcBorders>
              <w:top w:val="single" w:color="000000" w:sz="4" w:space="0"/>
              <w:left w:val="single" w:color="000000" w:sz="4" w:space="0"/>
              <w:bottom w:val="single" w:color="000000" w:sz="4" w:space="0"/>
              <w:right w:val="single" w:color="000000" w:sz="4" w:space="0"/>
            </w:tcBorders>
            <w:vAlign w:val="center"/>
          </w:tcPr>
          <w:p w14:paraId="441A11A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70.84</w:t>
            </w:r>
          </w:p>
        </w:tc>
        <w:tc>
          <w:tcPr>
            <w:tcW w:w="984" w:type="dxa"/>
            <w:tcBorders>
              <w:top w:val="single" w:color="000000" w:sz="4" w:space="0"/>
              <w:left w:val="single" w:color="000000" w:sz="4" w:space="0"/>
              <w:bottom w:val="single" w:color="000000" w:sz="4" w:space="0"/>
              <w:right w:val="single" w:color="000000" w:sz="4" w:space="0"/>
            </w:tcBorders>
            <w:vAlign w:val="center"/>
          </w:tcPr>
          <w:p w14:paraId="3E5E467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2BA26A44">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9BFBDA6">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432F0B7E">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17FA3842">
            <w:pPr>
              <w:widowControl/>
              <w:textAlignment w:val="center"/>
              <w:rPr>
                <w:rFonts w:ascii="宋体" w:hAnsi="宋体" w:cs="宋体"/>
                <w:color w:val="000000"/>
                <w:sz w:val="18"/>
                <w:szCs w:val="18"/>
              </w:rPr>
            </w:pPr>
            <w:r>
              <w:rPr>
                <w:rFonts w:hint="eastAsia" w:ascii="宋体" w:hAnsi="宋体" w:cs="宋体"/>
                <w:color w:val="000000"/>
                <w:kern w:val="0"/>
                <w:sz w:val="18"/>
                <w:szCs w:val="18"/>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7A79CE8C">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42.44</w:t>
            </w:r>
          </w:p>
        </w:tc>
        <w:tc>
          <w:tcPr>
            <w:tcW w:w="1102" w:type="dxa"/>
            <w:tcBorders>
              <w:top w:val="single" w:color="000000" w:sz="4" w:space="0"/>
              <w:left w:val="single" w:color="000000" w:sz="4" w:space="0"/>
              <w:bottom w:val="single" w:color="000000" w:sz="4" w:space="0"/>
              <w:right w:val="single" w:color="000000" w:sz="4" w:space="0"/>
            </w:tcBorders>
            <w:vAlign w:val="center"/>
          </w:tcPr>
          <w:p w14:paraId="2F02A68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42.44</w:t>
            </w:r>
          </w:p>
        </w:tc>
        <w:tc>
          <w:tcPr>
            <w:tcW w:w="984" w:type="dxa"/>
            <w:tcBorders>
              <w:top w:val="single" w:color="000000" w:sz="4" w:space="0"/>
              <w:left w:val="single" w:color="000000" w:sz="4" w:space="0"/>
              <w:bottom w:val="single" w:color="000000" w:sz="4" w:space="0"/>
              <w:right w:val="single" w:color="000000" w:sz="4" w:space="0"/>
            </w:tcBorders>
            <w:vAlign w:val="center"/>
          </w:tcPr>
          <w:p w14:paraId="24D52CB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25DCAD0">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A4ECB98">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70F4F751">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32D13493">
            <w:pPr>
              <w:widowControl/>
              <w:textAlignment w:val="center"/>
              <w:rPr>
                <w:rFonts w:ascii="宋体" w:hAnsi="宋体" w:cs="宋体"/>
                <w:color w:val="000000"/>
                <w:sz w:val="18"/>
                <w:szCs w:val="18"/>
              </w:rPr>
            </w:pPr>
            <w:r>
              <w:rPr>
                <w:rFonts w:hint="eastAsia" w:ascii="宋体" w:hAnsi="宋体" w:cs="宋体"/>
                <w:color w:val="000000"/>
                <w:kern w:val="0"/>
                <w:sz w:val="18"/>
                <w:szCs w:val="18"/>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0D8EF50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2138FA7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00D9FF3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4AF32BF1">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2EEE6459">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487936C4">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737188B0">
            <w:pPr>
              <w:widowControl/>
              <w:textAlignment w:val="center"/>
              <w:rPr>
                <w:rFonts w:ascii="宋体" w:hAnsi="宋体" w:cs="宋体"/>
                <w:color w:val="000000"/>
                <w:sz w:val="18"/>
                <w:szCs w:val="18"/>
              </w:rPr>
            </w:pPr>
            <w:r>
              <w:rPr>
                <w:rFonts w:hint="eastAsia" w:ascii="宋体" w:hAnsi="宋体" w:cs="宋体"/>
                <w:color w:val="000000"/>
                <w:kern w:val="0"/>
                <w:sz w:val="18"/>
                <w:szCs w:val="18"/>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3DAF633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34.00</w:t>
            </w:r>
          </w:p>
        </w:tc>
        <w:tc>
          <w:tcPr>
            <w:tcW w:w="1102" w:type="dxa"/>
            <w:tcBorders>
              <w:top w:val="single" w:color="000000" w:sz="4" w:space="0"/>
              <w:left w:val="single" w:color="000000" w:sz="4" w:space="0"/>
              <w:bottom w:val="single" w:color="000000" w:sz="4" w:space="0"/>
              <w:right w:val="single" w:color="000000" w:sz="4" w:space="0"/>
            </w:tcBorders>
            <w:vAlign w:val="center"/>
          </w:tcPr>
          <w:p w14:paraId="5C5128E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34.00</w:t>
            </w:r>
          </w:p>
        </w:tc>
        <w:tc>
          <w:tcPr>
            <w:tcW w:w="984" w:type="dxa"/>
            <w:tcBorders>
              <w:top w:val="single" w:color="000000" w:sz="4" w:space="0"/>
              <w:left w:val="single" w:color="000000" w:sz="4" w:space="0"/>
              <w:bottom w:val="single" w:color="000000" w:sz="4" w:space="0"/>
              <w:right w:val="single" w:color="000000" w:sz="4" w:space="0"/>
            </w:tcBorders>
            <w:vAlign w:val="center"/>
          </w:tcPr>
          <w:p w14:paraId="0F1246C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71707FCB">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502AD75">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3511365C">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490E5834">
            <w:pPr>
              <w:widowControl/>
              <w:textAlignment w:val="center"/>
              <w:rPr>
                <w:rFonts w:ascii="宋体" w:hAnsi="宋体" w:cs="宋体"/>
                <w:color w:val="000000"/>
                <w:sz w:val="18"/>
                <w:szCs w:val="18"/>
              </w:rPr>
            </w:pPr>
            <w:r>
              <w:rPr>
                <w:rFonts w:hint="eastAsia" w:ascii="宋体" w:hAnsi="宋体" w:cs="宋体"/>
                <w:color w:val="000000"/>
                <w:kern w:val="0"/>
                <w:sz w:val="18"/>
                <w:szCs w:val="18"/>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521B019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333.96</w:t>
            </w:r>
          </w:p>
        </w:tc>
        <w:tc>
          <w:tcPr>
            <w:tcW w:w="1102" w:type="dxa"/>
            <w:tcBorders>
              <w:top w:val="single" w:color="000000" w:sz="4" w:space="0"/>
              <w:left w:val="single" w:color="000000" w:sz="4" w:space="0"/>
              <w:bottom w:val="single" w:color="000000" w:sz="4" w:space="0"/>
              <w:right w:val="single" w:color="000000" w:sz="4" w:space="0"/>
            </w:tcBorders>
            <w:vAlign w:val="center"/>
          </w:tcPr>
          <w:p w14:paraId="03E2CC1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333.96</w:t>
            </w:r>
          </w:p>
        </w:tc>
        <w:tc>
          <w:tcPr>
            <w:tcW w:w="984" w:type="dxa"/>
            <w:tcBorders>
              <w:top w:val="single" w:color="000000" w:sz="4" w:space="0"/>
              <w:left w:val="single" w:color="000000" w:sz="4" w:space="0"/>
              <w:bottom w:val="single" w:color="000000" w:sz="4" w:space="0"/>
              <w:right w:val="single" w:color="000000" w:sz="4" w:space="0"/>
            </w:tcBorders>
            <w:vAlign w:val="center"/>
          </w:tcPr>
          <w:p w14:paraId="582A7F6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385D93AF">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440EB62">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325A971B">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02A8F4AF">
            <w:pPr>
              <w:widowControl/>
              <w:textAlignment w:val="center"/>
              <w:rPr>
                <w:rFonts w:ascii="宋体" w:hAnsi="宋体" w:cs="宋体"/>
                <w:color w:val="000000"/>
                <w:sz w:val="18"/>
                <w:szCs w:val="18"/>
              </w:rPr>
            </w:pPr>
            <w:r>
              <w:rPr>
                <w:rFonts w:hint="eastAsia" w:ascii="宋体" w:hAnsi="宋体" w:cs="宋体"/>
                <w:color w:val="000000"/>
                <w:kern w:val="0"/>
                <w:sz w:val="18"/>
                <w:szCs w:val="18"/>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26FD372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9.00</w:t>
            </w:r>
          </w:p>
        </w:tc>
        <w:tc>
          <w:tcPr>
            <w:tcW w:w="1102" w:type="dxa"/>
            <w:tcBorders>
              <w:top w:val="single" w:color="000000" w:sz="4" w:space="0"/>
              <w:left w:val="single" w:color="000000" w:sz="4" w:space="0"/>
              <w:bottom w:val="single" w:color="000000" w:sz="4" w:space="0"/>
              <w:right w:val="single" w:color="000000" w:sz="4" w:space="0"/>
            </w:tcBorders>
            <w:vAlign w:val="center"/>
          </w:tcPr>
          <w:p w14:paraId="3CA3FA2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9.00</w:t>
            </w:r>
          </w:p>
        </w:tc>
        <w:tc>
          <w:tcPr>
            <w:tcW w:w="984" w:type="dxa"/>
            <w:tcBorders>
              <w:top w:val="single" w:color="000000" w:sz="4" w:space="0"/>
              <w:left w:val="single" w:color="000000" w:sz="4" w:space="0"/>
              <w:bottom w:val="single" w:color="000000" w:sz="4" w:space="0"/>
              <w:right w:val="single" w:color="000000" w:sz="4" w:space="0"/>
            </w:tcBorders>
            <w:vAlign w:val="center"/>
          </w:tcPr>
          <w:p w14:paraId="3F73F8F3">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49803496">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114836F">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6A3DF93B">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4374EEB2">
            <w:pPr>
              <w:widowControl/>
              <w:textAlignment w:val="center"/>
              <w:rPr>
                <w:rFonts w:ascii="宋体" w:hAnsi="宋体" w:cs="宋体"/>
                <w:color w:val="000000"/>
                <w:sz w:val="18"/>
                <w:szCs w:val="18"/>
              </w:rPr>
            </w:pPr>
            <w:r>
              <w:rPr>
                <w:rFonts w:hint="eastAsia" w:ascii="宋体" w:hAnsi="宋体" w:cs="宋体"/>
                <w:color w:val="000000"/>
                <w:kern w:val="0"/>
                <w:sz w:val="18"/>
                <w:szCs w:val="18"/>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2DA3ACC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789F069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28431E1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60ED82ED">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C561AF1">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56513D1A">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7B017B03">
            <w:pPr>
              <w:widowControl/>
              <w:textAlignment w:val="center"/>
              <w:rPr>
                <w:rFonts w:ascii="宋体" w:hAnsi="宋体" w:cs="宋体"/>
                <w:color w:val="000000"/>
                <w:sz w:val="18"/>
                <w:szCs w:val="18"/>
              </w:rPr>
            </w:pPr>
            <w:r>
              <w:rPr>
                <w:rFonts w:hint="eastAsia" w:ascii="宋体" w:hAnsi="宋体" w:cs="宋体"/>
                <w:color w:val="000000"/>
                <w:kern w:val="0"/>
                <w:sz w:val="18"/>
                <w:szCs w:val="18"/>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47AFAE3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60E595B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08BD4B6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1CC0267E">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5DFD03E">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1BE77889">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05870DB2">
            <w:pPr>
              <w:widowControl/>
              <w:textAlignment w:val="center"/>
              <w:rPr>
                <w:rFonts w:ascii="宋体" w:hAnsi="宋体" w:cs="宋体"/>
                <w:color w:val="000000"/>
                <w:sz w:val="18"/>
                <w:szCs w:val="18"/>
              </w:rPr>
            </w:pPr>
            <w:r>
              <w:rPr>
                <w:rFonts w:hint="eastAsia" w:ascii="宋体" w:hAnsi="宋体" w:cs="宋体"/>
                <w:color w:val="000000"/>
                <w:kern w:val="0"/>
                <w:sz w:val="18"/>
                <w:szCs w:val="18"/>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4FEC881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07D360FF">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008B2A19">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42F95776">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3568A545">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5FC381CE">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5DD345BF">
            <w:pPr>
              <w:widowControl/>
              <w:textAlignment w:val="center"/>
              <w:rPr>
                <w:rFonts w:ascii="宋体" w:hAnsi="宋体" w:cs="宋体"/>
                <w:color w:val="000000"/>
                <w:sz w:val="18"/>
                <w:szCs w:val="18"/>
              </w:rPr>
            </w:pPr>
            <w:r>
              <w:rPr>
                <w:rFonts w:hint="eastAsia" w:ascii="宋体" w:hAnsi="宋体" w:cs="宋体"/>
                <w:color w:val="000000"/>
                <w:kern w:val="0"/>
                <w:sz w:val="18"/>
                <w:szCs w:val="18"/>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08D11C4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4DD0116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398C00F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360C7259">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3D47AE9">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4DC7B268">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0E4C6278">
            <w:pPr>
              <w:widowControl/>
              <w:textAlignment w:val="center"/>
              <w:rPr>
                <w:rFonts w:ascii="宋体" w:hAnsi="宋体" w:cs="宋体"/>
                <w:color w:val="000000"/>
                <w:sz w:val="18"/>
                <w:szCs w:val="18"/>
              </w:rPr>
            </w:pPr>
            <w:r>
              <w:rPr>
                <w:rFonts w:hint="eastAsia" w:ascii="宋体" w:hAnsi="宋体" w:cs="宋体"/>
                <w:color w:val="000000"/>
                <w:kern w:val="0"/>
                <w:sz w:val="18"/>
                <w:szCs w:val="18"/>
              </w:rPr>
              <w:t>18、</w:t>
            </w:r>
            <w:r>
              <w:rPr>
                <w:rFonts w:hint="eastAsia" w:ascii="宋体" w:hAnsi="宋体" w:cs="宋体"/>
                <w:color w:val="000000"/>
                <w:spacing w:val="-11"/>
                <w:w w:val="98"/>
                <w:kern w:val="0"/>
                <w:sz w:val="18"/>
                <w:szCs w:val="18"/>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1CAC44D0">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4CC12FD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587DC41E">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08423009">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600771B4">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2970C9CD">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670810DB">
            <w:pPr>
              <w:widowControl/>
              <w:textAlignment w:val="center"/>
              <w:rPr>
                <w:rFonts w:ascii="宋体" w:hAnsi="宋体" w:cs="宋体"/>
                <w:color w:val="000000"/>
                <w:sz w:val="18"/>
                <w:szCs w:val="18"/>
              </w:rPr>
            </w:pPr>
            <w:r>
              <w:rPr>
                <w:rFonts w:hint="eastAsia" w:ascii="宋体" w:hAnsi="宋体" w:cs="宋体"/>
                <w:color w:val="000000"/>
                <w:kern w:val="0"/>
                <w:sz w:val="18"/>
                <w:szCs w:val="18"/>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0EAC0C56">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44.10</w:t>
            </w:r>
          </w:p>
        </w:tc>
        <w:tc>
          <w:tcPr>
            <w:tcW w:w="1102" w:type="dxa"/>
            <w:tcBorders>
              <w:top w:val="single" w:color="000000" w:sz="4" w:space="0"/>
              <w:left w:val="single" w:color="000000" w:sz="4" w:space="0"/>
              <w:bottom w:val="single" w:color="000000" w:sz="4" w:space="0"/>
              <w:right w:val="single" w:color="000000" w:sz="4" w:space="0"/>
            </w:tcBorders>
            <w:vAlign w:val="center"/>
          </w:tcPr>
          <w:p w14:paraId="4B9DD9D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44.10</w:t>
            </w:r>
          </w:p>
        </w:tc>
        <w:tc>
          <w:tcPr>
            <w:tcW w:w="984" w:type="dxa"/>
            <w:tcBorders>
              <w:top w:val="single" w:color="000000" w:sz="4" w:space="0"/>
              <w:left w:val="single" w:color="000000" w:sz="4" w:space="0"/>
              <w:bottom w:val="single" w:color="000000" w:sz="4" w:space="0"/>
              <w:right w:val="single" w:color="000000" w:sz="4" w:space="0"/>
            </w:tcBorders>
            <w:vAlign w:val="center"/>
          </w:tcPr>
          <w:p w14:paraId="5033E9BB">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5A56B941">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3BFD6829">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103510BA">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125512B1">
            <w:pPr>
              <w:widowControl/>
              <w:textAlignment w:val="center"/>
              <w:rPr>
                <w:rFonts w:ascii="宋体" w:hAnsi="宋体" w:cs="宋体"/>
                <w:color w:val="000000"/>
                <w:sz w:val="18"/>
                <w:szCs w:val="18"/>
              </w:rPr>
            </w:pPr>
            <w:r>
              <w:rPr>
                <w:rFonts w:hint="eastAsia" w:ascii="宋体" w:hAnsi="宋体" w:cs="宋体"/>
                <w:color w:val="000000"/>
                <w:kern w:val="0"/>
                <w:sz w:val="18"/>
                <w:szCs w:val="18"/>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60146117">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39004A78">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046DCED1">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3BB464B4">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2628EEFB">
            <w:pPr>
              <w:rPr>
                <w:rFonts w:ascii="宋体" w:hAnsi="宋体" w:cs="宋体"/>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1D35E5DB">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6896D14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6591E3F5">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09141DAD">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2BE7F2AA">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r>
      <w:tr w14:paraId="74589545">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4CCE4A68">
            <w:pPr>
              <w:widowControl/>
              <w:jc w:val="center"/>
              <w:textAlignment w:val="center"/>
              <w:rPr>
                <w:rFonts w:ascii="宋体" w:hAnsi="宋体" w:cs="宋体"/>
                <w:b/>
                <w:color w:val="000000"/>
                <w:sz w:val="18"/>
                <w:szCs w:val="18"/>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6B926FEB">
            <w:pPr>
              <w:jc w:val="right"/>
              <w:rPr>
                <w:rFonts w:ascii="宋体" w:hAnsi="宋体" w:cs="宋体"/>
                <w:color w:val="000000"/>
                <w:sz w:val="18"/>
                <w:szCs w:val="18"/>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33E7D700">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22、其他支出</w:t>
            </w:r>
          </w:p>
        </w:tc>
        <w:tc>
          <w:tcPr>
            <w:tcW w:w="1134" w:type="dxa"/>
            <w:tcBorders>
              <w:top w:val="single" w:color="000000" w:sz="4" w:space="0"/>
              <w:bottom w:val="single" w:color="000000" w:sz="4" w:space="0"/>
              <w:right w:val="single" w:color="000000" w:sz="4" w:space="0"/>
            </w:tcBorders>
            <w:vAlign w:val="center"/>
          </w:tcPr>
          <w:p w14:paraId="42A155A5">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102" w:type="dxa"/>
            <w:tcBorders>
              <w:top w:val="single" w:color="000000" w:sz="4" w:space="0"/>
              <w:bottom w:val="single" w:color="000000" w:sz="4" w:space="0"/>
              <w:right w:val="single" w:color="000000" w:sz="4" w:space="0"/>
            </w:tcBorders>
            <w:vAlign w:val="center"/>
          </w:tcPr>
          <w:p w14:paraId="6F184171">
            <w:pPr>
              <w:keepNext w:val="0"/>
              <w:keepLines w:val="0"/>
              <w:widowControl/>
              <w:suppressLineNumbers w:val="0"/>
              <w:jc w:val="right"/>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984" w:type="dxa"/>
            <w:tcBorders>
              <w:top w:val="single" w:color="000000" w:sz="4" w:space="0"/>
              <w:bottom w:val="single" w:color="000000" w:sz="4" w:space="0"/>
              <w:right w:val="single" w:color="000000" w:sz="4" w:space="0"/>
            </w:tcBorders>
            <w:vAlign w:val="center"/>
          </w:tcPr>
          <w:p w14:paraId="79D73EAD">
            <w:pPr>
              <w:keepNext w:val="0"/>
              <w:keepLines w:val="0"/>
              <w:widowControl/>
              <w:suppressLineNumbers w:val="0"/>
              <w:jc w:val="right"/>
              <w:textAlignment w:val="center"/>
              <w:rPr>
                <w:rFonts w:ascii="宋体" w:hAnsi="宋体" w:cs="宋体"/>
                <w:b/>
                <w:color w:val="000000"/>
                <w:sz w:val="18"/>
                <w:szCs w:val="18"/>
              </w:rPr>
            </w:pPr>
            <w:r>
              <w:rPr>
                <w:rFonts w:hint="eastAsia" w:ascii="宋体" w:hAnsi="宋体" w:eastAsia="宋体" w:cs="宋体"/>
                <w:i w:val="0"/>
                <w:color w:val="000000"/>
                <w:kern w:val="0"/>
                <w:sz w:val="18"/>
                <w:szCs w:val="18"/>
                <w:u w:val="none"/>
                <w:lang w:val="en-US" w:eastAsia="zh-CN" w:bidi="ar"/>
              </w:rPr>
              <w:t>0.00</w:t>
            </w:r>
          </w:p>
        </w:tc>
      </w:tr>
    </w:tbl>
    <w:p w14:paraId="3D12350B">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14:paraId="1952E6A2">
      <w:pPr>
        <w:rPr>
          <w:rFonts w:ascii="宋体" w:hAnsi="宋体" w:cs="宋体"/>
          <w:b/>
          <w:bCs/>
          <w:szCs w:val="21"/>
        </w:rPr>
      </w:pPr>
      <w:r>
        <w:rPr>
          <w:rFonts w:hint="eastAsia" w:ascii="宋体" w:hAnsi="宋体" w:cs="宋体"/>
          <w:b/>
          <w:bCs/>
          <w:szCs w:val="21"/>
        </w:rPr>
        <w:t>公开04表</w:t>
      </w:r>
    </w:p>
    <w:p w14:paraId="7DEB36CA">
      <w:pPr>
        <w:rPr>
          <w:rFonts w:ascii="宋体" w:hAnsi="宋体" w:cs="宋体"/>
          <w:b/>
          <w:bCs/>
          <w:szCs w:val="21"/>
        </w:rPr>
      </w:pPr>
      <w:r>
        <w:rPr>
          <w:rFonts w:hint="eastAsia" w:ascii="宋体" w:hAnsi="宋体" w:cs="宋体"/>
          <w:b/>
          <w:bCs/>
          <w:szCs w:val="21"/>
        </w:rPr>
        <w:t>编制部门：                                                            金额单位：万元</w:t>
      </w:r>
    </w:p>
    <w:tbl>
      <w:tblPr>
        <w:tblStyle w:val="9"/>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14:paraId="2B8C9ED2">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14:paraId="48526BEC">
            <w:pPr>
              <w:widowControl/>
              <w:jc w:val="center"/>
              <w:textAlignment w:val="center"/>
              <w:rPr>
                <w:rFonts w:ascii="宋体" w:hAnsi="宋体" w:cs="宋体"/>
                <w:b/>
                <w:color w:val="000000"/>
                <w:sz w:val="18"/>
                <w:szCs w:val="18"/>
              </w:rPr>
            </w:pPr>
            <w:r>
              <w:rPr>
                <w:rFonts w:hint="eastAsia" w:ascii="宋体" w:hAnsi="宋体" w:cs="宋体"/>
                <w:b/>
                <w:color w:val="000000"/>
                <w:sz w:val="18"/>
                <w:szCs w:val="18"/>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14:paraId="40318D3B">
            <w:pPr>
              <w:widowControl/>
              <w:jc w:val="center"/>
              <w:textAlignment w:val="center"/>
              <w:rPr>
                <w:rFonts w:ascii="宋体" w:hAnsi="宋体" w:cs="宋体"/>
                <w:b/>
                <w:color w:val="000000"/>
                <w:sz w:val="18"/>
                <w:szCs w:val="18"/>
              </w:rPr>
            </w:pPr>
            <w:r>
              <w:rPr>
                <w:rFonts w:hint="eastAsia" w:ascii="宋体" w:hAnsi="宋体" w:cs="宋体"/>
                <w:b/>
                <w:color w:val="000000"/>
                <w:sz w:val="18"/>
                <w:szCs w:val="18"/>
              </w:rPr>
              <w:t>支出</w:t>
            </w:r>
          </w:p>
        </w:tc>
      </w:tr>
      <w:tr w14:paraId="61DF2C26">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07441990">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14:paraId="2EC9E5D6">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14:paraId="55CCE4D3">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14:paraId="2B22296F">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14:paraId="54DFEEFA">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14:paraId="078D6316">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政府性基金预算财政拨款</w:t>
            </w:r>
          </w:p>
        </w:tc>
      </w:tr>
      <w:tr w14:paraId="54368256">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74E0A60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14:paraId="597B2644">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1,125.69</w:t>
            </w:r>
          </w:p>
        </w:tc>
        <w:tc>
          <w:tcPr>
            <w:tcW w:w="1815" w:type="dxa"/>
            <w:tcBorders>
              <w:top w:val="single" w:color="000000" w:sz="4" w:space="0"/>
              <w:left w:val="single" w:color="000000" w:sz="4" w:space="0"/>
              <w:bottom w:val="single" w:color="000000" w:sz="4" w:space="0"/>
              <w:right w:val="single" w:color="000000" w:sz="4" w:space="0"/>
            </w:tcBorders>
            <w:vAlign w:val="center"/>
          </w:tcPr>
          <w:p w14:paraId="1E46BFB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14:paraId="6324E79E">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18"/>
                <w:szCs w:val="18"/>
                <w:u w:val="none"/>
                <w:lang w:val="en-US" w:eastAsia="zh-CN" w:bidi="ar"/>
              </w:rPr>
              <w:t>1,125.69</w:t>
            </w:r>
          </w:p>
        </w:tc>
        <w:tc>
          <w:tcPr>
            <w:tcW w:w="1061" w:type="dxa"/>
            <w:tcBorders>
              <w:top w:val="single" w:color="000000" w:sz="4" w:space="0"/>
              <w:left w:val="single" w:color="000000" w:sz="4" w:space="0"/>
              <w:bottom w:val="single" w:color="000000" w:sz="4" w:space="0"/>
              <w:right w:val="single" w:color="000000" w:sz="4" w:space="0"/>
            </w:tcBorders>
            <w:vAlign w:val="center"/>
          </w:tcPr>
          <w:p w14:paraId="74266788">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18"/>
                <w:szCs w:val="18"/>
                <w:u w:val="none"/>
                <w:lang w:val="en-US" w:eastAsia="zh-CN" w:bidi="ar"/>
              </w:rPr>
              <w:t>1,125.69</w:t>
            </w:r>
          </w:p>
        </w:tc>
        <w:tc>
          <w:tcPr>
            <w:tcW w:w="1197" w:type="dxa"/>
            <w:tcBorders>
              <w:top w:val="single" w:color="000000" w:sz="4" w:space="0"/>
              <w:left w:val="single" w:color="000000" w:sz="4" w:space="0"/>
              <w:bottom w:val="single" w:color="000000" w:sz="4" w:space="0"/>
              <w:right w:val="single" w:color="000000" w:sz="4" w:space="0"/>
            </w:tcBorders>
            <w:vAlign w:val="center"/>
          </w:tcPr>
          <w:p w14:paraId="3D86CF2C">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14:paraId="1A08B7F6">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1AB9E609">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14:paraId="2DEF27D9">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14:paraId="1511904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年末财政拨款</w:t>
            </w:r>
          </w:p>
          <w:p w14:paraId="24E61355">
            <w:pPr>
              <w:widowControl/>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14:paraId="42F04772">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061" w:type="dxa"/>
            <w:tcBorders>
              <w:top w:val="single" w:color="000000" w:sz="4" w:space="0"/>
              <w:left w:val="single" w:color="000000" w:sz="4" w:space="0"/>
              <w:bottom w:val="single" w:color="000000" w:sz="4" w:space="0"/>
              <w:right w:val="single" w:color="000000" w:sz="4" w:space="0"/>
            </w:tcBorders>
            <w:vAlign w:val="center"/>
          </w:tcPr>
          <w:p w14:paraId="7B3BDE91">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197" w:type="dxa"/>
            <w:tcBorders>
              <w:top w:val="single" w:color="000000" w:sz="4" w:space="0"/>
              <w:left w:val="single" w:color="000000" w:sz="4" w:space="0"/>
              <w:bottom w:val="single" w:color="000000" w:sz="4" w:space="0"/>
              <w:right w:val="single" w:color="000000" w:sz="4" w:space="0"/>
            </w:tcBorders>
            <w:vAlign w:val="center"/>
          </w:tcPr>
          <w:p w14:paraId="2B159004">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14:paraId="04DA4EE2">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7CAF1C16">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一、一般公共预   </w:t>
            </w:r>
          </w:p>
          <w:p w14:paraId="58127E45">
            <w:pPr>
              <w:widowControl/>
              <w:ind w:firstLine="360" w:firstLineChars="200"/>
              <w:textAlignment w:val="center"/>
              <w:rPr>
                <w:rFonts w:ascii="宋体" w:hAnsi="宋体" w:cs="宋体"/>
                <w:b/>
                <w:color w:val="000000"/>
                <w:kern w:val="0"/>
                <w:sz w:val="18"/>
                <w:szCs w:val="18"/>
              </w:rPr>
            </w:pPr>
            <w:r>
              <w:rPr>
                <w:rFonts w:hint="eastAsia" w:ascii="宋体" w:hAnsi="宋体" w:cs="宋体"/>
                <w:color w:val="000000"/>
                <w:kern w:val="0"/>
                <w:sz w:val="18"/>
                <w:szCs w:val="18"/>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14:paraId="1CC6AFB0">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14:paraId="3FB5A0AB">
            <w:pPr>
              <w:widowControl/>
              <w:jc w:val="center"/>
              <w:textAlignment w:val="center"/>
              <w:rPr>
                <w:rFonts w:ascii="宋体" w:hAnsi="宋体" w:cs="宋体"/>
                <w:b/>
                <w:color w:val="000000"/>
                <w:kern w:val="0"/>
                <w:sz w:val="18"/>
                <w:szCs w:val="18"/>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18D819A">
            <w:pPr>
              <w:jc w:val="right"/>
              <w:rPr>
                <w:rFonts w:ascii="宋体" w:hAnsi="宋体" w:cs="宋体"/>
                <w:b/>
                <w:color w:val="000000"/>
                <w:kern w:val="0"/>
                <w:sz w:val="18"/>
                <w:szCs w:val="18"/>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5983B5D2">
            <w:pPr>
              <w:jc w:val="right"/>
              <w:rPr>
                <w:rFonts w:ascii="宋体" w:hAnsi="宋体" w:cs="宋体"/>
                <w:b/>
                <w:color w:val="000000"/>
                <w:kern w:val="0"/>
                <w:sz w:val="18"/>
                <w:szCs w:val="18"/>
              </w:rPr>
            </w:pPr>
          </w:p>
        </w:tc>
        <w:tc>
          <w:tcPr>
            <w:tcW w:w="1197" w:type="dxa"/>
            <w:tcBorders>
              <w:top w:val="single" w:color="000000" w:sz="4" w:space="0"/>
              <w:left w:val="single" w:color="000000" w:sz="4" w:space="0"/>
              <w:bottom w:val="single" w:color="000000" w:sz="4" w:space="0"/>
              <w:right w:val="single" w:color="000000" w:sz="4" w:space="0"/>
            </w:tcBorders>
            <w:vAlign w:val="center"/>
          </w:tcPr>
          <w:p w14:paraId="4A23E741">
            <w:pPr>
              <w:jc w:val="right"/>
              <w:rPr>
                <w:rFonts w:ascii="宋体" w:hAnsi="宋体" w:cs="宋体"/>
                <w:b/>
                <w:color w:val="000000"/>
                <w:kern w:val="0"/>
                <w:sz w:val="18"/>
                <w:szCs w:val="18"/>
              </w:rPr>
            </w:pPr>
          </w:p>
        </w:tc>
      </w:tr>
      <w:tr w14:paraId="68321AE9">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78A310F7">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二、政府性基金预 </w:t>
            </w:r>
          </w:p>
          <w:p w14:paraId="5554DBDC">
            <w:pPr>
              <w:widowControl/>
              <w:ind w:firstLine="360" w:firstLineChars="200"/>
              <w:textAlignment w:val="center"/>
              <w:rPr>
                <w:rFonts w:ascii="宋体" w:hAnsi="宋体" w:cs="宋体"/>
                <w:b/>
                <w:color w:val="000000"/>
                <w:kern w:val="0"/>
                <w:sz w:val="18"/>
                <w:szCs w:val="18"/>
              </w:rPr>
            </w:pPr>
            <w:r>
              <w:rPr>
                <w:rFonts w:hint="eastAsia" w:ascii="宋体" w:hAnsi="宋体" w:cs="宋体"/>
                <w:color w:val="000000"/>
                <w:kern w:val="0"/>
                <w:sz w:val="18"/>
                <w:szCs w:val="18"/>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14:paraId="19268A1B">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14:paraId="405AFAC7">
            <w:pPr>
              <w:widowControl/>
              <w:jc w:val="center"/>
              <w:textAlignment w:val="center"/>
              <w:rPr>
                <w:rFonts w:ascii="宋体" w:hAnsi="宋体" w:cs="宋体"/>
                <w:b/>
                <w:color w:val="000000"/>
                <w:kern w:val="0"/>
                <w:sz w:val="18"/>
                <w:szCs w:val="18"/>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4329FCB5">
            <w:pPr>
              <w:jc w:val="right"/>
              <w:rPr>
                <w:rFonts w:ascii="宋体" w:hAnsi="宋体" w:cs="宋体"/>
                <w:b/>
                <w:color w:val="000000"/>
                <w:kern w:val="0"/>
                <w:sz w:val="18"/>
                <w:szCs w:val="18"/>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2F4F4680">
            <w:pPr>
              <w:jc w:val="right"/>
              <w:rPr>
                <w:rFonts w:ascii="宋体" w:hAnsi="宋体" w:cs="宋体"/>
                <w:b/>
                <w:color w:val="000000"/>
                <w:kern w:val="0"/>
                <w:sz w:val="18"/>
                <w:szCs w:val="18"/>
              </w:rPr>
            </w:pPr>
          </w:p>
        </w:tc>
        <w:tc>
          <w:tcPr>
            <w:tcW w:w="1197" w:type="dxa"/>
            <w:tcBorders>
              <w:top w:val="single" w:color="000000" w:sz="4" w:space="0"/>
              <w:left w:val="single" w:color="000000" w:sz="4" w:space="0"/>
              <w:bottom w:val="single" w:color="000000" w:sz="4" w:space="0"/>
              <w:right w:val="single" w:color="000000" w:sz="4" w:space="0"/>
            </w:tcBorders>
            <w:vAlign w:val="center"/>
          </w:tcPr>
          <w:p w14:paraId="54388C16">
            <w:pPr>
              <w:jc w:val="right"/>
              <w:rPr>
                <w:rFonts w:ascii="宋体" w:hAnsi="宋体" w:cs="宋体"/>
                <w:b/>
                <w:color w:val="000000"/>
                <w:kern w:val="0"/>
                <w:sz w:val="18"/>
                <w:szCs w:val="18"/>
              </w:rPr>
            </w:pPr>
          </w:p>
        </w:tc>
      </w:tr>
      <w:tr w14:paraId="40F86A32">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431A8336">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14:paraId="7BB0C429">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18"/>
                <w:szCs w:val="18"/>
                <w:u w:val="none"/>
                <w:lang w:val="en-US" w:eastAsia="zh-CN" w:bidi="ar"/>
              </w:rPr>
              <w:t>1,125.69</w:t>
            </w:r>
          </w:p>
        </w:tc>
        <w:tc>
          <w:tcPr>
            <w:tcW w:w="1815" w:type="dxa"/>
            <w:tcBorders>
              <w:top w:val="single" w:color="000000" w:sz="4" w:space="0"/>
              <w:left w:val="single" w:color="000000" w:sz="4" w:space="0"/>
              <w:bottom w:val="single" w:color="000000" w:sz="4" w:space="0"/>
              <w:right w:val="single" w:color="000000" w:sz="4" w:space="0"/>
            </w:tcBorders>
            <w:vAlign w:val="center"/>
          </w:tcPr>
          <w:p w14:paraId="37BF5581">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14:paraId="242EBAFA">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18"/>
                <w:szCs w:val="18"/>
                <w:u w:val="none"/>
                <w:lang w:val="en-US" w:eastAsia="zh-CN" w:bidi="ar"/>
              </w:rPr>
              <w:t>1,125.69</w:t>
            </w:r>
          </w:p>
        </w:tc>
        <w:tc>
          <w:tcPr>
            <w:tcW w:w="1061" w:type="dxa"/>
            <w:tcBorders>
              <w:top w:val="single" w:color="000000" w:sz="4" w:space="0"/>
              <w:left w:val="single" w:color="000000" w:sz="4" w:space="0"/>
              <w:bottom w:val="single" w:color="000000" w:sz="4" w:space="0"/>
              <w:right w:val="single" w:color="000000" w:sz="4" w:space="0"/>
            </w:tcBorders>
            <w:vAlign w:val="center"/>
          </w:tcPr>
          <w:p w14:paraId="58581588">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18"/>
                <w:szCs w:val="18"/>
                <w:u w:val="none"/>
                <w:lang w:val="en-US" w:eastAsia="zh-CN" w:bidi="ar"/>
              </w:rPr>
              <w:t>1,125.69</w:t>
            </w:r>
          </w:p>
        </w:tc>
        <w:tc>
          <w:tcPr>
            <w:tcW w:w="1197" w:type="dxa"/>
            <w:tcBorders>
              <w:top w:val="single" w:color="000000" w:sz="4" w:space="0"/>
              <w:left w:val="single" w:color="000000" w:sz="4" w:space="0"/>
              <w:bottom w:val="single" w:color="000000" w:sz="4" w:space="0"/>
              <w:right w:val="single" w:color="000000" w:sz="4" w:space="0"/>
            </w:tcBorders>
            <w:vAlign w:val="center"/>
          </w:tcPr>
          <w:p w14:paraId="769577E7">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bl>
    <w:p w14:paraId="0FF5DB4B">
      <w:pPr>
        <w:rPr>
          <w:rFonts w:ascii="宋体" w:hAnsi="宋体" w:cs="宋体"/>
          <w:szCs w:val="21"/>
        </w:rPr>
      </w:pPr>
    </w:p>
    <w:p w14:paraId="2804C19C">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14:paraId="1CFCA9A1">
      <w:pPr>
        <w:rPr>
          <w:rFonts w:ascii="仿宋_GB2312" w:hAnsi="仿宋_GB2312" w:eastAsia="仿宋_GB2312" w:cs="仿宋_GB2312"/>
          <w:sz w:val="32"/>
          <w:szCs w:val="32"/>
        </w:rPr>
      </w:pPr>
    </w:p>
    <w:p w14:paraId="1B9431B5"/>
    <w:p w14:paraId="2CE2BEBF">
      <w:pPr>
        <w:rPr>
          <w:rFonts w:ascii="仿宋_GB2312" w:hAnsi="仿宋_GB2312" w:eastAsia="仿宋_GB2312" w:cs="仿宋_GB2312"/>
          <w:sz w:val="32"/>
          <w:szCs w:val="32"/>
        </w:rPr>
      </w:pPr>
    </w:p>
    <w:p w14:paraId="386AA9AE">
      <w:pPr>
        <w:rPr>
          <w:rFonts w:ascii="仿宋_GB2312" w:hAnsi="仿宋_GB2312" w:eastAsia="仿宋_GB2312" w:cs="仿宋_GB2312"/>
          <w:sz w:val="32"/>
          <w:szCs w:val="32"/>
        </w:rPr>
      </w:pPr>
    </w:p>
    <w:p w14:paraId="4A0C2868">
      <w:pPr>
        <w:rPr>
          <w:rFonts w:ascii="仿宋_GB2312" w:hAnsi="仿宋_GB2312" w:eastAsia="仿宋_GB2312" w:cs="仿宋_GB2312"/>
          <w:sz w:val="32"/>
          <w:szCs w:val="32"/>
        </w:rPr>
      </w:pPr>
    </w:p>
    <w:p w14:paraId="40DFD7B4">
      <w:pPr>
        <w:rPr>
          <w:rFonts w:ascii="仿宋_GB2312" w:hAnsi="仿宋_GB2312" w:eastAsia="仿宋_GB2312" w:cs="仿宋_GB2312"/>
          <w:sz w:val="32"/>
          <w:szCs w:val="32"/>
        </w:rPr>
      </w:pPr>
    </w:p>
    <w:p w14:paraId="10115FE4">
      <w:pPr>
        <w:rPr>
          <w:rFonts w:ascii="仿宋_GB2312" w:hAnsi="仿宋_GB2312" w:eastAsia="仿宋_GB2312" w:cs="仿宋_GB2312"/>
          <w:sz w:val="32"/>
          <w:szCs w:val="32"/>
        </w:rPr>
      </w:pPr>
    </w:p>
    <w:p w14:paraId="12341926">
      <w:pPr>
        <w:rPr>
          <w:rFonts w:ascii="宋体" w:hAnsi="宋体" w:cs="宋体"/>
          <w:b/>
          <w:bCs/>
          <w:sz w:val="32"/>
          <w:szCs w:val="32"/>
        </w:rPr>
      </w:pPr>
      <w:r>
        <w:rPr>
          <w:rFonts w:hint="eastAsia" w:ascii="宋体" w:hAnsi="宋体" w:cs="宋体"/>
          <w:b/>
          <w:bCs/>
          <w:sz w:val="32"/>
          <w:szCs w:val="32"/>
        </w:rPr>
        <w:br w:type="page"/>
      </w:r>
    </w:p>
    <w:p w14:paraId="18C32FF6">
      <w:pPr>
        <w:jc w:val="center"/>
        <w:rPr>
          <w:rFonts w:hint="eastAsia" w:ascii="宋体" w:hAnsi="宋体" w:cs="宋体"/>
          <w:b/>
          <w:bCs/>
          <w:sz w:val="32"/>
          <w:szCs w:val="32"/>
        </w:rPr>
      </w:pPr>
      <w:r>
        <w:rPr>
          <w:rFonts w:hint="eastAsia" w:ascii="宋体" w:hAnsi="宋体" w:cs="宋体"/>
          <w:b/>
          <w:bCs/>
          <w:sz w:val="32"/>
          <w:szCs w:val="32"/>
        </w:rPr>
        <w:t>一般公共预算财政拨款支出决算表（按功能分类科目）</w:t>
      </w:r>
    </w:p>
    <w:p w14:paraId="1B568B18">
      <w:pPr>
        <w:rPr>
          <w:rFonts w:ascii="宋体" w:hAnsi="宋体" w:cs="宋体"/>
          <w:b/>
          <w:bCs/>
          <w:szCs w:val="21"/>
        </w:rPr>
      </w:pPr>
      <w:r>
        <w:rPr>
          <w:rFonts w:hint="eastAsia" w:ascii="宋体" w:hAnsi="宋体" w:cs="宋体"/>
          <w:b/>
          <w:bCs/>
          <w:szCs w:val="21"/>
        </w:rPr>
        <w:t>公开05表</w:t>
      </w:r>
    </w:p>
    <w:p w14:paraId="3C41E87B">
      <w:pPr>
        <w:rPr>
          <w:rFonts w:hint="eastAsia" w:ascii="宋体" w:hAnsi="宋体" w:cs="宋体"/>
          <w:b/>
          <w:bCs/>
          <w:sz w:val="32"/>
          <w:szCs w:val="32"/>
        </w:rPr>
      </w:pPr>
      <w:r>
        <w:rPr>
          <w:rFonts w:hint="eastAsia" w:ascii="宋体" w:hAnsi="宋体" w:cs="宋体"/>
          <w:b/>
          <w:bCs/>
          <w:szCs w:val="21"/>
        </w:rPr>
        <w:t>编制部门：</w:t>
      </w:r>
      <w:r>
        <w:rPr>
          <w:rFonts w:hint="eastAsia" w:ascii="宋体" w:hAnsi="宋体" w:cs="宋体"/>
          <w:b/>
          <w:bCs/>
          <w:szCs w:val="21"/>
          <w:lang w:eastAsia="zh-CN"/>
        </w:rPr>
        <w:t>眉县汤峪镇人民政府</w:t>
      </w:r>
      <w:r>
        <w:rPr>
          <w:rFonts w:hint="eastAsia" w:ascii="宋体" w:hAnsi="宋体" w:cs="宋体"/>
          <w:b/>
          <w:bCs/>
          <w:szCs w:val="21"/>
        </w:rPr>
        <w:t xml:space="preserve">                                        金额单位：万元</w:t>
      </w:r>
    </w:p>
    <w:tbl>
      <w:tblPr>
        <w:tblStyle w:val="9"/>
        <w:tblpPr w:leftFromText="180" w:rightFromText="180" w:vertAnchor="text" w:horzAnchor="page" w:tblpX="1576" w:tblpY="604"/>
        <w:tblOverlap w:val="never"/>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15"/>
        <w:gridCol w:w="2670"/>
        <w:gridCol w:w="960"/>
        <w:gridCol w:w="1020"/>
        <w:gridCol w:w="1005"/>
        <w:gridCol w:w="720"/>
        <w:gridCol w:w="855"/>
        <w:gridCol w:w="532"/>
      </w:tblGrid>
      <w:tr w14:paraId="1502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3685" w:type="dxa"/>
            <w:gridSpan w:val="2"/>
            <w:vAlign w:val="center"/>
          </w:tcPr>
          <w:p w14:paraId="03B1D67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    目</w:t>
            </w:r>
          </w:p>
        </w:tc>
        <w:tc>
          <w:tcPr>
            <w:tcW w:w="960" w:type="dxa"/>
            <w:vMerge w:val="restart"/>
            <w:vAlign w:val="center"/>
          </w:tcPr>
          <w:p w14:paraId="22C4670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2745" w:type="dxa"/>
            <w:gridSpan w:val="3"/>
            <w:vAlign w:val="center"/>
          </w:tcPr>
          <w:p w14:paraId="4D76735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基本支出</w:t>
            </w:r>
          </w:p>
        </w:tc>
        <w:tc>
          <w:tcPr>
            <w:tcW w:w="855" w:type="dxa"/>
            <w:vMerge w:val="restart"/>
            <w:vAlign w:val="center"/>
          </w:tcPr>
          <w:p w14:paraId="672937C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项目支出</w:t>
            </w:r>
          </w:p>
        </w:tc>
        <w:tc>
          <w:tcPr>
            <w:tcW w:w="532" w:type="dxa"/>
            <w:vMerge w:val="restart"/>
            <w:vAlign w:val="center"/>
          </w:tcPr>
          <w:p w14:paraId="6036E26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备注</w:t>
            </w:r>
          </w:p>
        </w:tc>
      </w:tr>
      <w:tr w14:paraId="65BE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1" w:hRule="atLeast"/>
        </w:trPr>
        <w:tc>
          <w:tcPr>
            <w:tcW w:w="1015" w:type="dxa"/>
            <w:vAlign w:val="center"/>
          </w:tcPr>
          <w:p w14:paraId="2ABBDFD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功能分类科目编码</w:t>
            </w:r>
          </w:p>
        </w:tc>
        <w:tc>
          <w:tcPr>
            <w:tcW w:w="2670" w:type="dxa"/>
            <w:vAlign w:val="center"/>
          </w:tcPr>
          <w:p w14:paraId="632CDF2D">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960" w:type="dxa"/>
            <w:vMerge w:val="continue"/>
            <w:vAlign w:val="center"/>
          </w:tcPr>
          <w:p w14:paraId="399899CE">
            <w:pPr>
              <w:jc w:val="center"/>
              <w:rPr>
                <w:rFonts w:ascii="宋体" w:hAnsi="宋体" w:cs="宋体"/>
                <w:b/>
                <w:color w:val="000000"/>
                <w:sz w:val="18"/>
                <w:szCs w:val="18"/>
              </w:rPr>
            </w:pPr>
          </w:p>
        </w:tc>
        <w:tc>
          <w:tcPr>
            <w:tcW w:w="1020" w:type="dxa"/>
            <w:vAlign w:val="center"/>
          </w:tcPr>
          <w:p w14:paraId="012721D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小计</w:t>
            </w:r>
          </w:p>
        </w:tc>
        <w:tc>
          <w:tcPr>
            <w:tcW w:w="1005" w:type="dxa"/>
            <w:vAlign w:val="center"/>
          </w:tcPr>
          <w:p w14:paraId="7E8528B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人员经费</w:t>
            </w:r>
          </w:p>
        </w:tc>
        <w:tc>
          <w:tcPr>
            <w:tcW w:w="720" w:type="dxa"/>
            <w:vAlign w:val="center"/>
          </w:tcPr>
          <w:p w14:paraId="544462B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公用经费</w:t>
            </w:r>
          </w:p>
        </w:tc>
        <w:tc>
          <w:tcPr>
            <w:tcW w:w="855" w:type="dxa"/>
            <w:vMerge w:val="continue"/>
            <w:vAlign w:val="center"/>
          </w:tcPr>
          <w:p w14:paraId="34F088D0">
            <w:pPr>
              <w:jc w:val="center"/>
              <w:rPr>
                <w:rFonts w:ascii="宋体" w:hAnsi="宋体" w:cs="宋体"/>
                <w:b/>
                <w:color w:val="000000"/>
                <w:sz w:val="18"/>
                <w:szCs w:val="18"/>
              </w:rPr>
            </w:pPr>
          </w:p>
        </w:tc>
        <w:tc>
          <w:tcPr>
            <w:tcW w:w="532" w:type="dxa"/>
            <w:vMerge w:val="continue"/>
            <w:vAlign w:val="center"/>
          </w:tcPr>
          <w:p w14:paraId="6E467995">
            <w:pPr>
              <w:jc w:val="center"/>
              <w:rPr>
                <w:rFonts w:ascii="宋体" w:hAnsi="宋体" w:cs="宋体"/>
                <w:b/>
                <w:color w:val="000000"/>
                <w:sz w:val="18"/>
                <w:szCs w:val="18"/>
              </w:rPr>
            </w:pPr>
          </w:p>
        </w:tc>
      </w:tr>
      <w:tr w14:paraId="349F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3685" w:type="dxa"/>
            <w:gridSpan w:val="2"/>
            <w:vAlign w:val="center"/>
          </w:tcPr>
          <w:p w14:paraId="2C469471">
            <w:pPr>
              <w:widowControl/>
              <w:jc w:val="center"/>
              <w:textAlignment w:val="center"/>
              <w:rPr>
                <w:rFonts w:ascii="宋体" w:hAnsi="宋体" w:cs="宋体"/>
                <w:color w:val="000000"/>
                <w:sz w:val="18"/>
                <w:szCs w:val="18"/>
              </w:rPr>
            </w:pPr>
            <w:r>
              <w:rPr>
                <w:rFonts w:hint="eastAsia" w:ascii="宋体" w:hAnsi="宋体" w:cs="宋体"/>
                <w:b/>
                <w:bCs/>
                <w:color w:val="000000"/>
                <w:kern w:val="0"/>
                <w:sz w:val="18"/>
                <w:szCs w:val="18"/>
              </w:rPr>
              <w:t>合计</w:t>
            </w:r>
          </w:p>
        </w:tc>
        <w:tc>
          <w:tcPr>
            <w:tcW w:w="960" w:type="dxa"/>
            <w:vAlign w:val="center"/>
          </w:tcPr>
          <w:p w14:paraId="0F4C8A3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1,125.69</w:t>
            </w:r>
          </w:p>
        </w:tc>
        <w:tc>
          <w:tcPr>
            <w:tcW w:w="1020" w:type="dxa"/>
            <w:vAlign w:val="center"/>
          </w:tcPr>
          <w:p w14:paraId="66B9100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905.69</w:t>
            </w:r>
          </w:p>
        </w:tc>
        <w:tc>
          <w:tcPr>
            <w:tcW w:w="1005" w:type="dxa"/>
            <w:vAlign w:val="center"/>
          </w:tcPr>
          <w:p w14:paraId="44152A2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834.94</w:t>
            </w:r>
          </w:p>
        </w:tc>
        <w:tc>
          <w:tcPr>
            <w:tcW w:w="720" w:type="dxa"/>
            <w:vAlign w:val="center"/>
          </w:tcPr>
          <w:p w14:paraId="4FF0E54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70.75</w:t>
            </w:r>
          </w:p>
        </w:tc>
        <w:tc>
          <w:tcPr>
            <w:tcW w:w="855" w:type="dxa"/>
            <w:vAlign w:val="center"/>
          </w:tcPr>
          <w:p w14:paraId="7D107CA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220.00</w:t>
            </w:r>
          </w:p>
        </w:tc>
        <w:tc>
          <w:tcPr>
            <w:tcW w:w="532" w:type="dxa"/>
            <w:vAlign w:val="center"/>
          </w:tcPr>
          <w:p w14:paraId="5C905A3E">
            <w:pPr>
              <w:jc w:val="right"/>
              <w:rPr>
                <w:rFonts w:ascii="宋体" w:hAnsi="宋体" w:cs="宋体"/>
                <w:color w:val="000000"/>
                <w:sz w:val="18"/>
                <w:szCs w:val="18"/>
              </w:rPr>
            </w:pPr>
          </w:p>
        </w:tc>
      </w:tr>
      <w:tr w14:paraId="298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32D7EFA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w:t>
            </w:r>
          </w:p>
        </w:tc>
        <w:tc>
          <w:tcPr>
            <w:tcW w:w="2670" w:type="dxa"/>
            <w:vAlign w:val="center"/>
          </w:tcPr>
          <w:p w14:paraId="77FA161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一般公共服务支出</w:t>
            </w:r>
          </w:p>
        </w:tc>
        <w:tc>
          <w:tcPr>
            <w:tcW w:w="960" w:type="dxa"/>
            <w:vAlign w:val="center"/>
          </w:tcPr>
          <w:p w14:paraId="26C0C66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562.36</w:t>
            </w:r>
          </w:p>
        </w:tc>
        <w:tc>
          <w:tcPr>
            <w:tcW w:w="1020" w:type="dxa"/>
            <w:vAlign w:val="center"/>
          </w:tcPr>
          <w:p w14:paraId="7838A15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479.36</w:t>
            </w:r>
          </w:p>
        </w:tc>
        <w:tc>
          <w:tcPr>
            <w:tcW w:w="1005" w:type="dxa"/>
            <w:vAlign w:val="center"/>
          </w:tcPr>
          <w:p w14:paraId="5027499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473.04</w:t>
            </w:r>
          </w:p>
        </w:tc>
        <w:tc>
          <w:tcPr>
            <w:tcW w:w="720" w:type="dxa"/>
            <w:vAlign w:val="center"/>
          </w:tcPr>
          <w:p w14:paraId="0D284BC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6.32</w:t>
            </w:r>
          </w:p>
        </w:tc>
        <w:tc>
          <w:tcPr>
            <w:tcW w:w="855" w:type="dxa"/>
            <w:vAlign w:val="center"/>
          </w:tcPr>
          <w:p w14:paraId="0E97DB7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83.00</w:t>
            </w:r>
          </w:p>
        </w:tc>
        <w:tc>
          <w:tcPr>
            <w:tcW w:w="532" w:type="dxa"/>
            <w:vAlign w:val="center"/>
          </w:tcPr>
          <w:p w14:paraId="1CA6BD21">
            <w:pPr>
              <w:jc w:val="right"/>
              <w:rPr>
                <w:rFonts w:hint="eastAsia" w:ascii="宋体" w:hAnsi="宋体" w:eastAsia="宋体" w:cs="宋体"/>
                <w:i w:val="0"/>
                <w:color w:val="000000"/>
                <w:sz w:val="18"/>
                <w:szCs w:val="18"/>
                <w:u w:val="none"/>
              </w:rPr>
            </w:pPr>
          </w:p>
        </w:tc>
      </w:tr>
      <w:tr w14:paraId="3DFC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1" w:hRule="atLeast"/>
        </w:trPr>
        <w:tc>
          <w:tcPr>
            <w:tcW w:w="1015" w:type="dxa"/>
            <w:vAlign w:val="center"/>
          </w:tcPr>
          <w:p w14:paraId="20FF4A9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20101</w:t>
            </w:r>
          </w:p>
        </w:tc>
        <w:tc>
          <w:tcPr>
            <w:tcW w:w="2670" w:type="dxa"/>
            <w:vAlign w:val="center"/>
          </w:tcPr>
          <w:p w14:paraId="0AA75FA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人大事务</w:t>
            </w:r>
          </w:p>
        </w:tc>
        <w:tc>
          <w:tcPr>
            <w:tcW w:w="960" w:type="dxa"/>
            <w:vAlign w:val="center"/>
          </w:tcPr>
          <w:p w14:paraId="33F8712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1020" w:type="dxa"/>
            <w:vAlign w:val="center"/>
          </w:tcPr>
          <w:p w14:paraId="65E8DEB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1005" w:type="dxa"/>
            <w:vAlign w:val="center"/>
          </w:tcPr>
          <w:p w14:paraId="6C1719D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720" w:type="dxa"/>
            <w:vAlign w:val="center"/>
          </w:tcPr>
          <w:p w14:paraId="3459EA7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40FD6E5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1407BB1B">
            <w:pPr>
              <w:jc w:val="right"/>
              <w:rPr>
                <w:rFonts w:hint="eastAsia" w:ascii="宋体" w:hAnsi="宋体" w:eastAsia="宋体" w:cs="宋体"/>
                <w:i w:val="0"/>
                <w:color w:val="000000"/>
                <w:sz w:val="18"/>
                <w:szCs w:val="18"/>
                <w:u w:val="none"/>
              </w:rPr>
            </w:pPr>
          </w:p>
        </w:tc>
      </w:tr>
      <w:tr w14:paraId="5950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1227ADE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2010108</w:t>
            </w:r>
          </w:p>
        </w:tc>
        <w:tc>
          <w:tcPr>
            <w:tcW w:w="2670" w:type="dxa"/>
            <w:vAlign w:val="center"/>
          </w:tcPr>
          <w:p w14:paraId="61134CC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代表工作</w:t>
            </w:r>
          </w:p>
        </w:tc>
        <w:tc>
          <w:tcPr>
            <w:tcW w:w="960" w:type="dxa"/>
            <w:vAlign w:val="center"/>
          </w:tcPr>
          <w:p w14:paraId="7C73913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1020" w:type="dxa"/>
            <w:vAlign w:val="center"/>
          </w:tcPr>
          <w:p w14:paraId="3071828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1005" w:type="dxa"/>
            <w:vAlign w:val="center"/>
          </w:tcPr>
          <w:p w14:paraId="1433D89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720" w:type="dxa"/>
            <w:vAlign w:val="center"/>
          </w:tcPr>
          <w:p w14:paraId="70F2CCE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7DFCE8E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4692ACD2">
            <w:pPr>
              <w:jc w:val="right"/>
              <w:rPr>
                <w:rFonts w:hint="eastAsia" w:ascii="宋体" w:hAnsi="宋体" w:eastAsia="宋体" w:cs="宋体"/>
                <w:i w:val="0"/>
                <w:color w:val="000000"/>
                <w:sz w:val="18"/>
                <w:szCs w:val="18"/>
                <w:u w:val="none"/>
              </w:rPr>
            </w:pPr>
          </w:p>
        </w:tc>
      </w:tr>
      <w:tr w14:paraId="5A5A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3470D9E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20103</w:t>
            </w:r>
          </w:p>
        </w:tc>
        <w:tc>
          <w:tcPr>
            <w:tcW w:w="2670" w:type="dxa"/>
            <w:vAlign w:val="center"/>
          </w:tcPr>
          <w:p w14:paraId="19AE3C7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政府办公厅（室）及相关机构事务</w:t>
            </w:r>
          </w:p>
        </w:tc>
        <w:tc>
          <w:tcPr>
            <w:tcW w:w="960" w:type="dxa"/>
            <w:vAlign w:val="center"/>
          </w:tcPr>
          <w:p w14:paraId="431867D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511.06</w:t>
            </w:r>
          </w:p>
        </w:tc>
        <w:tc>
          <w:tcPr>
            <w:tcW w:w="1020" w:type="dxa"/>
            <w:vAlign w:val="center"/>
          </w:tcPr>
          <w:p w14:paraId="68F59D9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428.06</w:t>
            </w:r>
          </w:p>
        </w:tc>
        <w:tc>
          <w:tcPr>
            <w:tcW w:w="1005" w:type="dxa"/>
            <w:vAlign w:val="center"/>
          </w:tcPr>
          <w:p w14:paraId="0225393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428.06</w:t>
            </w:r>
          </w:p>
        </w:tc>
        <w:tc>
          <w:tcPr>
            <w:tcW w:w="720" w:type="dxa"/>
            <w:vAlign w:val="center"/>
          </w:tcPr>
          <w:p w14:paraId="79F2D2A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39216BF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83.00</w:t>
            </w:r>
          </w:p>
        </w:tc>
        <w:tc>
          <w:tcPr>
            <w:tcW w:w="532" w:type="dxa"/>
            <w:vAlign w:val="center"/>
          </w:tcPr>
          <w:p w14:paraId="4065A6CB">
            <w:pPr>
              <w:jc w:val="right"/>
              <w:rPr>
                <w:rFonts w:hint="eastAsia" w:ascii="宋体" w:hAnsi="宋体" w:eastAsia="宋体" w:cs="宋体"/>
                <w:i w:val="0"/>
                <w:color w:val="000000"/>
                <w:sz w:val="18"/>
                <w:szCs w:val="18"/>
                <w:u w:val="none"/>
              </w:rPr>
            </w:pPr>
          </w:p>
        </w:tc>
      </w:tr>
      <w:tr w14:paraId="4762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4A83F08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2010301</w:t>
            </w:r>
          </w:p>
        </w:tc>
        <w:tc>
          <w:tcPr>
            <w:tcW w:w="2670" w:type="dxa"/>
            <w:vAlign w:val="center"/>
          </w:tcPr>
          <w:p w14:paraId="6A72B35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行政运行</w:t>
            </w:r>
          </w:p>
        </w:tc>
        <w:tc>
          <w:tcPr>
            <w:tcW w:w="960" w:type="dxa"/>
            <w:vAlign w:val="center"/>
          </w:tcPr>
          <w:p w14:paraId="5D0F50C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428.06</w:t>
            </w:r>
          </w:p>
        </w:tc>
        <w:tc>
          <w:tcPr>
            <w:tcW w:w="1020" w:type="dxa"/>
            <w:vAlign w:val="center"/>
          </w:tcPr>
          <w:p w14:paraId="0803B4D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428.06</w:t>
            </w:r>
          </w:p>
        </w:tc>
        <w:tc>
          <w:tcPr>
            <w:tcW w:w="1005" w:type="dxa"/>
            <w:vAlign w:val="center"/>
          </w:tcPr>
          <w:p w14:paraId="1AF243F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428.06</w:t>
            </w:r>
          </w:p>
        </w:tc>
        <w:tc>
          <w:tcPr>
            <w:tcW w:w="720" w:type="dxa"/>
            <w:vAlign w:val="center"/>
          </w:tcPr>
          <w:p w14:paraId="6B2588C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5845675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5BF99BD5">
            <w:pPr>
              <w:jc w:val="right"/>
              <w:rPr>
                <w:rFonts w:hint="eastAsia" w:ascii="宋体" w:hAnsi="宋体" w:eastAsia="宋体" w:cs="宋体"/>
                <w:i w:val="0"/>
                <w:color w:val="000000"/>
                <w:sz w:val="18"/>
                <w:szCs w:val="18"/>
                <w:u w:val="none"/>
              </w:rPr>
            </w:pPr>
          </w:p>
        </w:tc>
      </w:tr>
      <w:tr w14:paraId="1859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454DEF6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2010302</w:t>
            </w:r>
          </w:p>
        </w:tc>
        <w:tc>
          <w:tcPr>
            <w:tcW w:w="2670" w:type="dxa"/>
            <w:vAlign w:val="center"/>
          </w:tcPr>
          <w:p w14:paraId="41E53FC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960" w:type="dxa"/>
            <w:vAlign w:val="center"/>
          </w:tcPr>
          <w:p w14:paraId="672287C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83.00</w:t>
            </w:r>
          </w:p>
        </w:tc>
        <w:tc>
          <w:tcPr>
            <w:tcW w:w="1020" w:type="dxa"/>
            <w:vAlign w:val="center"/>
          </w:tcPr>
          <w:p w14:paraId="0744496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05" w:type="dxa"/>
            <w:vAlign w:val="center"/>
          </w:tcPr>
          <w:p w14:paraId="7C60879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04E9973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597C6B9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83.00</w:t>
            </w:r>
          </w:p>
        </w:tc>
        <w:tc>
          <w:tcPr>
            <w:tcW w:w="532" w:type="dxa"/>
            <w:vAlign w:val="center"/>
          </w:tcPr>
          <w:p w14:paraId="001AC433">
            <w:pPr>
              <w:jc w:val="right"/>
              <w:rPr>
                <w:rFonts w:hint="eastAsia" w:ascii="宋体" w:hAnsi="宋体" w:eastAsia="宋体" w:cs="宋体"/>
                <w:i w:val="0"/>
                <w:color w:val="000000"/>
                <w:sz w:val="18"/>
                <w:szCs w:val="18"/>
                <w:u w:val="none"/>
              </w:rPr>
            </w:pPr>
          </w:p>
        </w:tc>
      </w:tr>
      <w:tr w14:paraId="6D0B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1A35A2F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20106</w:t>
            </w:r>
          </w:p>
        </w:tc>
        <w:tc>
          <w:tcPr>
            <w:tcW w:w="2670" w:type="dxa"/>
            <w:vAlign w:val="center"/>
          </w:tcPr>
          <w:p w14:paraId="15FD585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财政事务</w:t>
            </w:r>
          </w:p>
        </w:tc>
        <w:tc>
          <w:tcPr>
            <w:tcW w:w="960" w:type="dxa"/>
            <w:vAlign w:val="center"/>
          </w:tcPr>
          <w:p w14:paraId="7FB6FBF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47.95</w:t>
            </w:r>
          </w:p>
        </w:tc>
        <w:tc>
          <w:tcPr>
            <w:tcW w:w="1020" w:type="dxa"/>
            <w:vAlign w:val="center"/>
          </w:tcPr>
          <w:p w14:paraId="4453050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47.95</w:t>
            </w:r>
          </w:p>
        </w:tc>
        <w:tc>
          <w:tcPr>
            <w:tcW w:w="1005" w:type="dxa"/>
            <w:vAlign w:val="center"/>
          </w:tcPr>
          <w:p w14:paraId="3092E3D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41.63</w:t>
            </w:r>
          </w:p>
        </w:tc>
        <w:tc>
          <w:tcPr>
            <w:tcW w:w="720" w:type="dxa"/>
            <w:vAlign w:val="center"/>
          </w:tcPr>
          <w:p w14:paraId="3F9E691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6.32</w:t>
            </w:r>
          </w:p>
        </w:tc>
        <w:tc>
          <w:tcPr>
            <w:tcW w:w="855" w:type="dxa"/>
            <w:vAlign w:val="center"/>
          </w:tcPr>
          <w:p w14:paraId="494824E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0BCF9D8F">
            <w:pPr>
              <w:jc w:val="right"/>
              <w:rPr>
                <w:rFonts w:hint="eastAsia" w:ascii="宋体" w:hAnsi="宋体" w:eastAsia="宋体" w:cs="宋体"/>
                <w:i w:val="0"/>
                <w:color w:val="000000"/>
                <w:sz w:val="18"/>
                <w:szCs w:val="18"/>
                <w:u w:val="none"/>
              </w:rPr>
            </w:pPr>
          </w:p>
        </w:tc>
      </w:tr>
      <w:tr w14:paraId="1B09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3DA9AE2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2010601</w:t>
            </w:r>
          </w:p>
        </w:tc>
        <w:tc>
          <w:tcPr>
            <w:tcW w:w="2670" w:type="dxa"/>
            <w:vAlign w:val="center"/>
          </w:tcPr>
          <w:p w14:paraId="1FDACF6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行政运行</w:t>
            </w:r>
          </w:p>
        </w:tc>
        <w:tc>
          <w:tcPr>
            <w:tcW w:w="960" w:type="dxa"/>
            <w:vAlign w:val="center"/>
          </w:tcPr>
          <w:p w14:paraId="1D2AA58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41.63</w:t>
            </w:r>
          </w:p>
        </w:tc>
        <w:tc>
          <w:tcPr>
            <w:tcW w:w="1020" w:type="dxa"/>
            <w:vAlign w:val="center"/>
          </w:tcPr>
          <w:p w14:paraId="284F17E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41.63</w:t>
            </w:r>
          </w:p>
        </w:tc>
        <w:tc>
          <w:tcPr>
            <w:tcW w:w="1005" w:type="dxa"/>
            <w:vAlign w:val="center"/>
          </w:tcPr>
          <w:p w14:paraId="33FF618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41.63</w:t>
            </w:r>
          </w:p>
        </w:tc>
        <w:tc>
          <w:tcPr>
            <w:tcW w:w="720" w:type="dxa"/>
            <w:vAlign w:val="center"/>
          </w:tcPr>
          <w:p w14:paraId="692AB17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3DB66B2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50AAF458">
            <w:pPr>
              <w:jc w:val="right"/>
              <w:rPr>
                <w:rFonts w:hint="eastAsia" w:ascii="宋体" w:hAnsi="宋体" w:eastAsia="宋体" w:cs="宋体"/>
                <w:i w:val="0"/>
                <w:color w:val="000000"/>
                <w:sz w:val="18"/>
                <w:szCs w:val="18"/>
                <w:u w:val="none"/>
              </w:rPr>
            </w:pPr>
          </w:p>
        </w:tc>
      </w:tr>
      <w:tr w14:paraId="063A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54B3577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2010699</w:t>
            </w:r>
          </w:p>
        </w:tc>
        <w:tc>
          <w:tcPr>
            <w:tcW w:w="2670" w:type="dxa"/>
            <w:vAlign w:val="center"/>
          </w:tcPr>
          <w:p w14:paraId="5665145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其他财政事务支出</w:t>
            </w:r>
          </w:p>
        </w:tc>
        <w:tc>
          <w:tcPr>
            <w:tcW w:w="960" w:type="dxa"/>
            <w:vAlign w:val="center"/>
          </w:tcPr>
          <w:p w14:paraId="53874A6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6.32</w:t>
            </w:r>
          </w:p>
        </w:tc>
        <w:tc>
          <w:tcPr>
            <w:tcW w:w="1020" w:type="dxa"/>
            <w:vAlign w:val="center"/>
          </w:tcPr>
          <w:p w14:paraId="5123E4A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6.32</w:t>
            </w:r>
          </w:p>
        </w:tc>
        <w:tc>
          <w:tcPr>
            <w:tcW w:w="1005" w:type="dxa"/>
            <w:vAlign w:val="center"/>
          </w:tcPr>
          <w:p w14:paraId="66D1C87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2245E1A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6.32</w:t>
            </w:r>
          </w:p>
        </w:tc>
        <w:tc>
          <w:tcPr>
            <w:tcW w:w="855" w:type="dxa"/>
            <w:vAlign w:val="center"/>
          </w:tcPr>
          <w:p w14:paraId="7B4105E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3DD306A2">
            <w:pPr>
              <w:jc w:val="right"/>
              <w:rPr>
                <w:rFonts w:hint="eastAsia" w:ascii="宋体" w:hAnsi="宋体" w:eastAsia="宋体" w:cs="宋体"/>
                <w:i w:val="0"/>
                <w:color w:val="000000"/>
                <w:sz w:val="18"/>
                <w:szCs w:val="18"/>
                <w:u w:val="none"/>
              </w:rPr>
            </w:pPr>
          </w:p>
        </w:tc>
      </w:tr>
      <w:tr w14:paraId="5AC0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0D1E6EA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20132</w:t>
            </w:r>
          </w:p>
        </w:tc>
        <w:tc>
          <w:tcPr>
            <w:tcW w:w="2670" w:type="dxa"/>
            <w:vAlign w:val="center"/>
          </w:tcPr>
          <w:p w14:paraId="15D3BC7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组织事务</w:t>
            </w:r>
          </w:p>
        </w:tc>
        <w:tc>
          <w:tcPr>
            <w:tcW w:w="960" w:type="dxa"/>
            <w:vAlign w:val="center"/>
          </w:tcPr>
          <w:p w14:paraId="53E37E9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1020" w:type="dxa"/>
            <w:vAlign w:val="center"/>
          </w:tcPr>
          <w:p w14:paraId="4B6966A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1005" w:type="dxa"/>
            <w:vAlign w:val="center"/>
          </w:tcPr>
          <w:p w14:paraId="4A01D5F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720" w:type="dxa"/>
            <w:vAlign w:val="center"/>
          </w:tcPr>
          <w:p w14:paraId="6710D81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1169177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73AB1CDD">
            <w:pPr>
              <w:jc w:val="right"/>
              <w:rPr>
                <w:rFonts w:hint="eastAsia" w:ascii="宋体" w:hAnsi="宋体" w:eastAsia="宋体" w:cs="宋体"/>
                <w:i w:val="0"/>
                <w:color w:val="000000"/>
                <w:sz w:val="18"/>
                <w:szCs w:val="18"/>
                <w:u w:val="none"/>
              </w:rPr>
            </w:pPr>
          </w:p>
        </w:tc>
      </w:tr>
      <w:tr w14:paraId="5059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3C85B44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2013204</w:t>
            </w:r>
          </w:p>
        </w:tc>
        <w:tc>
          <w:tcPr>
            <w:tcW w:w="2670" w:type="dxa"/>
            <w:vAlign w:val="center"/>
          </w:tcPr>
          <w:p w14:paraId="03D2F6C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公务员事务</w:t>
            </w:r>
          </w:p>
        </w:tc>
        <w:tc>
          <w:tcPr>
            <w:tcW w:w="960" w:type="dxa"/>
            <w:vAlign w:val="center"/>
          </w:tcPr>
          <w:p w14:paraId="1860512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1020" w:type="dxa"/>
            <w:vAlign w:val="center"/>
          </w:tcPr>
          <w:p w14:paraId="614FD74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1005" w:type="dxa"/>
            <w:vAlign w:val="center"/>
          </w:tcPr>
          <w:p w14:paraId="005DFD4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720" w:type="dxa"/>
            <w:vAlign w:val="center"/>
          </w:tcPr>
          <w:p w14:paraId="645C417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2940B37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29D0C578">
            <w:pPr>
              <w:jc w:val="right"/>
              <w:rPr>
                <w:rFonts w:hint="eastAsia" w:ascii="宋体" w:hAnsi="宋体" w:eastAsia="宋体" w:cs="宋体"/>
                <w:i w:val="0"/>
                <w:color w:val="000000"/>
                <w:sz w:val="18"/>
                <w:szCs w:val="18"/>
                <w:u w:val="none"/>
              </w:rPr>
            </w:pPr>
          </w:p>
        </w:tc>
      </w:tr>
      <w:tr w14:paraId="23E1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6BD2093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204</w:t>
            </w:r>
          </w:p>
        </w:tc>
        <w:tc>
          <w:tcPr>
            <w:tcW w:w="2670" w:type="dxa"/>
            <w:vAlign w:val="center"/>
          </w:tcPr>
          <w:p w14:paraId="26E932B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公共安全支出</w:t>
            </w:r>
          </w:p>
        </w:tc>
        <w:tc>
          <w:tcPr>
            <w:tcW w:w="960" w:type="dxa"/>
            <w:vAlign w:val="center"/>
          </w:tcPr>
          <w:p w14:paraId="33A823D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1020" w:type="dxa"/>
            <w:vAlign w:val="center"/>
          </w:tcPr>
          <w:p w14:paraId="3558B53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1005" w:type="dxa"/>
            <w:vAlign w:val="center"/>
          </w:tcPr>
          <w:p w14:paraId="5CCD6B9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1DD796B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855" w:type="dxa"/>
            <w:vAlign w:val="center"/>
          </w:tcPr>
          <w:p w14:paraId="609F80E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7D3CFCFE">
            <w:pPr>
              <w:jc w:val="right"/>
              <w:rPr>
                <w:rFonts w:hint="eastAsia" w:ascii="宋体" w:hAnsi="宋体" w:eastAsia="宋体" w:cs="宋体"/>
                <w:i w:val="0"/>
                <w:color w:val="000000"/>
                <w:sz w:val="18"/>
                <w:szCs w:val="18"/>
                <w:u w:val="none"/>
              </w:rPr>
            </w:pPr>
          </w:p>
        </w:tc>
      </w:tr>
      <w:tr w14:paraId="6805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2369063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20406</w:t>
            </w:r>
          </w:p>
        </w:tc>
        <w:tc>
          <w:tcPr>
            <w:tcW w:w="2670" w:type="dxa"/>
            <w:vAlign w:val="center"/>
          </w:tcPr>
          <w:p w14:paraId="3E16A6B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司法</w:t>
            </w:r>
          </w:p>
        </w:tc>
        <w:tc>
          <w:tcPr>
            <w:tcW w:w="960" w:type="dxa"/>
            <w:vAlign w:val="center"/>
          </w:tcPr>
          <w:p w14:paraId="3C962E7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1020" w:type="dxa"/>
            <w:vAlign w:val="center"/>
          </w:tcPr>
          <w:p w14:paraId="3056F1D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1005" w:type="dxa"/>
            <w:vAlign w:val="center"/>
          </w:tcPr>
          <w:p w14:paraId="0D97F8A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432193A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855" w:type="dxa"/>
            <w:vAlign w:val="center"/>
          </w:tcPr>
          <w:p w14:paraId="57B91CC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12EA5234">
            <w:pPr>
              <w:jc w:val="right"/>
              <w:rPr>
                <w:rFonts w:hint="eastAsia" w:ascii="宋体" w:hAnsi="宋体" w:eastAsia="宋体" w:cs="宋体"/>
                <w:i w:val="0"/>
                <w:color w:val="000000"/>
                <w:sz w:val="18"/>
                <w:szCs w:val="18"/>
                <w:u w:val="none"/>
              </w:rPr>
            </w:pPr>
          </w:p>
        </w:tc>
      </w:tr>
      <w:tr w14:paraId="6908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5B53BFE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2040604</w:t>
            </w:r>
          </w:p>
        </w:tc>
        <w:tc>
          <w:tcPr>
            <w:tcW w:w="2670" w:type="dxa"/>
            <w:vAlign w:val="center"/>
          </w:tcPr>
          <w:p w14:paraId="58BBFCC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基层司法业务</w:t>
            </w:r>
          </w:p>
        </w:tc>
        <w:tc>
          <w:tcPr>
            <w:tcW w:w="960" w:type="dxa"/>
            <w:vAlign w:val="center"/>
          </w:tcPr>
          <w:p w14:paraId="343E520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1020" w:type="dxa"/>
            <w:vAlign w:val="center"/>
          </w:tcPr>
          <w:p w14:paraId="277A44E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1005" w:type="dxa"/>
            <w:vAlign w:val="center"/>
          </w:tcPr>
          <w:p w14:paraId="01D6CC6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4DB9B34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6.99</w:t>
            </w:r>
          </w:p>
        </w:tc>
        <w:tc>
          <w:tcPr>
            <w:tcW w:w="855" w:type="dxa"/>
            <w:vAlign w:val="center"/>
          </w:tcPr>
          <w:p w14:paraId="70FAC7F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33AC9F20">
            <w:pPr>
              <w:jc w:val="right"/>
              <w:rPr>
                <w:rFonts w:hint="eastAsia" w:ascii="宋体" w:hAnsi="宋体" w:eastAsia="宋体" w:cs="宋体"/>
                <w:i w:val="0"/>
                <w:color w:val="000000"/>
                <w:sz w:val="18"/>
                <w:szCs w:val="18"/>
                <w:u w:val="none"/>
              </w:rPr>
            </w:pPr>
          </w:p>
        </w:tc>
      </w:tr>
      <w:tr w14:paraId="58E6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56CD112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205</w:t>
            </w:r>
          </w:p>
        </w:tc>
        <w:tc>
          <w:tcPr>
            <w:tcW w:w="2670" w:type="dxa"/>
            <w:vAlign w:val="center"/>
          </w:tcPr>
          <w:p w14:paraId="53D1FBD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教育支出</w:t>
            </w:r>
          </w:p>
        </w:tc>
        <w:tc>
          <w:tcPr>
            <w:tcW w:w="960" w:type="dxa"/>
            <w:vAlign w:val="center"/>
          </w:tcPr>
          <w:p w14:paraId="2199F0D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1020" w:type="dxa"/>
            <w:vAlign w:val="center"/>
          </w:tcPr>
          <w:p w14:paraId="0A3FAB1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1005" w:type="dxa"/>
            <w:vAlign w:val="center"/>
          </w:tcPr>
          <w:p w14:paraId="0A12282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2E3350C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855" w:type="dxa"/>
            <w:vAlign w:val="center"/>
          </w:tcPr>
          <w:p w14:paraId="0D2FE4C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30ADF587">
            <w:pPr>
              <w:jc w:val="right"/>
              <w:rPr>
                <w:rFonts w:hint="eastAsia" w:ascii="宋体" w:hAnsi="宋体" w:eastAsia="宋体" w:cs="宋体"/>
                <w:i w:val="0"/>
                <w:color w:val="000000"/>
                <w:sz w:val="18"/>
                <w:szCs w:val="18"/>
                <w:u w:val="none"/>
              </w:rPr>
            </w:pPr>
          </w:p>
        </w:tc>
      </w:tr>
      <w:tr w14:paraId="0F64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1015" w:type="dxa"/>
            <w:vAlign w:val="center"/>
          </w:tcPr>
          <w:p w14:paraId="006049F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20502</w:t>
            </w:r>
          </w:p>
        </w:tc>
        <w:tc>
          <w:tcPr>
            <w:tcW w:w="2670" w:type="dxa"/>
            <w:vAlign w:val="center"/>
          </w:tcPr>
          <w:p w14:paraId="47A9543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普通教育</w:t>
            </w:r>
          </w:p>
        </w:tc>
        <w:tc>
          <w:tcPr>
            <w:tcW w:w="960" w:type="dxa"/>
            <w:vAlign w:val="center"/>
          </w:tcPr>
          <w:p w14:paraId="55E91FB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1020" w:type="dxa"/>
            <w:vAlign w:val="center"/>
          </w:tcPr>
          <w:p w14:paraId="43CD0F9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1005" w:type="dxa"/>
            <w:vAlign w:val="center"/>
          </w:tcPr>
          <w:p w14:paraId="011BCBE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5634530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855" w:type="dxa"/>
            <w:vAlign w:val="center"/>
          </w:tcPr>
          <w:p w14:paraId="4966C66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372968D2">
            <w:pPr>
              <w:jc w:val="right"/>
              <w:rPr>
                <w:rFonts w:hint="eastAsia" w:ascii="宋体" w:hAnsi="宋体" w:eastAsia="宋体" w:cs="宋体"/>
                <w:i w:val="0"/>
                <w:color w:val="000000"/>
                <w:sz w:val="18"/>
                <w:szCs w:val="18"/>
                <w:u w:val="none"/>
              </w:rPr>
            </w:pPr>
          </w:p>
        </w:tc>
      </w:tr>
      <w:tr w14:paraId="449F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536BACB3">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2050299</w:t>
            </w:r>
          </w:p>
        </w:tc>
        <w:tc>
          <w:tcPr>
            <w:tcW w:w="2670" w:type="dxa"/>
            <w:vAlign w:val="center"/>
          </w:tcPr>
          <w:p w14:paraId="11A2AE8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其他普通教育支出</w:t>
            </w:r>
          </w:p>
        </w:tc>
        <w:tc>
          <w:tcPr>
            <w:tcW w:w="960" w:type="dxa"/>
            <w:vAlign w:val="center"/>
          </w:tcPr>
          <w:p w14:paraId="017A3BC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1020" w:type="dxa"/>
            <w:vAlign w:val="center"/>
          </w:tcPr>
          <w:p w14:paraId="188C3B4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1005" w:type="dxa"/>
            <w:vAlign w:val="center"/>
          </w:tcPr>
          <w:p w14:paraId="204E553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18C6676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7.00</w:t>
            </w:r>
          </w:p>
        </w:tc>
        <w:tc>
          <w:tcPr>
            <w:tcW w:w="855" w:type="dxa"/>
            <w:vAlign w:val="center"/>
          </w:tcPr>
          <w:p w14:paraId="4AA92E4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57A4441A">
            <w:pPr>
              <w:jc w:val="right"/>
              <w:rPr>
                <w:rFonts w:hint="eastAsia" w:ascii="宋体" w:hAnsi="宋体" w:eastAsia="宋体" w:cs="宋体"/>
                <w:i w:val="0"/>
                <w:color w:val="000000"/>
                <w:sz w:val="18"/>
                <w:szCs w:val="18"/>
                <w:u w:val="none"/>
              </w:rPr>
            </w:pPr>
          </w:p>
        </w:tc>
      </w:tr>
      <w:tr w14:paraId="0418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33FB1F6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w:t>
            </w:r>
          </w:p>
        </w:tc>
        <w:tc>
          <w:tcPr>
            <w:tcW w:w="2670" w:type="dxa"/>
            <w:vAlign w:val="center"/>
          </w:tcPr>
          <w:p w14:paraId="4F499EA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文化旅游体育与传媒支出</w:t>
            </w:r>
          </w:p>
        </w:tc>
        <w:tc>
          <w:tcPr>
            <w:tcW w:w="960" w:type="dxa"/>
            <w:vAlign w:val="center"/>
          </w:tcPr>
          <w:p w14:paraId="34FD020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20" w:type="dxa"/>
            <w:vAlign w:val="center"/>
          </w:tcPr>
          <w:p w14:paraId="5260122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05" w:type="dxa"/>
            <w:vAlign w:val="center"/>
          </w:tcPr>
          <w:p w14:paraId="0FF420A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191A7E1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855" w:type="dxa"/>
            <w:vAlign w:val="center"/>
          </w:tcPr>
          <w:p w14:paraId="580CFF7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67A82C8D">
            <w:pPr>
              <w:jc w:val="right"/>
              <w:rPr>
                <w:rFonts w:hint="eastAsia" w:ascii="宋体" w:hAnsi="宋体" w:eastAsia="宋体" w:cs="宋体"/>
                <w:i w:val="0"/>
                <w:color w:val="000000"/>
                <w:sz w:val="18"/>
                <w:szCs w:val="18"/>
                <w:u w:val="none"/>
              </w:rPr>
            </w:pPr>
          </w:p>
        </w:tc>
      </w:tr>
      <w:tr w14:paraId="5CF9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11794DE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20701</w:t>
            </w:r>
          </w:p>
        </w:tc>
        <w:tc>
          <w:tcPr>
            <w:tcW w:w="2670" w:type="dxa"/>
            <w:vAlign w:val="center"/>
          </w:tcPr>
          <w:p w14:paraId="0F2120D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文化和旅游</w:t>
            </w:r>
          </w:p>
        </w:tc>
        <w:tc>
          <w:tcPr>
            <w:tcW w:w="960" w:type="dxa"/>
            <w:vAlign w:val="center"/>
          </w:tcPr>
          <w:p w14:paraId="340A097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20" w:type="dxa"/>
            <w:vAlign w:val="center"/>
          </w:tcPr>
          <w:p w14:paraId="7E75703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05" w:type="dxa"/>
            <w:vAlign w:val="center"/>
          </w:tcPr>
          <w:p w14:paraId="77A7A5F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2252962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855" w:type="dxa"/>
            <w:vAlign w:val="center"/>
          </w:tcPr>
          <w:p w14:paraId="4A0C5B9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0A127CBD">
            <w:pPr>
              <w:jc w:val="right"/>
              <w:rPr>
                <w:rFonts w:hint="eastAsia" w:ascii="宋体" w:hAnsi="宋体" w:eastAsia="宋体" w:cs="宋体"/>
                <w:i w:val="0"/>
                <w:color w:val="000000"/>
                <w:sz w:val="18"/>
                <w:szCs w:val="18"/>
                <w:u w:val="none"/>
              </w:rPr>
            </w:pPr>
          </w:p>
        </w:tc>
      </w:tr>
      <w:tr w14:paraId="6432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20FC972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2070109</w:t>
            </w:r>
          </w:p>
        </w:tc>
        <w:tc>
          <w:tcPr>
            <w:tcW w:w="2670" w:type="dxa"/>
            <w:vAlign w:val="center"/>
          </w:tcPr>
          <w:p w14:paraId="0824E28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群众文化</w:t>
            </w:r>
          </w:p>
        </w:tc>
        <w:tc>
          <w:tcPr>
            <w:tcW w:w="960" w:type="dxa"/>
            <w:vAlign w:val="center"/>
          </w:tcPr>
          <w:p w14:paraId="383FB86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20" w:type="dxa"/>
            <w:vAlign w:val="center"/>
          </w:tcPr>
          <w:p w14:paraId="7D7C954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1005" w:type="dxa"/>
            <w:vAlign w:val="center"/>
          </w:tcPr>
          <w:p w14:paraId="6616802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2E92C1B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15.00</w:t>
            </w:r>
          </w:p>
        </w:tc>
        <w:tc>
          <w:tcPr>
            <w:tcW w:w="855" w:type="dxa"/>
            <w:vAlign w:val="center"/>
          </w:tcPr>
          <w:p w14:paraId="3993BEE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24DE321B">
            <w:pPr>
              <w:jc w:val="right"/>
              <w:rPr>
                <w:rFonts w:hint="eastAsia" w:ascii="宋体" w:hAnsi="宋体" w:eastAsia="宋体" w:cs="宋体"/>
                <w:i w:val="0"/>
                <w:color w:val="000000"/>
                <w:sz w:val="18"/>
                <w:szCs w:val="18"/>
                <w:u w:val="none"/>
              </w:rPr>
            </w:pPr>
          </w:p>
        </w:tc>
      </w:tr>
      <w:tr w14:paraId="7E27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19CF5E0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w:t>
            </w:r>
          </w:p>
        </w:tc>
        <w:tc>
          <w:tcPr>
            <w:tcW w:w="2670" w:type="dxa"/>
            <w:vAlign w:val="center"/>
          </w:tcPr>
          <w:p w14:paraId="634961E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社会保障和就业支出</w:t>
            </w:r>
          </w:p>
        </w:tc>
        <w:tc>
          <w:tcPr>
            <w:tcW w:w="960" w:type="dxa"/>
            <w:vAlign w:val="center"/>
          </w:tcPr>
          <w:p w14:paraId="7B04D74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70.84</w:t>
            </w:r>
          </w:p>
        </w:tc>
        <w:tc>
          <w:tcPr>
            <w:tcW w:w="1020" w:type="dxa"/>
            <w:vAlign w:val="center"/>
          </w:tcPr>
          <w:p w14:paraId="12736C2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70.84</w:t>
            </w:r>
          </w:p>
        </w:tc>
        <w:tc>
          <w:tcPr>
            <w:tcW w:w="1005" w:type="dxa"/>
            <w:vAlign w:val="center"/>
          </w:tcPr>
          <w:p w14:paraId="7913A1F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70.84</w:t>
            </w:r>
          </w:p>
        </w:tc>
        <w:tc>
          <w:tcPr>
            <w:tcW w:w="720" w:type="dxa"/>
            <w:vAlign w:val="center"/>
          </w:tcPr>
          <w:p w14:paraId="4A24843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0AFABD1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27D118E4">
            <w:pPr>
              <w:jc w:val="right"/>
              <w:rPr>
                <w:rFonts w:hint="eastAsia" w:ascii="宋体" w:hAnsi="宋体" w:eastAsia="宋体" w:cs="宋体"/>
                <w:i w:val="0"/>
                <w:color w:val="000000"/>
                <w:sz w:val="18"/>
                <w:szCs w:val="18"/>
                <w:u w:val="none"/>
              </w:rPr>
            </w:pPr>
          </w:p>
        </w:tc>
      </w:tr>
      <w:tr w14:paraId="1056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2BA4599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w:t>
            </w:r>
          </w:p>
        </w:tc>
        <w:tc>
          <w:tcPr>
            <w:tcW w:w="2670" w:type="dxa"/>
            <w:vAlign w:val="center"/>
          </w:tcPr>
          <w:p w14:paraId="5351D2E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行政事业单位离退休</w:t>
            </w:r>
          </w:p>
        </w:tc>
        <w:tc>
          <w:tcPr>
            <w:tcW w:w="960" w:type="dxa"/>
            <w:vAlign w:val="center"/>
          </w:tcPr>
          <w:p w14:paraId="092E818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1020" w:type="dxa"/>
            <w:vAlign w:val="center"/>
          </w:tcPr>
          <w:p w14:paraId="0494FE5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1005" w:type="dxa"/>
            <w:vAlign w:val="center"/>
          </w:tcPr>
          <w:p w14:paraId="3D5161D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720" w:type="dxa"/>
            <w:vAlign w:val="center"/>
          </w:tcPr>
          <w:p w14:paraId="59BF53B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31E4D2A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5BA12365">
            <w:pPr>
              <w:jc w:val="right"/>
              <w:rPr>
                <w:rFonts w:hint="eastAsia" w:ascii="宋体" w:hAnsi="宋体" w:eastAsia="宋体" w:cs="宋体"/>
                <w:i w:val="0"/>
                <w:color w:val="000000"/>
                <w:sz w:val="18"/>
                <w:szCs w:val="18"/>
                <w:u w:val="none"/>
              </w:rPr>
            </w:pPr>
          </w:p>
        </w:tc>
      </w:tr>
      <w:tr w14:paraId="6753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7BD6840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2080505</w:t>
            </w:r>
          </w:p>
        </w:tc>
        <w:tc>
          <w:tcPr>
            <w:tcW w:w="2670" w:type="dxa"/>
            <w:vAlign w:val="center"/>
          </w:tcPr>
          <w:p w14:paraId="326A6F0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960" w:type="dxa"/>
            <w:vAlign w:val="center"/>
          </w:tcPr>
          <w:p w14:paraId="139EFC1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1020" w:type="dxa"/>
            <w:vAlign w:val="center"/>
          </w:tcPr>
          <w:p w14:paraId="71F4C3C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1005" w:type="dxa"/>
            <w:vAlign w:val="center"/>
          </w:tcPr>
          <w:p w14:paraId="23DB27C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720" w:type="dxa"/>
            <w:vAlign w:val="center"/>
          </w:tcPr>
          <w:p w14:paraId="338842E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3C915E6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1F0E9678">
            <w:pPr>
              <w:jc w:val="right"/>
              <w:rPr>
                <w:rFonts w:hint="eastAsia" w:ascii="宋体" w:hAnsi="宋体" w:eastAsia="宋体" w:cs="宋体"/>
                <w:i w:val="0"/>
                <w:color w:val="000000"/>
                <w:sz w:val="18"/>
                <w:szCs w:val="18"/>
                <w:u w:val="none"/>
              </w:rPr>
            </w:pPr>
          </w:p>
        </w:tc>
      </w:tr>
      <w:tr w14:paraId="0082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45F280B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20808</w:t>
            </w:r>
          </w:p>
        </w:tc>
        <w:tc>
          <w:tcPr>
            <w:tcW w:w="2670" w:type="dxa"/>
            <w:vAlign w:val="center"/>
          </w:tcPr>
          <w:p w14:paraId="43DAB5B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抚恤</w:t>
            </w:r>
          </w:p>
        </w:tc>
        <w:tc>
          <w:tcPr>
            <w:tcW w:w="960" w:type="dxa"/>
            <w:vAlign w:val="center"/>
          </w:tcPr>
          <w:p w14:paraId="2F8AB6D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1020" w:type="dxa"/>
            <w:vAlign w:val="center"/>
          </w:tcPr>
          <w:p w14:paraId="1467DD1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1005" w:type="dxa"/>
            <w:vAlign w:val="center"/>
          </w:tcPr>
          <w:p w14:paraId="5D92B13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720" w:type="dxa"/>
            <w:vAlign w:val="center"/>
          </w:tcPr>
          <w:p w14:paraId="3F5D0A2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732D438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26F0F0D7">
            <w:pPr>
              <w:jc w:val="right"/>
              <w:rPr>
                <w:rFonts w:hint="eastAsia" w:ascii="宋体" w:hAnsi="宋体" w:eastAsia="宋体" w:cs="宋体"/>
                <w:i w:val="0"/>
                <w:color w:val="000000"/>
                <w:sz w:val="18"/>
                <w:szCs w:val="18"/>
                <w:u w:val="none"/>
              </w:rPr>
            </w:pPr>
          </w:p>
        </w:tc>
      </w:tr>
      <w:tr w14:paraId="4488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7CDB0AC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2080801</w:t>
            </w:r>
          </w:p>
        </w:tc>
        <w:tc>
          <w:tcPr>
            <w:tcW w:w="2670" w:type="dxa"/>
            <w:vAlign w:val="center"/>
          </w:tcPr>
          <w:p w14:paraId="4323349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死亡抚恤</w:t>
            </w:r>
          </w:p>
        </w:tc>
        <w:tc>
          <w:tcPr>
            <w:tcW w:w="960" w:type="dxa"/>
            <w:vAlign w:val="center"/>
          </w:tcPr>
          <w:p w14:paraId="0262046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1020" w:type="dxa"/>
            <w:vAlign w:val="center"/>
          </w:tcPr>
          <w:p w14:paraId="185E77C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1005" w:type="dxa"/>
            <w:vAlign w:val="center"/>
          </w:tcPr>
          <w:p w14:paraId="57356EE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720" w:type="dxa"/>
            <w:vAlign w:val="center"/>
          </w:tcPr>
          <w:p w14:paraId="3C959EE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0B01410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2CC21718">
            <w:pPr>
              <w:jc w:val="right"/>
              <w:rPr>
                <w:rFonts w:hint="eastAsia" w:ascii="宋体" w:hAnsi="宋体" w:eastAsia="宋体" w:cs="宋体"/>
                <w:i w:val="0"/>
                <w:color w:val="000000"/>
                <w:sz w:val="18"/>
                <w:szCs w:val="18"/>
                <w:u w:val="none"/>
              </w:rPr>
            </w:pPr>
          </w:p>
        </w:tc>
      </w:tr>
      <w:tr w14:paraId="0550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70D120A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w:t>
            </w:r>
          </w:p>
        </w:tc>
        <w:tc>
          <w:tcPr>
            <w:tcW w:w="2670" w:type="dxa"/>
            <w:vAlign w:val="center"/>
          </w:tcPr>
          <w:p w14:paraId="3FBF399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卫生健康支出</w:t>
            </w:r>
          </w:p>
        </w:tc>
        <w:tc>
          <w:tcPr>
            <w:tcW w:w="960" w:type="dxa"/>
            <w:vAlign w:val="center"/>
          </w:tcPr>
          <w:p w14:paraId="6D69492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42.43</w:t>
            </w:r>
          </w:p>
        </w:tc>
        <w:tc>
          <w:tcPr>
            <w:tcW w:w="1020" w:type="dxa"/>
            <w:vAlign w:val="center"/>
          </w:tcPr>
          <w:p w14:paraId="1BED6FC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42.43</w:t>
            </w:r>
          </w:p>
        </w:tc>
        <w:tc>
          <w:tcPr>
            <w:tcW w:w="1005" w:type="dxa"/>
            <w:vAlign w:val="center"/>
          </w:tcPr>
          <w:p w14:paraId="0F52D80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42.43</w:t>
            </w:r>
          </w:p>
        </w:tc>
        <w:tc>
          <w:tcPr>
            <w:tcW w:w="720" w:type="dxa"/>
            <w:vAlign w:val="center"/>
          </w:tcPr>
          <w:p w14:paraId="572FB08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343D71C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7BDE56E7">
            <w:pPr>
              <w:jc w:val="right"/>
              <w:rPr>
                <w:rFonts w:hint="eastAsia" w:ascii="宋体" w:hAnsi="宋体" w:eastAsia="宋体" w:cs="宋体"/>
                <w:i w:val="0"/>
                <w:color w:val="000000"/>
                <w:sz w:val="18"/>
                <w:szCs w:val="18"/>
                <w:u w:val="none"/>
              </w:rPr>
            </w:pPr>
          </w:p>
        </w:tc>
      </w:tr>
      <w:tr w14:paraId="03E1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505FCD1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21007</w:t>
            </w:r>
          </w:p>
        </w:tc>
        <w:tc>
          <w:tcPr>
            <w:tcW w:w="2670" w:type="dxa"/>
            <w:vAlign w:val="center"/>
          </w:tcPr>
          <w:p w14:paraId="6265833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计划生育事务</w:t>
            </w:r>
          </w:p>
        </w:tc>
        <w:tc>
          <w:tcPr>
            <w:tcW w:w="960" w:type="dxa"/>
            <w:vAlign w:val="center"/>
          </w:tcPr>
          <w:p w14:paraId="50D2C16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1020" w:type="dxa"/>
            <w:vAlign w:val="center"/>
          </w:tcPr>
          <w:p w14:paraId="6957529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1005" w:type="dxa"/>
            <w:vAlign w:val="center"/>
          </w:tcPr>
          <w:p w14:paraId="2C346F1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720" w:type="dxa"/>
            <w:vAlign w:val="center"/>
          </w:tcPr>
          <w:p w14:paraId="488BB94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4F4B769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64885A64">
            <w:pPr>
              <w:jc w:val="right"/>
              <w:rPr>
                <w:rFonts w:hint="eastAsia" w:ascii="宋体" w:hAnsi="宋体" w:eastAsia="宋体" w:cs="宋体"/>
                <w:i w:val="0"/>
                <w:color w:val="000000"/>
                <w:sz w:val="18"/>
                <w:szCs w:val="18"/>
                <w:u w:val="none"/>
              </w:rPr>
            </w:pPr>
          </w:p>
        </w:tc>
      </w:tr>
      <w:tr w14:paraId="285E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626EAA93">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2100716</w:t>
            </w:r>
          </w:p>
        </w:tc>
        <w:tc>
          <w:tcPr>
            <w:tcW w:w="2670" w:type="dxa"/>
            <w:vAlign w:val="center"/>
          </w:tcPr>
          <w:p w14:paraId="507A6CC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计划生育机构</w:t>
            </w:r>
          </w:p>
        </w:tc>
        <w:tc>
          <w:tcPr>
            <w:tcW w:w="960" w:type="dxa"/>
            <w:vAlign w:val="center"/>
          </w:tcPr>
          <w:p w14:paraId="1BA7061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1020" w:type="dxa"/>
            <w:vAlign w:val="center"/>
          </w:tcPr>
          <w:p w14:paraId="64A2788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1005" w:type="dxa"/>
            <w:vAlign w:val="center"/>
          </w:tcPr>
          <w:p w14:paraId="616DCD6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16.92</w:t>
            </w:r>
          </w:p>
        </w:tc>
        <w:tc>
          <w:tcPr>
            <w:tcW w:w="720" w:type="dxa"/>
            <w:vAlign w:val="center"/>
          </w:tcPr>
          <w:p w14:paraId="71D7DD9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0F18B16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02EABBAD">
            <w:pPr>
              <w:jc w:val="right"/>
              <w:rPr>
                <w:rFonts w:hint="eastAsia" w:ascii="宋体" w:hAnsi="宋体" w:eastAsia="宋体" w:cs="宋体"/>
                <w:i w:val="0"/>
                <w:color w:val="000000"/>
                <w:sz w:val="18"/>
                <w:szCs w:val="18"/>
                <w:u w:val="none"/>
              </w:rPr>
            </w:pPr>
          </w:p>
        </w:tc>
      </w:tr>
      <w:tr w14:paraId="6E60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rPr>
        <w:tc>
          <w:tcPr>
            <w:tcW w:w="1015" w:type="dxa"/>
            <w:vAlign w:val="center"/>
          </w:tcPr>
          <w:p w14:paraId="5F9F2BE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21011</w:t>
            </w:r>
          </w:p>
        </w:tc>
        <w:tc>
          <w:tcPr>
            <w:tcW w:w="2670" w:type="dxa"/>
            <w:vAlign w:val="center"/>
          </w:tcPr>
          <w:p w14:paraId="5C3E32F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行政事业单位医疗</w:t>
            </w:r>
          </w:p>
        </w:tc>
        <w:tc>
          <w:tcPr>
            <w:tcW w:w="960" w:type="dxa"/>
            <w:vAlign w:val="center"/>
          </w:tcPr>
          <w:p w14:paraId="3ABFF56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1020" w:type="dxa"/>
            <w:vAlign w:val="center"/>
          </w:tcPr>
          <w:p w14:paraId="6470B2A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1005" w:type="dxa"/>
            <w:vAlign w:val="center"/>
          </w:tcPr>
          <w:p w14:paraId="2EECC27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720" w:type="dxa"/>
            <w:vAlign w:val="center"/>
          </w:tcPr>
          <w:p w14:paraId="6BAA787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4F0E4EC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017D5D12">
            <w:pPr>
              <w:jc w:val="right"/>
              <w:rPr>
                <w:rFonts w:hint="eastAsia" w:ascii="宋体" w:hAnsi="宋体" w:eastAsia="宋体" w:cs="宋体"/>
                <w:i w:val="0"/>
                <w:color w:val="000000"/>
                <w:sz w:val="18"/>
                <w:szCs w:val="18"/>
                <w:u w:val="none"/>
              </w:rPr>
            </w:pPr>
          </w:p>
        </w:tc>
      </w:tr>
      <w:tr w14:paraId="3BBC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2EE48DA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2101101</w:t>
            </w:r>
          </w:p>
        </w:tc>
        <w:tc>
          <w:tcPr>
            <w:tcW w:w="2670" w:type="dxa"/>
            <w:vAlign w:val="center"/>
          </w:tcPr>
          <w:p w14:paraId="724068E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行政单位医疗</w:t>
            </w:r>
          </w:p>
        </w:tc>
        <w:tc>
          <w:tcPr>
            <w:tcW w:w="960" w:type="dxa"/>
            <w:vAlign w:val="center"/>
          </w:tcPr>
          <w:p w14:paraId="203586D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1020" w:type="dxa"/>
            <w:vAlign w:val="center"/>
          </w:tcPr>
          <w:p w14:paraId="40D993E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1005" w:type="dxa"/>
            <w:vAlign w:val="center"/>
          </w:tcPr>
          <w:p w14:paraId="1111ABC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720" w:type="dxa"/>
            <w:vAlign w:val="center"/>
          </w:tcPr>
          <w:p w14:paraId="0AAE2B4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7105573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781387B9">
            <w:pPr>
              <w:jc w:val="right"/>
              <w:rPr>
                <w:rFonts w:hint="eastAsia" w:ascii="宋体" w:hAnsi="宋体" w:eastAsia="宋体" w:cs="宋体"/>
                <w:i w:val="0"/>
                <w:color w:val="000000"/>
                <w:sz w:val="18"/>
                <w:szCs w:val="18"/>
                <w:u w:val="none"/>
              </w:rPr>
            </w:pPr>
          </w:p>
        </w:tc>
      </w:tr>
      <w:tr w14:paraId="1B84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4653679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w:t>
            </w:r>
          </w:p>
        </w:tc>
        <w:tc>
          <w:tcPr>
            <w:tcW w:w="2670" w:type="dxa"/>
            <w:vAlign w:val="center"/>
          </w:tcPr>
          <w:p w14:paraId="00F6B43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城乡社区支出</w:t>
            </w:r>
          </w:p>
        </w:tc>
        <w:tc>
          <w:tcPr>
            <w:tcW w:w="960" w:type="dxa"/>
            <w:vAlign w:val="center"/>
          </w:tcPr>
          <w:p w14:paraId="522ACA4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34.00</w:t>
            </w:r>
          </w:p>
        </w:tc>
        <w:tc>
          <w:tcPr>
            <w:tcW w:w="1020" w:type="dxa"/>
            <w:vAlign w:val="center"/>
          </w:tcPr>
          <w:p w14:paraId="519FC5B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34.00</w:t>
            </w:r>
          </w:p>
        </w:tc>
        <w:tc>
          <w:tcPr>
            <w:tcW w:w="1005" w:type="dxa"/>
            <w:vAlign w:val="center"/>
          </w:tcPr>
          <w:p w14:paraId="759A945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43B4650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34.00</w:t>
            </w:r>
          </w:p>
        </w:tc>
        <w:tc>
          <w:tcPr>
            <w:tcW w:w="855" w:type="dxa"/>
            <w:vAlign w:val="center"/>
          </w:tcPr>
          <w:p w14:paraId="159C7D2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602D748E">
            <w:pPr>
              <w:jc w:val="right"/>
              <w:rPr>
                <w:rFonts w:hint="eastAsia" w:ascii="宋体" w:hAnsi="宋体" w:eastAsia="宋体" w:cs="宋体"/>
                <w:i w:val="0"/>
                <w:color w:val="000000"/>
                <w:sz w:val="18"/>
                <w:szCs w:val="18"/>
                <w:u w:val="none"/>
              </w:rPr>
            </w:pPr>
          </w:p>
        </w:tc>
      </w:tr>
      <w:tr w14:paraId="3237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0118BEA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21202</w:t>
            </w:r>
          </w:p>
        </w:tc>
        <w:tc>
          <w:tcPr>
            <w:tcW w:w="2670" w:type="dxa"/>
            <w:vAlign w:val="center"/>
          </w:tcPr>
          <w:p w14:paraId="79D00D8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城乡社区规划与管理</w:t>
            </w:r>
          </w:p>
        </w:tc>
        <w:tc>
          <w:tcPr>
            <w:tcW w:w="960" w:type="dxa"/>
            <w:vAlign w:val="center"/>
          </w:tcPr>
          <w:p w14:paraId="036A884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1020" w:type="dxa"/>
            <w:vAlign w:val="center"/>
          </w:tcPr>
          <w:p w14:paraId="1561116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1005" w:type="dxa"/>
            <w:vAlign w:val="center"/>
          </w:tcPr>
          <w:p w14:paraId="11A50FD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1C931BA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855" w:type="dxa"/>
            <w:vAlign w:val="center"/>
          </w:tcPr>
          <w:p w14:paraId="4BFABCD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61E56F32">
            <w:pPr>
              <w:jc w:val="right"/>
              <w:rPr>
                <w:rFonts w:hint="eastAsia" w:ascii="宋体" w:hAnsi="宋体" w:eastAsia="宋体" w:cs="宋体"/>
                <w:i w:val="0"/>
                <w:color w:val="000000"/>
                <w:sz w:val="18"/>
                <w:szCs w:val="18"/>
                <w:u w:val="none"/>
              </w:rPr>
            </w:pPr>
          </w:p>
        </w:tc>
      </w:tr>
      <w:tr w14:paraId="118E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2E8B27B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2120201</w:t>
            </w:r>
          </w:p>
        </w:tc>
        <w:tc>
          <w:tcPr>
            <w:tcW w:w="2670" w:type="dxa"/>
            <w:vAlign w:val="center"/>
          </w:tcPr>
          <w:p w14:paraId="3643EF9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城乡社区规划与管理</w:t>
            </w:r>
          </w:p>
        </w:tc>
        <w:tc>
          <w:tcPr>
            <w:tcW w:w="960" w:type="dxa"/>
            <w:vAlign w:val="center"/>
          </w:tcPr>
          <w:p w14:paraId="278293A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1020" w:type="dxa"/>
            <w:vAlign w:val="center"/>
          </w:tcPr>
          <w:p w14:paraId="2B8A3AD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1005" w:type="dxa"/>
            <w:vAlign w:val="center"/>
          </w:tcPr>
          <w:p w14:paraId="13DDB4A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5984179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24.00</w:t>
            </w:r>
          </w:p>
        </w:tc>
        <w:tc>
          <w:tcPr>
            <w:tcW w:w="855" w:type="dxa"/>
            <w:vAlign w:val="center"/>
          </w:tcPr>
          <w:p w14:paraId="2368742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2657FF71">
            <w:pPr>
              <w:jc w:val="right"/>
              <w:rPr>
                <w:rFonts w:hint="eastAsia" w:ascii="宋体" w:hAnsi="宋体" w:eastAsia="宋体" w:cs="宋体"/>
                <w:i w:val="0"/>
                <w:color w:val="000000"/>
                <w:sz w:val="18"/>
                <w:szCs w:val="18"/>
                <w:u w:val="none"/>
              </w:rPr>
            </w:pPr>
          </w:p>
        </w:tc>
      </w:tr>
      <w:tr w14:paraId="1DC62F4D">
        <w:tblPrEx>
          <w:tblCellMar>
            <w:top w:w="15" w:type="dxa"/>
            <w:left w:w="15" w:type="dxa"/>
            <w:bottom w:w="15" w:type="dxa"/>
            <w:right w:w="15" w:type="dxa"/>
          </w:tblCellMar>
        </w:tblPrEx>
        <w:trPr>
          <w:trHeight w:val="425" w:hRule="atLeast"/>
        </w:trPr>
        <w:tc>
          <w:tcPr>
            <w:tcW w:w="1015" w:type="dxa"/>
            <w:vAlign w:val="center"/>
          </w:tcPr>
          <w:p w14:paraId="64895AD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21203</w:t>
            </w:r>
          </w:p>
        </w:tc>
        <w:tc>
          <w:tcPr>
            <w:tcW w:w="2670" w:type="dxa"/>
            <w:vAlign w:val="center"/>
          </w:tcPr>
          <w:p w14:paraId="15779DB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城乡社区公共设施</w:t>
            </w:r>
          </w:p>
        </w:tc>
        <w:tc>
          <w:tcPr>
            <w:tcW w:w="960" w:type="dxa"/>
            <w:vAlign w:val="center"/>
          </w:tcPr>
          <w:p w14:paraId="0714FD5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20" w:type="dxa"/>
            <w:vAlign w:val="center"/>
          </w:tcPr>
          <w:p w14:paraId="260B8F3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05" w:type="dxa"/>
            <w:vAlign w:val="center"/>
          </w:tcPr>
          <w:p w14:paraId="6D8B8A0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1CE0948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855" w:type="dxa"/>
            <w:vAlign w:val="center"/>
          </w:tcPr>
          <w:p w14:paraId="4083287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593C2DEE">
            <w:pPr>
              <w:jc w:val="right"/>
              <w:rPr>
                <w:rFonts w:hint="eastAsia" w:ascii="宋体" w:hAnsi="宋体" w:eastAsia="宋体" w:cs="宋体"/>
                <w:i w:val="0"/>
                <w:color w:val="000000"/>
                <w:sz w:val="18"/>
                <w:szCs w:val="18"/>
                <w:u w:val="none"/>
              </w:rPr>
            </w:pPr>
          </w:p>
        </w:tc>
      </w:tr>
      <w:tr w14:paraId="41B4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7D06C6A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2120399</w:t>
            </w:r>
          </w:p>
        </w:tc>
        <w:tc>
          <w:tcPr>
            <w:tcW w:w="2670" w:type="dxa"/>
            <w:vAlign w:val="center"/>
          </w:tcPr>
          <w:p w14:paraId="3F958AE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其他城乡社区公共设施支出</w:t>
            </w:r>
          </w:p>
        </w:tc>
        <w:tc>
          <w:tcPr>
            <w:tcW w:w="960" w:type="dxa"/>
            <w:vAlign w:val="center"/>
          </w:tcPr>
          <w:p w14:paraId="0A69D81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20" w:type="dxa"/>
            <w:vAlign w:val="center"/>
          </w:tcPr>
          <w:p w14:paraId="3F0E0A4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1005" w:type="dxa"/>
            <w:vAlign w:val="center"/>
          </w:tcPr>
          <w:p w14:paraId="1F92510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7AC43A1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10.00</w:t>
            </w:r>
          </w:p>
        </w:tc>
        <w:tc>
          <w:tcPr>
            <w:tcW w:w="855" w:type="dxa"/>
            <w:vAlign w:val="center"/>
          </w:tcPr>
          <w:p w14:paraId="0CC8215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34031E67">
            <w:pPr>
              <w:jc w:val="right"/>
              <w:rPr>
                <w:rFonts w:hint="eastAsia" w:ascii="宋体" w:hAnsi="宋体" w:eastAsia="宋体" w:cs="宋体"/>
                <w:i w:val="0"/>
                <w:color w:val="000000"/>
                <w:sz w:val="18"/>
                <w:szCs w:val="18"/>
                <w:u w:val="none"/>
              </w:rPr>
            </w:pPr>
          </w:p>
        </w:tc>
      </w:tr>
      <w:tr w14:paraId="3E16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1323ADD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w:t>
            </w:r>
          </w:p>
        </w:tc>
        <w:tc>
          <w:tcPr>
            <w:tcW w:w="2670" w:type="dxa"/>
            <w:vAlign w:val="center"/>
          </w:tcPr>
          <w:p w14:paraId="3C393F7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农林水支出</w:t>
            </w:r>
          </w:p>
        </w:tc>
        <w:tc>
          <w:tcPr>
            <w:tcW w:w="960" w:type="dxa"/>
            <w:vAlign w:val="center"/>
          </w:tcPr>
          <w:p w14:paraId="18D64F3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333.96</w:t>
            </w:r>
          </w:p>
        </w:tc>
        <w:tc>
          <w:tcPr>
            <w:tcW w:w="1020" w:type="dxa"/>
            <w:vAlign w:val="center"/>
          </w:tcPr>
          <w:p w14:paraId="48EDC47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196.96</w:t>
            </w:r>
          </w:p>
        </w:tc>
        <w:tc>
          <w:tcPr>
            <w:tcW w:w="1005" w:type="dxa"/>
            <w:vAlign w:val="center"/>
          </w:tcPr>
          <w:p w14:paraId="25F2AC6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195.52</w:t>
            </w:r>
          </w:p>
        </w:tc>
        <w:tc>
          <w:tcPr>
            <w:tcW w:w="720" w:type="dxa"/>
            <w:vAlign w:val="center"/>
          </w:tcPr>
          <w:p w14:paraId="3A1EBDA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855" w:type="dxa"/>
            <w:vAlign w:val="center"/>
          </w:tcPr>
          <w:p w14:paraId="52E36BC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137.00</w:t>
            </w:r>
          </w:p>
        </w:tc>
        <w:tc>
          <w:tcPr>
            <w:tcW w:w="532" w:type="dxa"/>
            <w:vAlign w:val="center"/>
          </w:tcPr>
          <w:p w14:paraId="184EE82C">
            <w:pPr>
              <w:jc w:val="right"/>
              <w:rPr>
                <w:rFonts w:hint="eastAsia" w:ascii="宋体" w:hAnsi="宋体" w:eastAsia="宋体" w:cs="宋体"/>
                <w:i w:val="0"/>
                <w:color w:val="000000"/>
                <w:sz w:val="18"/>
                <w:szCs w:val="18"/>
                <w:u w:val="none"/>
              </w:rPr>
            </w:pPr>
          </w:p>
        </w:tc>
      </w:tr>
      <w:tr w14:paraId="5124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225A61A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w:t>
            </w:r>
          </w:p>
        </w:tc>
        <w:tc>
          <w:tcPr>
            <w:tcW w:w="2670" w:type="dxa"/>
            <w:vAlign w:val="center"/>
          </w:tcPr>
          <w:p w14:paraId="7217363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农业</w:t>
            </w:r>
          </w:p>
        </w:tc>
        <w:tc>
          <w:tcPr>
            <w:tcW w:w="960" w:type="dxa"/>
            <w:vAlign w:val="center"/>
          </w:tcPr>
          <w:p w14:paraId="602BAAD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1020" w:type="dxa"/>
            <w:vAlign w:val="center"/>
          </w:tcPr>
          <w:p w14:paraId="52506A0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1005" w:type="dxa"/>
            <w:vAlign w:val="center"/>
          </w:tcPr>
          <w:p w14:paraId="29B96A2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4F8B012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855" w:type="dxa"/>
            <w:vAlign w:val="center"/>
          </w:tcPr>
          <w:p w14:paraId="6686E28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6F215F78">
            <w:pPr>
              <w:jc w:val="right"/>
              <w:rPr>
                <w:rFonts w:hint="eastAsia" w:ascii="宋体" w:hAnsi="宋体" w:eastAsia="宋体" w:cs="宋体"/>
                <w:i w:val="0"/>
                <w:color w:val="000000"/>
                <w:sz w:val="18"/>
                <w:szCs w:val="18"/>
                <w:u w:val="none"/>
              </w:rPr>
            </w:pPr>
          </w:p>
        </w:tc>
      </w:tr>
      <w:tr w14:paraId="3DAF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760ECEC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2130126</w:t>
            </w:r>
          </w:p>
        </w:tc>
        <w:tc>
          <w:tcPr>
            <w:tcW w:w="2670" w:type="dxa"/>
            <w:vAlign w:val="center"/>
          </w:tcPr>
          <w:p w14:paraId="3BE87AC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农村公益事业</w:t>
            </w:r>
          </w:p>
        </w:tc>
        <w:tc>
          <w:tcPr>
            <w:tcW w:w="960" w:type="dxa"/>
            <w:vAlign w:val="center"/>
          </w:tcPr>
          <w:p w14:paraId="05577A4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1020" w:type="dxa"/>
            <w:vAlign w:val="center"/>
          </w:tcPr>
          <w:p w14:paraId="4CAEF94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1005" w:type="dxa"/>
            <w:vAlign w:val="center"/>
          </w:tcPr>
          <w:p w14:paraId="57FF611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04CF650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1.44</w:t>
            </w:r>
          </w:p>
        </w:tc>
        <w:tc>
          <w:tcPr>
            <w:tcW w:w="855" w:type="dxa"/>
            <w:vAlign w:val="center"/>
          </w:tcPr>
          <w:p w14:paraId="2DE14D3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0B6979EC">
            <w:pPr>
              <w:jc w:val="right"/>
              <w:rPr>
                <w:rFonts w:hint="eastAsia" w:ascii="宋体" w:hAnsi="宋体" w:eastAsia="宋体" w:cs="宋体"/>
                <w:i w:val="0"/>
                <w:color w:val="000000"/>
                <w:sz w:val="18"/>
                <w:szCs w:val="18"/>
                <w:u w:val="none"/>
              </w:rPr>
            </w:pPr>
          </w:p>
        </w:tc>
      </w:tr>
      <w:tr w14:paraId="0743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5D4F728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21307</w:t>
            </w:r>
          </w:p>
        </w:tc>
        <w:tc>
          <w:tcPr>
            <w:tcW w:w="2670" w:type="dxa"/>
            <w:vAlign w:val="center"/>
          </w:tcPr>
          <w:p w14:paraId="17C9287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农村综合改革</w:t>
            </w:r>
          </w:p>
        </w:tc>
        <w:tc>
          <w:tcPr>
            <w:tcW w:w="960" w:type="dxa"/>
            <w:vAlign w:val="center"/>
          </w:tcPr>
          <w:p w14:paraId="40DAEF9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332.52</w:t>
            </w:r>
          </w:p>
        </w:tc>
        <w:tc>
          <w:tcPr>
            <w:tcW w:w="1020" w:type="dxa"/>
            <w:vAlign w:val="center"/>
          </w:tcPr>
          <w:p w14:paraId="2687E6F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195.52</w:t>
            </w:r>
          </w:p>
        </w:tc>
        <w:tc>
          <w:tcPr>
            <w:tcW w:w="1005" w:type="dxa"/>
            <w:vAlign w:val="center"/>
          </w:tcPr>
          <w:p w14:paraId="1AF9910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195.52</w:t>
            </w:r>
          </w:p>
        </w:tc>
        <w:tc>
          <w:tcPr>
            <w:tcW w:w="720" w:type="dxa"/>
            <w:vAlign w:val="center"/>
          </w:tcPr>
          <w:p w14:paraId="66E74EE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2D465D3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137.00</w:t>
            </w:r>
          </w:p>
        </w:tc>
        <w:tc>
          <w:tcPr>
            <w:tcW w:w="532" w:type="dxa"/>
            <w:vAlign w:val="center"/>
          </w:tcPr>
          <w:p w14:paraId="42FF4E82">
            <w:pPr>
              <w:jc w:val="right"/>
              <w:rPr>
                <w:rFonts w:hint="eastAsia" w:ascii="宋体" w:hAnsi="宋体" w:eastAsia="宋体" w:cs="宋体"/>
                <w:i w:val="0"/>
                <w:color w:val="000000"/>
                <w:sz w:val="18"/>
                <w:szCs w:val="18"/>
                <w:u w:val="none"/>
              </w:rPr>
            </w:pPr>
          </w:p>
        </w:tc>
      </w:tr>
      <w:tr w14:paraId="7409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429F954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2130701</w:t>
            </w:r>
          </w:p>
        </w:tc>
        <w:tc>
          <w:tcPr>
            <w:tcW w:w="2670" w:type="dxa"/>
            <w:vAlign w:val="center"/>
          </w:tcPr>
          <w:p w14:paraId="7158894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对村级一事一议的补助</w:t>
            </w:r>
          </w:p>
        </w:tc>
        <w:tc>
          <w:tcPr>
            <w:tcW w:w="960" w:type="dxa"/>
            <w:vAlign w:val="center"/>
          </w:tcPr>
          <w:p w14:paraId="04E4981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137.00</w:t>
            </w:r>
          </w:p>
        </w:tc>
        <w:tc>
          <w:tcPr>
            <w:tcW w:w="1020" w:type="dxa"/>
            <w:vAlign w:val="center"/>
          </w:tcPr>
          <w:p w14:paraId="543CBFF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005" w:type="dxa"/>
            <w:vAlign w:val="center"/>
          </w:tcPr>
          <w:p w14:paraId="4DC8DC3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720" w:type="dxa"/>
            <w:vAlign w:val="center"/>
          </w:tcPr>
          <w:p w14:paraId="5F9389E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16F0302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137.00</w:t>
            </w:r>
          </w:p>
        </w:tc>
        <w:tc>
          <w:tcPr>
            <w:tcW w:w="532" w:type="dxa"/>
            <w:vAlign w:val="center"/>
          </w:tcPr>
          <w:p w14:paraId="64A61334">
            <w:pPr>
              <w:jc w:val="right"/>
              <w:rPr>
                <w:rFonts w:hint="eastAsia" w:ascii="宋体" w:hAnsi="宋体" w:eastAsia="宋体" w:cs="宋体"/>
                <w:i w:val="0"/>
                <w:color w:val="000000"/>
                <w:sz w:val="18"/>
                <w:szCs w:val="18"/>
                <w:u w:val="none"/>
              </w:rPr>
            </w:pPr>
          </w:p>
        </w:tc>
      </w:tr>
      <w:tr w14:paraId="005F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230692E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2130705</w:t>
            </w:r>
          </w:p>
        </w:tc>
        <w:tc>
          <w:tcPr>
            <w:tcW w:w="2670" w:type="dxa"/>
            <w:vAlign w:val="center"/>
          </w:tcPr>
          <w:p w14:paraId="5A31293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对村民委员会和村党支部的补助</w:t>
            </w:r>
          </w:p>
        </w:tc>
        <w:tc>
          <w:tcPr>
            <w:tcW w:w="960" w:type="dxa"/>
            <w:vAlign w:val="center"/>
          </w:tcPr>
          <w:p w14:paraId="58403E0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195.52</w:t>
            </w:r>
          </w:p>
        </w:tc>
        <w:tc>
          <w:tcPr>
            <w:tcW w:w="1020" w:type="dxa"/>
            <w:vAlign w:val="center"/>
          </w:tcPr>
          <w:p w14:paraId="11DCB63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195.52</w:t>
            </w:r>
          </w:p>
        </w:tc>
        <w:tc>
          <w:tcPr>
            <w:tcW w:w="1005" w:type="dxa"/>
            <w:vAlign w:val="center"/>
          </w:tcPr>
          <w:p w14:paraId="527BEB5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195.52</w:t>
            </w:r>
          </w:p>
        </w:tc>
        <w:tc>
          <w:tcPr>
            <w:tcW w:w="720" w:type="dxa"/>
            <w:vAlign w:val="center"/>
          </w:tcPr>
          <w:p w14:paraId="003F0B6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5FDC835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78655350">
            <w:pPr>
              <w:jc w:val="right"/>
              <w:rPr>
                <w:rFonts w:hint="eastAsia" w:ascii="宋体" w:hAnsi="宋体" w:eastAsia="宋体" w:cs="宋体"/>
                <w:i w:val="0"/>
                <w:color w:val="000000"/>
                <w:sz w:val="18"/>
                <w:szCs w:val="18"/>
                <w:u w:val="none"/>
              </w:rPr>
            </w:pPr>
          </w:p>
        </w:tc>
      </w:tr>
      <w:tr w14:paraId="684B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775E1373">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214</w:t>
            </w:r>
          </w:p>
        </w:tc>
        <w:tc>
          <w:tcPr>
            <w:tcW w:w="2670" w:type="dxa"/>
            <w:vAlign w:val="center"/>
          </w:tcPr>
          <w:p w14:paraId="1DA447F6">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交通运输支出</w:t>
            </w:r>
          </w:p>
        </w:tc>
        <w:tc>
          <w:tcPr>
            <w:tcW w:w="960" w:type="dxa"/>
            <w:vAlign w:val="center"/>
          </w:tcPr>
          <w:p w14:paraId="7F37345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1020" w:type="dxa"/>
            <w:vAlign w:val="center"/>
          </w:tcPr>
          <w:p w14:paraId="69D231D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1005" w:type="dxa"/>
            <w:vAlign w:val="center"/>
          </w:tcPr>
          <w:p w14:paraId="0E1159B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720" w:type="dxa"/>
            <w:vAlign w:val="center"/>
          </w:tcPr>
          <w:p w14:paraId="59B1529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577EC10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1844B564">
            <w:pPr>
              <w:jc w:val="right"/>
              <w:rPr>
                <w:rFonts w:hint="eastAsia" w:ascii="宋体" w:hAnsi="宋体" w:eastAsia="宋体" w:cs="宋体"/>
                <w:i w:val="0"/>
                <w:color w:val="000000"/>
                <w:sz w:val="18"/>
                <w:szCs w:val="18"/>
                <w:u w:val="none"/>
              </w:rPr>
            </w:pPr>
          </w:p>
        </w:tc>
      </w:tr>
      <w:tr w14:paraId="5995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35C3F33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21401</w:t>
            </w:r>
          </w:p>
        </w:tc>
        <w:tc>
          <w:tcPr>
            <w:tcW w:w="2670" w:type="dxa"/>
            <w:vAlign w:val="center"/>
          </w:tcPr>
          <w:p w14:paraId="02C14A13">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公路水路运输</w:t>
            </w:r>
          </w:p>
        </w:tc>
        <w:tc>
          <w:tcPr>
            <w:tcW w:w="960" w:type="dxa"/>
            <w:vAlign w:val="center"/>
          </w:tcPr>
          <w:p w14:paraId="64869BE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1020" w:type="dxa"/>
            <w:vAlign w:val="center"/>
          </w:tcPr>
          <w:p w14:paraId="015AA0C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1005" w:type="dxa"/>
            <w:vAlign w:val="center"/>
          </w:tcPr>
          <w:p w14:paraId="0A98B6B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720" w:type="dxa"/>
            <w:vAlign w:val="center"/>
          </w:tcPr>
          <w:p w14:paraId="6E031E9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3418E55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46224E94">
            <w:pPr>
              <w:jc w:val="right"/>
              <w:rPr>
                <w:rFonts w:hint="eastAsia" w:ascii="宋体" w:hAnsi="宋体" w:eastAsia="宋体" w:cs="宋体"/>
                <w:i w:val="0"/>
                <w:color w:val="000000"/>
                <w:sz w:val="18"/>
                <w:szCs w:val="18"/>
                <w:u w:val="none"/>
              </w:rPr>
            </w:pPr>
          </w:p>
        </w:tc>
      </w:tr>
      <w:tr w14:paraId="6DF1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6D3EC45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2140199</w:t>
            </w:r>
          </w:p>
        </w:tc>
        <w:tc>
          <w:tcPr>
            <w:tcW w:w="2670" w:type="dxa"/>
            <w:vAlign w:val="center"/>
          </w:tcPr>
          <w:p w14:paraId="6AA7FF8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其他公路水路运输支出</w:t>
            </w:r>
          </w:p>
        </w:tc>
        <w:tc>
          <w:tcPr>
            <w:tcW w:w="960" w:type="dxa"/>
            <w:vAlign w:val="center"/>
          </w:tcPr>
          <w:p w14:paraId="5F5C041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1020" w:type="dxa"/>
            <w:vAlign w:val="center"/>
          </w:tcPr>
          <w:p w14:paraId="790C98E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1005" w:type="dxa"/>
            <w:vAlign w:val="center"/>
          </w:tcPr>
          <w:p w14:paraId="53CD098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720" w:type="dxa"/>
            <w:vAlign w:val="center"/>
          </w:tcPr>
          <w:p w14:paraId="154805C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4B10B2A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5FD32704">
            <w:pPr>
              <w:jc w:val="right"/>
              <w:rPr>
                <w:rFonts w:hint="eastAsia" w:ascii="宋体" w:hAnsi="宋体" w:eastAsia="宋体" w:cs="宋体"/>
                <w:i w:val="0"/>
                <w:color w:val="000000"/>
                <w:sz w:val="18"/>
                <w:szCs w:val="18"/>
                <w:u w:val="none"/>
              </w:rPr>
            </w:pPr>
          </w:p>
        </w:tc>
      </w:tr>
      <w:tr w14:paraId="7C38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0793DC7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w:t>
            </w:r>
          </w:p>
        </w:tc>
        <w:tc>
          <w:tcPr>
            <w:tcW w:w="2670" w:type="dxa"/>
            <w:vAlign w:val="center"/>
          </w:tcPr>
          <w:p w14:paraId="280469A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住房保障支出</w:t>
            </w:r>
          </w:p>
        </w:tc>
        <w:tc>
          <w:tcPr>
            <w:tcW w:w="960" w:type="dxa"/>
            <w:vAlign w:val="center"/>
          </w:tcPr>
          <w:p w14:paraId="79D57C0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1020" w:type="dxa"/>
            <w:vAlign w:val="center"/>
          </w:tcPr>
          <w:p w14:paraId="642A312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1005" w:type="dxa"/>
            <w:vAlign w:val="center"/>
          </w:tcPr>
          <w:p w14:paraId="48008B5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720" w:type="dxa"/>
            <w:vAlign w:val="center"/>
          </w:tcPr>
          <w:p w14:paraId="00DD4D3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11295D0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7849CE21">
            <w:pPr>
              <w:jc w:val="right"/>
              <w:rPr>
                <w:rFonts w:hint="eastAsia" w:ascii="宋体" w:hAnsi="宋体" w:eastAsia="宋体" w:cs="宋体"/>
                <w:i w:val="0"/>
                <w:color w:val="000000"/>
                <w:sz w:val="18"/>
                <w:szCs w:val="18"/>
                <w:u w:val="none"/>
              </w:rPr>
            </w:pPr>
          </w:p>
        </w:tc>
      </w:tr>
      <w:tr w14:paraId="4F31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32B240FE">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22102</w:t>
            </w:r>
          </w:p>
        </w:tc>
        <w:tc>
          <w:tcPr>
            <w:tcW w:w="2670" w:type="dxa"/>
            <w:vAlign w:val="center"/>
          </w:tcPr>
          <w:p w14:paraId="1926772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住房改革支出</w:t>
            </w:r>
          </w:p>
        </w:tc>
        <w:tc>
          <w:tcPr>
            <w:tcW w:w="960" w:type="dxa"/>
            <w:vAlign w:val="center"/>
          </w:tcPr>
          <w:p w14:paraId="0666F7E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1020" w:type="dxa"/>
            <w:vAlign w:val="center"/>
          </w:tcPr>
          <w:p w14:paraId="5E85CC5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1005" w:type="dxa"/>
            <w:vAlign w:val="center"/>
          </w:tcPr>
          <w:p w14:paraId="0B200E0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720" w:type="dxa"/>
            <w:vAlign w:val="center"/>
          </w:tcPr>
          <w:p w14:paraId="7EAE582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5A6A138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1AFE9DFD">
            <w:pPr>
              <w:jc w:val="right"/>
              <w:rPr>
                <w:rFonts w:hint="eastAsia" w:ascii="宋体" w:hAnsi="宋体" w:eastAsia="宋体" w:cs="宋体"/>
                <w:i w:val="0"/>
                <w:color w:val="000000"/>
                <w:sz w:val="18"/>
                <w:szCs w:val="18"/>
                <w:u w:val="none"/>
              </w:rPr>
            </w:pPr>
          </w:p>
        </w:tc>
      </w:tr>
      <w:tr w14:paraId="1F6B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1015" w:type="dxa"/>
            <w:vAlign w:val="center"/>
          </w:tcPr>
          <w:p w14:paraId="7B37990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2210201</w:t>
            </w:r>
          </w:p>
        </w:tc>
        <w:tc>
          <w:tcPr>
            <w:tcW w:w="2670" w:type="dxa"/>
            <w:vAlign w:val="center"/>
          </w:tcPr>
          <w:p w14:paraId="163BEEC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住房公积金</w:t>
            </w:r>
          </w:p>
        </w:tc>
        <w:tc>
          <w:tcPr>
            <w:tcW w:w="960" w:type="dxa"/>
            <w:vAlign w:val="center"/>
          </w:tcPr>
          <w:p w14:paraId="6046C28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1020" w:type="dxa"/>
            <w:vAlign w:val="center"/>
          </w:tcPr>
          <w:p w14:paraId="40CBB77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1005" w:type="dxa"/>
            <w:vAlign w:val="center"/>
          </w:tcPr>
          <w:p w14:paraId="5C1981C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720" w:type="dxa"/>
            <w:vAlign w:val="center"/>
          </w:tcPr>
          <w:p w14:paraId="298991A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855" w:type="dxa"/>
            <w:vAlign w:val="center"/>
          </w:tcPr>
          <w:p w14:paraId="2BE415D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532" w:type="dxa"/>
            <w:vAlign w:val="center"/>
          </w:tcPr>
          <w:p w14:paraId="3F7BD1B3">
            <w:pPr>
              <w:jc w:val="right"/>
              <w:rPr>
                <w:rFonts w:hint="eastAsia" w:ascii="宋体" w:hAnsi="宋体" w:eastAsia="宋体" w:cs="宋体"/>
                <w:i w:val="0"/>
                <w:color w:val="000000"/>
                <w:sz w:val="18"/>
                <w:szCs w:val="18"/>
                <w:u w:val="none"/>
              </w:rPr>
            </w:pPr>
          </w:p>
        </w:tc>
      </w:tr>
    </w:tbl>
    <w:p w14:paraId="54B9CAFA">
      <w:pPr>
        <w:rPr>
          <w:rFonts w:ascii="宋体" w:hAnsi="宋体" w:cs="宋体"/>
          <w:b/>
          <w:bCs/>
          <w:szCs w:val="21"/>
        </w:rPr>
      </w:pPr>
      <w:r>
        <w:rPr>
          <w:rFonts w:hint="eastAsia" w:ascii="宋体" w:hAnsi="宋体" w:cs="宋体"/>
          <w:b/>
          <w:bCs/>
          <w:szCs w:val="21"/>
        </w:rPr>
        <w:t xml:space="preserve">                                                                      </w:t>
      </w:r>
    </w:p>
    <w:p w14:paraId="0E69ED6F">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14:paraId="20F9A596">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14:paraId="7AD304CA">
      <w:pPr>
        <w:rPr>
          <w:rFonts w:ascii="宋体" w:hAnsi="宋体" w:cs="宋体"/>
          <w:b/>
          <w:bCs/>
          <w:szCs w:val="21"/>
        </w:rPr>
      </w:pPr>
      <w:r>
        <w:rPr>
          <w:rFonts w:hint="eastAsia" w:ascii="宋体" w:hAnsi="宋体" w:cs="宋体"/>
          <w:b/>
          <w:bCs/>
          <w:szCs w:val="21"/>
        </w:rPr>
        <w:t>公开06表</w:t>
      </w:r>
    </w:p>
    <w:p w14:paraId="1DDFE8FA">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eastAsia="zh-CN"/>
        </w:rPr>
        <w:t>眉县汤峪镇人民政府</w:t>
      </w:r>
      <w:r>
        <w:rPr>
          <w:rFonts w:hint="eastAsia" w:ascii="宋体" w:hAnsi="宋体" w:cs="宋体"/>
          <w:b/>
          <w:bCs/>
          <w:szCs w:val="21"/>
        </w:rPr>
        <w:t xml:space="preserve">                                         金额单位：万元</w:t>
      </w:r>
    </w:p>
    <w:tbl>
      <w:tblPr>
        <w:tblStyle w:val="9"/>
        <w:tblW w:w="8817" w:type="dxa"/>
        <w:tblInd w:w="0" w:type="dxa"/>
        <w:tblLayout w:type="fixed"/>
        <w:tblCellMar>
          <w:top w:w="15" w:type="dxa"/>
          <w:left w:w="15" w:type="dxa"/>
          <w:bottom w:w="15" w:type="dxa"/>
          <w:right w:w="15" w:type="dxa"/>
        </w:tblCellMar>
      </w:tblPr>
      <w:tblGrid>
        <w:gridCol w:w="1197"/>
        <w:gridCol w:w="2790"/>
        <w:gridCol w:w="1470"/>
        <w:gridCol w:w="1320"/>
        <w:gridCol w:w="1140"/>
        <w:gridCol w:w="900"/>
      </w:tblGrid>
      <w:tr w14:paraId="05EACAC7">
        <w:tblPrEx>
          <w:tblCellMar>
            <w:top w:w="15" w:type="dxa"/>
            <w:left w:w="15" w:type="dxa"/>
            <w:bottom w:w="15" w:type="dxa"/>
            <w:right w:w="15" w:type="dxa"/>
          </w:tblCellMar>
        </w:tblPrEx>
        <w:trPr>
          <w:trHeight w:val="394" w:hRule="atLeast"/>
        </w:trPr>
        <w:tc>
          <w:tcPr>
            <w:tcW w:w="3987" w:type="dxa"/>
            <w:gridSpan w:val="2"/>
            <w:tcBorders>
              <w:top w:val="single" w:color="auto" w:sz="4" w:space="0"/>
              <w:left w:val="single" w:color="auto" w:sz="4" w:space="0"/>
              <w:bottom w:val="single" w:color="auto" w:sz="4" w:space="0"/>
              <w:right w:val="single" w:color="auto" w:sz="4" w:space="0"/>
            </w:tcBorders>
            <w:vAlign w:val="center"/>
          </w:tcPr>
          <w:p w14:paraId="2794FE8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    目</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14:paraId="637E9C9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72BA8D6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人员经费</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7EBDA97F">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公用经费</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72A38AFE">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备注</w:t>
            </w:r>
          </w:p>
        </w:tc>
      </w:tr>
      <w:tr w14:paraId="79BF6DBE">
        <w:tblPrEx>
          <w:tblCellMar>
            <w:top w:w="15" w:type="dxa"/>
            <w:left w:w="15" w:type="dxa"/>
            <w:bottom w:w="15" w:type="dxa"/>
            <w:right w:w="15" w:type="dxa"/>
          </w:tblCellMar>
        </w:tblPrEx>
        <w:trPr>
          <w:trHeight w:val="600" w:hRule="atLeast"/>
        </w:trPr>
        <w:tc>
          <w:tcPr>
            <w:tcW w:w="1197" w:type="dxa"/>
            <w:tcBorders>
              <w:top w:val="single" w:color="auto" w:sz="4" w:space="0"/>
              <w:left w:val="single" w:color="auto" w:sz="4" w:space="0"/>
              <w:bottom w:val="single" w:color="auto" w:sz="4" w:space="0"/>
              <w:right w:val="single" w:color="auto" w:sz="4" w:space="0"/>
            </w:tcBorders>
            <w:vAlign w:val="center"/>
          </w:tcPr>
          <w:p w14:paraId="1150F4D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经济分类科目编码</w:t>
            </w:r>
          </w:p>
        </w:tc>
        <w:tc>
          <w:tcPr>
            <w:tcW w:w="2790" w:type="dxa"/>
            <w:tcBorders>
              <w:top w:val="single" w:color="auto" w:sz="4" w:space="0"/>
              <w:left w:val="single" w:color="auto" w:sz="4" w:space="0"/>
              <w:bottom w:val="single" w:color="auto" w:sz="4" w:space="0"/>
              <w:right w:val="single" w:color="auto" w:sz="4" w:space="0"/>
            </w:tcBorders>
            <w:vAlign w:val="center"/>
          </w:tcPr>
          <w:p w14:paraId="3518D88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科目名称</w:t>
            </w:r>
          </w:p>
        </w:tc>
        <w:tc>
          <w:tcPr>
            <w:tcW w:w="1470" w:type="dxa"/>
            <w:vMerge w:val="continue"/>
            <w:tcBorders>
              <w:top w:val="single" w:color="auto" w:sz="4" w:space="0"/>
              <w:left w:val="single" w:color="auto" w:sz="4" w:space="0"/>
              <w:bottom w:val="single" w:color="auto" w:sz="4" w:space="0"/>
              <w:right w:val="single" w:color="auto" w:sz="4" w:space="0"/>
            </w:tcBorders>
            <w:vAlign w:val="center"/>
          </w:tcPr>
          <w:p w14:paraId="641720BE">
            <w:pPr>
              <w:jc w:val="center"/>
              <w:rPr>
                <w:rFonts w:ascii="宋体" w:hAnsi="宋体" w:cs="宋体"/>
                <w:b/>
                <w:color w:val="00000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5862F3E7">
            <w:pPr>
              <w:jc w:val="center"/>
              <w:rPr>
                <w:rFonts w:ascii="宋体" w:hAnsi="宋体" w:cs="宋体"/>
                <w:b/>
                <w:color w:val="000000"/>
                <w:sz w:val="18"/>
                <w:szCs w:val="18"/>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8D1F7DD">
            <w:pPr>
              <w:jc w:val="center"/>
              <w:rPr>
                <w:rFonts w:ascii="宋体" w:hAnsi="宋体" w:cs="宋体"/>
                <w:b/>
                <w:color w:val="00000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D1AD818">
            <w:pPr>
              <w:jc w:val="center"/>
              <w:rPr>
                <w:rFonts w:ascii="宋体" w:hAnsi="宋体" w:cs="宋体"/>
                <w:b/>
                <w:color w:val="000000"/>
                <w:sz w:val="18"/>
                <w:szCs w:val="18"/>
              </w:rPr>
            </w:pPr>
          </w:p>
        </w:tc>
      </w:tr>
      <w:tr w14:paraId="499A9A71">
        <w:tblPrEx>
          <w:tblCellMar>
            <w:top w:w="15" w:type="dxa"/>
            <w:left w:w="15" w:type="dxa"/>
            <w:bottom w:w="15" w:type="dxa"/>
            <w:right w:w="15" w:type="dxa"/>
          </w:tblCellMar>
        </w:tblPrEx>
        <w:trPr>
          <w:trHeight w:val="434" w:hRule="atLeast"/>
        </w:trPr>
        <w:tc>
          <w:tcPr>
            <w:tcW w:w="3987" w:type="dxa"/>
            <w:gridSpan w:val="2"/>
            <w:tcBorders>
              <w:top w:val="single" w:color="auto" w:sz="4" w:space="0"/>
              <w:left w:val="single" w:color="auto" w:sz="4" w:space="0"/>
              <w:bottom w:val="single" w:color="auto" w:sz="4" w:space="0"/>
              <w:right w:val="single" w:color="auto" w:sz="4" w:space="0"/>
            </w:tcBorders>
            <w:vAlign w:val="center"/>
          </w:tcPr>
          <w:p w14:paraId="7277AC8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1470" w:type="dxa"/>
            <w:tcBorders>
              <w:top w:val="single" w:color="auto" w:sz="4" w:space="0"/>
              <w:left w:val="single" w:color="auto" w:sz="4" w:space="0"/>
              <w:bottom w:val="single" w:color="auto" w:sz="4" w:space="0"/>
              <w:right w:val="single" w:color="auto" w:sz="4" w:space="0"/>
            </w:tcBorders>
            <w:vAlign w:val="center"/>
          </w:tcPr>
          <w:p w14:paraId="0B911CE4">
            <w:pPr>
              <w:jc w:val="center"/>
              <w:rPr>
                <w:rFonts w:ascii="宋体" w:hAnsi="宋体" w:cs="宋体"/>
                <w:b/>
                <w:color w:val="000000"/>
                <w:sz w:val="18"/>
                <w:szCs w:val="18"/>
              </w:rPr>
            </w:pPr>
          </w:p>
        </w:tc>
        <w:tc>
          <w:tcPr>
            <w:tcW w:w="1320" w:type="dxa"/>
            <w:tcBorders>
              <w:top w:val="single" w:color="auto" w:sz="4" w:space="0"/>
              <w:left w:val="single" w:color="auto" w:sz="4" w:space="0"/>
              <w:bottom w:val="single" w:color="auto" w:sz="4" w:space="0"/>
              <w:right w:val="single" w:color="auto" w:sz="4" w:space="0"/>
            </w:tcBorders>
            <w:vAlign w:val="center"/>
          </w:tcPr>
          <w:p w14:paraId="1CD56724">
            <w:pPr>
              <w:jc w:val="center"/>
              <w:rPr>
                <w:rFonts w:ascii="宋体" w:hAnsi="宋体" w:cs="宋体"/>
                <w:b/>
                <w:color w:val="00000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3A5FEAE4">
            <w:pPr>
              <w:jc w:val="center"/>
              <w:rPr>
                <w:rFonts w:ascii="宋体" w:hAnsi="宋体" w:cs="宋体"/>
                <w:b/>
                <w:color w:val="000000"/>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14:paraId="0E99DE69">
            <w:pPr>
              <w:jc w:val="center"/>
              <w:rPr>
                <w:rFonts w:ascii="宋体" w:hAnsi="宋体" w:cs="宋体"/>
                <w:b/>
                <w:color w:val="000000"/>
                <w:sz w:val="18"/>
                <w:szCs w:val="18"/>
              </w:rPr>
            </w:pPr>
          </w:p>
        </w:tc>
      </w:tr>
      <w:tr w14:paraId="6CEAC7D0">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03DF851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w:t>
            </w:r>
          </w:p>
        </w:tc>
        <w:tc>
          <w:tcPr>
            <w:tcW w:w="2790" w:type="dxa"/>
            <w:tcBorders>
              <w:top w:val="single" w:color="auto" w:sz="4" w:space="0"/>
              <w:left w:val="single" w:color="auto" w:sz="4" w:space="0"/>
              <w:bottom w:val="single" w:color="auto" w:sz="4" w:space="0"/>
              <w:right w:val="single" w:color="auto" w:sz="4" w:space="0"/>
            </w:tcBorders>
            <w:vAlign w:val="center"/>
          </w:tcPr>
          <w:p w14:paraId="2400341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工资福利支出</w:t>
            </w:r>
          </w:p>
        </w:tc>
        <w:tc>
          <w:tcPr>
            <w:tcW w:w="1470" w:type="dxa"/>
            <w:tcBorders>
              <w:top w:val="single" w:color="auto" w:sz="4" w:space="0"/>
              <w:left w:val="single" w:color="auto" w:sz="4" w:space="0"/>
              <w:bottom w:val="single" w:color="auto" w:sz="4" w:space="0"/>
              <w:right w:val="single" w:color="auto" w:sz="4" w:space="0"/>
            </w:tcBorders>
            <w:vAlign w:val="center"/>
          </w:tcPr>
          <w:p w14:paraId="77D4D63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4B3421E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624.28</w:t>
            </w:r>
          </w:p>
        </w:tc>
        <w:tc>
          <w:tcPr>
            <w:tcW w:w="1140" w:type="dxa"/>
            <w:tcBorders>
              <w:top w:val="single" w:color="auto" w:sz="4" w:space="0"/>
              <w:left w:val="single" w:color="auto" w:sz="4" w:space="0"/>
              <w:bottom w:val="single" w:color="auto" w:sz="4" w:space="0"/>
              <w:right w:val="single" w:color="auto" w:sz="4" w:space="0"/>
            </w:tcBorders>
            <w:vAlign w:val="center"/>
          </w:tcPr>
          <w:p w14:paraId="0CD6921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vAlign w:val="center"/>
          </w:tcPr>
          <w:p w14:paraId="7B8610E3">
            <w:pPr>
              <w:jc w:val="right"/>
              <w:rPr>
                <w:rFonts w:hint="eastAsia" w:ascii="宋体" w:hAnsi="宋体" w:eastAsia="宋体" w:cs="宋体"/>
                <w:i w:val="0"/>
                <w:color w:val="000000"/>
                <w:sz w:val="18"/>
                <w:szCs w:val="18"/>
                <w:u w:val="none"/>
              </w:rPr>
            </w:pPr>
          </w:p>
        </w:tc>
      </w:tr>
      <w:tr w14:paraId="43A18B94">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45A313C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30101</w:t>
            </w:r>
          </w:p>
        </w:tc>
        <w:tc>
          <w:tcPr>
            <w:tcW w:w="2790" w:type="dxa"/>
            <w:tcBorders>
              <w:top w:val="single" w:color="auto" w:sz="4" w:space="0"/>
              <w:left w:val="single" w:color="auto" w:sz="4" w:space="0"/>
              <w:bottom w:val="single" w:color="auto" w:sz="4" w:space="0"/>
              <w:right w:val="single" w:color="auto" w:sz="4" w:space="0"/>
            </w:tcBorders>
            <w:vAlign w:val="center"/>
          </w:tcPr>
          <w:p w14:paraId="209AB7A3">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基本工资</w:t>
            </w:r>
          </w:p>
        </w:tc>
        <w:tc>
          <w:tcPr>
            <w:tcW w:w="1470" w:type="dxa"/>
            <w:tcBorders>
              <w:top w:val="single" w:color="auto" w:sz="4" w:space="0"/>
              <w:left w:val="single" w:color="auto" w:sz="4" w:space="0"/>
              <w:bottom w:val="single" w:color="auto" w:sz="4" w:space="0"/>
              <w:right w:val="single" w:color="auto" w:sz="4" w:space="0"/>
            </w:tcBorders>
            <w:vAlign w:val="center"/>
          </w:tcPr>
          <w:p w14:paraId="255FB7E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71E17B4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289.90</w:t>
            </w:r>
          </w:p>
        </w:tc>
        <w:tc>
          <w:tcPr>
            <w:tcW w:w="1140" w:type="dxa"/>
            <w:tcBorders>
              <w:top w:val="single" w:color="auto" w:sz="4" w:space="0"/>
              <w:left w:val="single" w:color="auto" w:sz="4" w:space="0"/>
              <w:bottom w:val="single" w:color="auto" w:sz="4" w:space="0"/>
              <w:right w:val="single" w:color="auto" w:sz="4" w:space="0"/>
            </w:tcBorders>
            <w:vAlign w:val="center"/>
          </w:tcPr>
          <w:p w14:paraId="11194B0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vAlign w:val="center"/>
          </w:tcPr>
          <w:p w14:paraId="53E653F9">
            <w:pPr>
              <w:jc w:val="right"/>
              <w:rPr>
                <w:rFonts w:hint="eastAsia" w:ascii="宋体" w:hAnsi="宋体" w:eastAsia="宋体" w:cs="宋体"/>
                <w:i w:val="0"/>
                <w:color w:val="000000"/>
                <w:sz w:val="18"/>
                <w:szCs w:val="18"/>
                <w:u w:val="none"/>
              </w:rPr>
            </w:pPr>
          </w:p>
        </w:tc>
      </w:tr>
      <w:tr w14:paraId="24555D95">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72533CC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30102</w:t>
            </w:r>
          </w:p>
        </w:tc>
        <w:tc>
          <w:tcPr>
            <w:tcW w:w="2790" w:type="dxa"/>
            <w:tcBorders>
              <w:top w:val="single" w:color="auto" w:sz="4" w:space="0"/>
              <w:left w:val="single" w:color="auto" w:sz="4" w:space="0"/>
              <w:bottom w:val="single" w:color="auto" w:sz="4" w:space="0"/>
              <w:right w:val="single" w:color="auto" w:sz="4" w:space="0"/>
            </w:tcBorders>
            <w:vAlign w:val="center"/>
          </w:tcPr>
          <w:p w14:paraId="7C7D4F2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津贴补贴</w:t>
            </w:r>
          </w:p>
        </w:tc>
        <w:tc>
          <w:tcPr>
            <w:tcW w:w="1470" w:type="dxa"/>
            <w:tcBorders>
              <w:top w:val="single" w:color="auto" w:sz="4" w:space="0"/>
              <w:left w:val="single" w:color="auto" w:sz="4" w:space="0"/>
              <w:bottom w:val="single" w:color="auto" w:sz="4" w:space="0"/>
              <w:right w:val="single" w:color="auto" w:sz="4" w:space="0"/>
            </w:tcBorders>
            <w:vAlign w:val="center"/>
          </w:tcPr>
          <w:p w14:paraId="2F06BA6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716FE17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194.72</w:t>
            </w:r>
          </w:p>
        </w:tc>
        <w:tc>
          <w:tcPr>
            <w:tcW w:w="1140" w:type="dxa"/>
            <w:tcBorders>
              <w:top w:val="single" w:color="auto" w:sz="4" w:space="0"/>
              <w:left w:val="single" w:color="auto" w:sz="4" w:space="0"/>
              <w:bottom w:val="single" w:color="auto" w:sz="4" w:space="0"/>
              <w:right w:val="single" w:color="auto" w:sz="4" w:space="0"/>
            </w:tcBorders>
            <w:vAlign w:val="center"/>
          </w:tcPr>
          <w:p w14:paraId="2D5F108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vAlign w:val="center"/>
          </w:tcPr>
          <w:p w14:paraId="2EB9454E">
            <w:pPr>
              <w:jc w:val="right"/>
              <w:rPr>
                <w:rFonts w:hint="eastAsia" w:ascii="宋体" w:hAnsi="宋体" w:eastAsia="宋体" w:cs="宋体"/>
                <w:i w:val="0"/>
                <w:color w:val="000000"/>
                <w:sz w:val="18"/>
                <w:szCs w:val="18"/>
                <w:u w:val="none"/>
              </w:rPr>
            </w:pPr>
          </w:p>
        </w:tc>
      </w:tr>
      <w:tr w14:paraId="488C3C7E">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2DB06ED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30103</w:t>
            </w:r>
          </w:p>
        </w:tc>
        <w:tc>
          <w:tcPr>
            <w:tcW w:w="2790" w:type="dxa"/>
            <w:tcBorders>
              <w:top w:val="single" w:color="auto" w:sz="4" w:space="0"/>
              <w:left w:val="single" w:color="auto" w:sz="4" w:space="0"/>
              <w:bottom w:val="single" w:color="auto" w:sz="4" w:space="0"/>
              <w:right w:val="single" w:color="auto" w:sz="4" w:space="0"/>
            </w:tcBorders>
            <w:vAlign w:val="center"/>
          </w:tcPr>
          <w:p w14:paraId="45D1335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奖金</w:t>
            </w:r>
          </w:p>
        </w:tc>
        <w:tc>
          <w:tcPr>
            <w:tcW w:w="1470" w:type="dxa"/>
            <w:tcBorders>
              <w:top w:val="single" w:color="auto" w:sz="4" w:space="0"/>
              <w:left w:val="single" w:color="auto" w:sz="4" w:space="0"/>
              <w:bottom w:val="single" w:color="auto" w:sz="4" w:space="0"/>
              <w:right w:val="single" w:color="auto" w:sz="4" w:space="0"/>
            </w:tcBorders>
            <w:vAlign w:val="center"/>
          </w:tcPr>
          <w:p w14:paraId="7F93D06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316B5A7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1.35</w:t>
            </w:r>
          </w:p>
        </w:tc>
        <w:tc>
          <w:tcPr>
            <w:tcW w:w="1140" w:type="dxa"/>
            <w:tcBorders>
              <w:top w:val="single" w:color="auto" w:sz="4" w:space="0"/>
              <w:left w:val="single" w:color="auto" w:sz="4" w:space="0"/>
              <w:bottom w:val="single" w:color="auto" w:sz="4" w:space="0"/>
              <w:right w:val="single" w:color="auto" w:sz="4" w:space="0"/>
            </w:tcBorders>
            <w:vAlign w:val="center"/>
          </w:tcPr>
          <w:p w14:paraId="389C0D8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vAlign w:val="center"/>
          </w:tcPr>
          <w:p w14:paraId="5AF40C09">
            <w:pPr>
              <w:jc w:val="right"/>
              <w:rPr>
                <w:rFonts w:hint="eastAsia" w:ascii="宋体" w:hAnsi="宋体" w:eastAsia="宋体" w:cs="宋体"/>
                <w:i w:val="0"/>
                <w:color w:val="000000"/>
                <w:sz w:val="18"/>
                <w:szCs w:val="18"/>
                <w:u w:val="none"/>
              </w:rPr>
            </w:pPr>
          </w:p>
        </w:tc>
      </w:tr>
      <w:tr w14:paraId="46679FF3">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6452F5D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30106</w:t>
            </w:r>
          </w:p>
        </w:tc>
        <w:tc>
          <w:tcPr>
            <w:tcW w:w="2790" w:type="dxa"/>
            <w:tcBorders>
              <w:top w:val="single" w:color="auto" w:sz="4" w:space="0"/>
              <w:left w:val="single" w:color="auto" w:sz="4" w:space="0"/>
              <w:bottom w:val="single" w:color="auto" w:sz="4" w:space="0"/>
              <w:right w:val="single" w:color="auto" w:sz="4" w:space="0"/>
            </w:tcBorders>
            <w:vAlign w:val="center"/>
          </w:tcPr>
          <w:p w14:paraId="0A29E64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伙食补助费</w:t>
            </w:r>
          </w:p>
        </w:tc>
        <w:tc>
          <w:tcPr>
            <w:tcW w:w="1470" w:type="dxa"/>
            <w:tcBorders>
              <w:top w:val="single" w:color="auto" w:sz="4" w:space="0"/>
              <w:left w:val="single" w:color="auto" w:sz="4" w:space="0"/>
              <w:bottom w:val="single" w:color="auto" w:sz="4" w:space="0"/>
              <w:right w:val="single" w:color="auto" w:sz="4" w:space="0"/>
            </w:tcBorders>
            <w:vAlign w:val="center"/>
          </w:tcPr>
          <w:p w14:paraId="3250CE4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7E6666F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1140" w:type="dxa"/>
            <w:tcBorders>
              <w:top w:val="single" w:color="auto" w:sz="4" w:space="0"/>
              <w:left w:val="single" w:color="auto" w:sz="4" w:space="0"/>
              <w:bottom w:val="single" w:color="auto" w:sz="4" w:space="0"/>
              <w:right w:val="single" w:color="auto" w:sz="4" w:space="0"/>
            </w:tcBorders>
            <w:vAlign w:val="center"/>
          </w:tcPr>
          <w:p w14:paraId="2E86FB4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vAlign w:val="center"/>
          </w:tcPr>
          <w:p w14:paraId="6B5F8DDC">
            <w:pPr>
              <w:jc w:val="right"/>
              <w:rPr>
                <w:rFonts w:hint="eastAsia" w:ascii="宋体" w:hAnsi="宋体" w:eastAsia="宋体" w:cs="宋体"/>
                <w:i w:val="0"/>
                <w:color w:val="000000"/>
                <w:sz w:val="18"/>
                <w:szCs w:val="18"/>
                <w:u w:val="none"/>
              </w:rPr>
            </w:pPr>
          </w:p>
        </w:tc>
      </w:tr>
      <w:tr w14:paraId="016F7B5A">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322A939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30107</w:t>
            </w:r>
          </w:p>
        </w:tc>
        <w:tc>
          <w:tcPr>
            <w:tcW w:w="2790" w:type="dxa"/>
            <w:tcBorders>
              <w:top w:val="single" w:color="auto" w:sz="4" w:space="0"/>
              <w:left w:val="single" w:color="auto" w:sz="4" w:space="0"/>
              <w:bottom w:val="single" w:color="auto" w:sz="4" w:space="0"/>
              <w:right w:val="single" w:color="auto" w:sz="4" w:space="0"/>
            </w:tcBorders>
            <w:vAlign w:val="center"/>
          </w:tcPr>
          <w:p w14:paraId="2B657B3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绩效工资</w:t>
            </w:r>
          </w:p>
        </w:tc>
        <w:tc>
          <w:tcPr>
            <w:tcW w:w="1470" w:type="dxa"/>
            <w:tcBorders>
              <w:top w:val="single" w:color="auto" w:sz="4" w:space="0"/>
              <w:left w:val="single" w:color="auto" w:sz="4" w:space="0"/>
              <w:bottom w:val="single" w:color="auto" w:sz="4" w:space="0"/>
              <w:right w:val="single" w:color="auto" w:sz="4" w:space="0"/>
            </w:tcBorders>
            <w:vAlign w:val="center"/>
          </w:tcPr>
          <w:p w14:paraId="67095A6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041F007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w:t>
            </w:r>
          </w:p>
        </w:tc>
        <w:tc>
          <w:tcPr>
            <w:tcW w:w="1140" w:type="dxa"/>
            <w:tcBorders>
              <w:top w:val="single" w:color="auto" w:sz="4" w:space="0"/>
              <w:left w:val="single" w:color="auto" w:sz="4" w:space="0"/>
              <w:bottom w:val="single" w:color="auto" w:sz="4" w:space="0"/>
              <w:right w:val="single" w:color="auto" w:sz="4" w:space="0"/>
            </w:tcBorders>
            <w:vAlign w:val="center"/>
          </w:tcPr>
          <w:p w14:paraId="42372A2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vAlign w:val="center"/>
          </w:tcPr>
          <w:p w14:paraId="3BD4E5C3">
            <w:pPr>
              <w:jc w:val="right"/>
              <w:rPr>
                <w:rFonts w:hint="eastAsia" w:ascii="宋体" w:hAnsi="宋体" w:eastAsia="宋体" w:cs="宋体"/>
                <w:i w:val="0"/>
                <w:color w:val="000000"/>
                <w:sz w:val="18"/>
                <w:szCs w:val="18"/>
                <w:u w:val="none"/>
              </w:rPr>
            </w:pPr>
          </w:p>
        </w:tc>
      </w:tr>
      <w:tr w14:paraId="242821AA">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0EE6AA0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30108</w:t>
            </w:r>
          </w:p>
        </w:tc>
        <w:tc>
          <w:tcPr>
            <w:tcW w:w="2790" w:type="dxa"/>
            <w:tcBorders>
              <w:top w:val="single" w:color="auto" w:sz="4" w:space="0"/>
              <w:left w:val="single" w:color="auto" w:sz="4" w:space="0"/>
              <w:bottom w:val="single" w:color="auto" w:sz="4" w:space="0"/>
              <w:right w:val="single" w:color="auto" w:sz="4" w:space="0"/>
            </w:tcBorders>
            <w:vAlign w:val="center"/>
          </w:tcPr>
          <w:p w14:paraId="3E01B457">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70" w:type="dxa"/>
            <w:tcBorders>
              <w:top w:val="single" w:color="auto" w:sz="4" w:space="0"/>
              <w:left w:val="single" w:color="auto" w:sz="4" w:space="0"/>
              <w:bottom w:val="single" w:color="auto" w:sz="4" w:space="0"/>
              <w:right w:val="single" w:color="auto" w:sz="4" w:space="0"/>
            </w:tcBorders>
            <w:vAlign w:val="center"/>
          </w:tcPr>
          <w:p w14:paraId="021E6B1B">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5D4CA87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64.71</w:t>
            </w:r>
          </w:p>
        </w:tc>
        <w:tc>
          <w:tcPr>
            <w:tcW w:w="1140" w:type="dxa"/>
            <w:tcBorders>
              <w:top w:val="single" w:color="auto" w:sz="4" w:space="0"/>
              <w:left w:val="single" w:color="auto" w:sz="4" w:space="0"/>
              <w:bottom w:val="single" w:color="auto" w:sz="4" w:space="0"/>
              <w:right w:val="single" w:color="auto" w:sz="4" w:space="0"/>
            </w:tcBorders>
            <w:vAlign w:val="center"/>
          </w:tcPr>
          <w:p w14:paraId="4479B2A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vAlign w:val="center"/>
          </w:tcPr>
          <w:p w14:paraId="7BF8FD9B">
            <w:pPr>
              <w:jc w:val="right"/>
              <w:rPr>
                <w:rFonts w:hint="eastAsia" w:ascii="宋体" w:hAnsi="宋体" w:eastAsia="宋体" w:cs="宋体"/>
                <w:i w:val="0"/>
                <w:color w:val="000000"/>
                <w:sz w:val="18"/>
                <w:szCs w:val="18"/>
                <w:u w:val="none"/>
              </w:rPr>
            </w:pPr>
          </w:p>
        </w:tc>
      </w:tr>
      <w:tr w14:paraId="5F877247">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471DB96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30110</w:t>
            </w:r>
          </w:p>
        </w:tc>
        <w:tc>
          <w:tcPr>
            <w:tcW w:w="2790" w:type="dxa"/>
            <w:tcBorders>
              <w:top w:val="single" w:color="auto" w:sz="4" w:space="0"/>
              <w:left w:val="single" w:color="auto" w:sz="4" w:space="0"/>
              <w:bottom w:val="single" w:color="auto" w:sz="4" w:space="0"/>
              <w:right w:val="single" w:color="auto" w:sz="4" w:space="0"/>
            </w:tcBorders>
            <w:vAlign w:val="center"/>
          </w:tcPr>
          <w:p w14:paraId="3C6D6F9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70" w:type="dxa"/>
            <w:tcBorders>
              <w:top w:val="single" w:color="auto" w:sz="4" w:space="0"/>
              <w:left w:val="single" w:color="auto" w:sz="4" w:space="0"/>
              <w:bottom w:val="single" w:color="auto" w:sz="4" w:space="0"/>
              <w:right w:val="single" w:color="auto" w:sz="4" w:space="0"/>
            </w:tcBorders>
            <w:vAlign w:val="center"/>
          </w:tcPr>
          <w:p w14:paraId="7F8C666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0388866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25.51</w:t>
            </w:r>
          </w:p>
        </w:tc>
        <w:tc>
          <w:tcPr>
            <w:tcW w:w="1140" w:type="dxa"/>
            <w:tcBorders>
              <w:top w:val="single" w:color="auto" w:sz="4" w:space="0"/>
              <w:left w:val="single" w:color="auto" w:sz="4" w:space="0"/>
              <w:bottom w:val="single" w:color="auto" w:sz="4" w:space="0"/>
              <w:right w:val="single" w:color="auto" w:sz="4" w:space="0"/>
            </w:tcBorders>
            <w:vAlign w:val="center"/>
          </w:tcPr>
          <w:p w14:paraId="281661E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vAlign w:val="center"/>
          </w:tcPr>
          <w:p w14:paraId="37DC9DD3">
            <w:pPr>
              <w:jc w:val="right"/>
              <w:rPr>
                <w:rFonts w:hint="eastAsia" w:ascii="宋体" w:hAnsi="宋体" w:eastAsia="宋体" w:cs="宋体"/>
                <w:i w:val="0"/>
                <w:color w:val="000000"/>
                <w:sz w:val="18"/>
                <w:szCs w:val="18"/>
                <w:u w:val="none"/>
              </w:rPr>
            </w:pPr>
          </w:p>
        </w:tc>
      </w:tr>
      <w:tr w14:paraId="381D3145">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322244F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30113</w:t>
            </w:r>
          </w:p>
        </w:tc>
        <w:tc>
          <w:tcPr>
            <w:tcW w:w="2790" w:type="dxa"/>
            <w:tcBorders>
              <w:top w:val="single" w:color="auto" w:sz="4" w:space="0"/>
              <w:left w:val="single" w:color="auto" w:sz="4" w:space="0"/>
              <w:bottom w:val="single" w:color="auto" w:sz="4" w:space="0"/>
              <w:right w:val="single" w:color="auto" w:sz="4" w:space="0"/>
            </w:tcBorders>
            <w:vAlign w:val="center"/>
          </w:tcPr>
          <w:p w14:paraId="25358812">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住房公积金</w:t>
            </w:r>
          </w:p>
        </w:tc>
        <w:tc>
          <w:tcPr>
            <w:tcW w:w="1470" w:type="dxa"/>
            <w:tcBorders>
              <w:top w:val="single" w:color="auto" w:sz="4" w:space="0"/>
              <w:left w:val="single" w:color="auto" w:sz="4" w:space="0"/>
              <w:bottom w:val="single" w:color="auto" w:sz="4" w:space="0"/>
              <w:right w:val="single" w:color="auto" w:sz="4" w:space="0"/>
            </w:tcBorders>
            <w:vAlign w:val="center"/>
          </w:tcPr>
          <w:p w14:paraId="21E0F02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52980514">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44.10</w:t>
            </w:r>
          </w:p>
        </w:tc>
        <w:tc>
          <w:tcPr>
            <w:tcW w:w="1140" w:type="dxa"/>
            <w:tcBorders>
              <w:top w:val="single" w:color="auto" w:sz="4" w:space="0"/>
              <w:left w:val="single" w:color="auto" w:sz="4" w:space="0"/>
              <w:bottom w:val="single" w:color="auto" w:sz="4" w:space="0"/>
              <w:right w:val="single" w:color="auto" w:sz="4" w:space="0"/>
            </w:tcBorders>
            <w:vAlign w:val="center"/>
          </w:tcPr>
          <w:p w14:paraId="120AB26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vAlign w:val="center"/>
          </w:tcPr>
          <w:p w14:paraId="6973131B">
            <w:pPr>
              <w:jc w:val="right"/>
              <w:rPr>
                <w:rFonts w:hint="eastAsia" w:ascii="宋体" w:hAnsi="宋体" w:eastAsia="宋体" w:cs="宋体"/>
                <w:i w:val="0"/>
                <w:color w:val="000000"/>
                <w:sz w:val="18"/>
                <w:szCs w:val="18"/>
                <w:u w:val="none"/>
              </w:rPr>
            </w:pPr>
          </w:p>
        </w:tc>
      </w:tr>
      <w:tr w14:paraId="4FEC5E0A">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5FAF583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w:t>
            </w:r>
          </w:p>
        </w:tc>
        <w:tc>
          <w:tcPr>
            <w:tcW w:w="2790" w:type="dxa"/>
            <w:tcBorders>
              <w:top w:val="single" w:color="auto" w:sz="4" w:space="0"/>
              <w:left w:val="single" w:color="auto" w:sz="4" w:space="0"/>
              <w:bottom w:val="single" w:color="auto" w:sz="4" w:space="0"/>
              <w:right w:val="single" w:color="auto" w:sz="4" w:space="0"/>
            </w:tcBorders>
            <w:vAlign w:val="center"/>
          </w:tcPr>
          <w:p w14:paraId="6665BFD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商品和服务支出</w:t>
            </w:r>
          </w:p>
        </w:tc>
        <w:tc>
          <w:tcPr>
            <w:tcW w:w="1470" w:type="dxa"/>
            <w:tcBorders>
              <w:top w:val="single" w:color="auto" w:sz="4" w:space="0"/>
              <w:left w:val="single" w:color="auto" w:sz="4" w:space="0"/>
              <w:bottom w:val="single" w:color="auto" w:sz="4" w:space="0"/>
              <w:right w:val="single" w:color="auto" w:sz="4" w:space="0"/>
            </w:tcBorders>
            <w:vAlign w:val="center"/>
          </w:tcPr>
          <w:p w14:paraId="244F6C0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47CC74C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vAlign w:val="center"/>
          </w:tcPr>
          <w:p w14:paraId="05E2CF2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70.75</w:t>
            </w:r>
          </w:p>
        </w:tc>
        <w:tc>
          <w:tcPr>
            <w:tcW w:w="900" w:type="dxa"/>
            <w:tcBorders>
              <w:top w:val="single" w:color="auto" w:sz="4" w:space="0"/>
              <w:left w:val="single" w:color="auto" w:sz="4" w:space="0"/>
              <w:bottom w:val="single" w:color="auto" w:sz="4" w:space="0"/>
              <w:right w:val="single" w:color="auto" w:sz="4" w:space="0"/>
            </w:tcBorders>
            <w:vAlign w:val="center"/>
          </w:tcPr>
          <w:p w14:paraId="388E0A96">
            <w:pPr>
              <w:jc w:val="right"/>
              <w:rPr>
                <w:rFonts w:hint="eastAsia" w:ascii="宋体" w:hAnsi="宋体" w:eastAsia="宋体" w:cs="宋体"/>
                <w:i w:val="0"/>
                <w:color w:val="000000"/>
                <w:sz w:val="18"/>
                <w:szCs w:val="18"/>
                <w:u w:val="none"/>
              </w:rPr>
            </w:pPr>
          </w:p>
        </w:tc>
      </w:tr>
      <w:tr w14:paraId="75AB18BE">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7E1FAF4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30201</w:t>
            </w:r>
          </w:p>
        </w:tc>
        <w:tc>
          <w:tcPr>
            <w:tcW w:w="2790" w:type="dxa"/>
            <w:tcBorders>
              <w:top w:val="single" w:color="auto" w:sz="4" w:space="0"/>
              <w:left w:val="single" w:color="auto" w:sz="4" w:space="0"/>
              <w:bottom w:val="single" w:color="auto" w:sz="4" w:space="0"/>
              <w:right w:val="single" w:color="auto" w:sz="4" w:space="0"/>
            </w:tcBorders>
            <w:vAlign w:val="center"/>
          </w:tcPr>
          <w:p w14:paraId="03654E0B">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办公费</w:t>
            </w:r>
          </w:p>
        </w:tc>
        <w:tc>
          <w:tcPr>
            <w:tcW w:w="1470" w:type="dxa"/>
            <w:tcBorders>
              <w:top w:val="single" w:color="auto" w:sz="4" w:space="0"/>
              <w:left w:val="single" w:color="auto" w:sz="4" w:space="0"/>
              <w:bottom w:val="single" w:color="auto" w:sz="4" w:space="0"/>
              <w:right w:val="single" w:color="auto" w:sz="4" w:space="0"/>
            </w:tcBorders>
            <w:vAlign w:val="center"/>
          </w:tcPr>
          <w:p w14:paraId="3BCD4E0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029ADAF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vAlign w:val="center"/>
          </w:tcPr>
          <w:p w14:paraId="04970B6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17.99</w:t>
            </w:r>
          </w:p>
        </w:tc>
        <w:tc>
          <w:tcPr>
            <w:tcW w:w="900" w:type="dxa"/>
            <w:tcBorders>
              <w:top w:val="single" w:color="auto" w:sz="4" w:space="0"/>
              <w:left w:val="single" w:color="auto" w:sz="4" w:space="0"/>
              <w:bottom w:val="single" w:color="auto" w:sz="4" w:space="0"/>
              <w:right w:val="single" w:color="auto" w:sz="4" w:space="0"/>
            </w:tcBorders>
            <w:vAlign w:val="center"/>
          </w:tcPr>
          <w:p w14:paraId="328175F0">
            <w:pPr>
              <w:jc w:val="right"/>
              <w:rPr>
                <w:rFonts w:hint="eastAsia" w:ascii="宋体" w:hAnsi="宋体" w:eastAsia="宋体" w:cs="宋体"/>
                <w:i w:val="0"/>
                <w:color w:val="000000"/>
                <w:sz w:val="18"/>
                <w:szCs w:val="18"/>
                <w:u w:val="none"/>
              </w:rPr>
            </w:pPr>
          </w:p>
        </w:tc>
      </w:tr>
      <w:tr w14:paraId="6936CDC5">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4BE800A4">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30205</w:t>
            </w:r>
          </w:p>
        </w:tc>
        <w:tc>
          <w:tcPr>
            <w:tcW w:w="2790" w:type="dxa"/>
            <w:tcBorders>
              <w:top w:val="single" w:color="auto" w:sz="4" w:space="0"/>
              <w:left w:val="single" w:color="auto" w:sz="4" w:space="0"/>
              <w:bottom w:val="single" w:color="auto" w:sz="4" w:space="0"/>
              <w:right w:val="single" w:color="auto" w:sz="4" w:space="0"/>
            </w:tcBorders>
            <w:vAlign w:val="center"/>
          </w:tcPr>
          <w:p w14:paraId="1997092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水费</w:t>
            </w:r>
          </w:p>
        </w:tc>
        <w:tc>
          <w:tcPr>
            <w:tcW w:w="1470" w:type="dxa"/>
            <w:tcBorders>
              <w:top w:val="single" w:color="auto" w:sz="4" w:space="0"/>
              <w:left w:val="single" w:color="auto" w:sz="4" w:space="0"/>
              <w:bottom w:val="single" w:color="auto" w:sz="4" w:space="0"/>
              <w:right w:val="single" w:color="auto" w:sz="4" w:space="0"/>
            </w:tcBorders>
            <w:vAlign w:val="center"/>
          </w:tcPr>
          <w:p w14:paraId="689AAF0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346364A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vAlign w:val="center"/>
          </w:tcPr>
          <w:p w14:paraId="230B240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0.50</w:t>
            </w:r>
          </w:p>
        </w:tc>
        <w:tc>
          <w:tcPr>
            <w:tcW w:w="900" w:type="dxa"/>
            <w:tcBorders>
              <w:top w:val="single" w:color="auto" w:sz="4" w:space="0"/>
              <w:left w:val="single" w:color="auto" w:sz="4" w:space="0"/>
              <w:bottom w:val="single" w:color="auto" w:sz="4" w:space="0"/>
              <w:right w:val="single" w:color="auto" w:sz="4" w:space="0"/>
            </w:tcBorders>
            <w:vAlign w:val="center"/>
          </w:tcPr>
          <w:p w14:paraId="457B3A6F">
            <w:pPr>
              <w:jc w:val="right"/>
              <w:rPr>
                <w:rFonts w:hint="eastAsia" w:ascii="宋体" w:hAnsi="宋体" w:eastAsia="宋体" w:cs="宋体"/>
                <w:i w:val="0"/>
                <w:color w:val="000000"/>
                <w:sz w:val="18"/>
                <w:szCs w:val="18"/>
                <w:u w:val="none"/>
              </w:rPr>
            </w:pPr>
          </w:p>
        </w:tc>
      </w:tr>
      <w:tr w14:paraId="38F59B3C">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4C23A60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30206</w:t>
            </w:r>
          </w:p>
        </w:tc>
        <w:tc>
          <w:tcPr>
            <w:tcW w:w="2790" w:type="dxa"/>
            <w:tcBorders>
              <w:top w:val="single" w:color="auto" w:sz="4" w:space="0"/>
              <w:left w:val="single" w:color="auto" w:sz="4" w:space="0"/>
              <w:bottom w:val="single" w:color="auto" w:sz="4" w:space="0"/>
              <w:right w:val="single" w:color="auto" w:sz="4" w:space="0"/>
            </w:tcBorders>
            <w:vAlign w:val="center"/>
          </w:tcPr>
          <w:p w14:paraId="2CFF542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电费</w:t>
            </w:r>
          </w:p>
        </w:tc>
        <w:tc>
          <w:tcPr>
            <w:tcW w:w="1470" w:type="dxa"/>
            <w:tcBorders>
              <w:top w:val="single" w:color="auto" w:sz="4" w:space="0"/>
              <w:left w:val="single" w:color="auto" w:sz="4" w:space="0"/>
              <w:bottom w:val="single" w:color="auto" w:sz="4" w:space="0"/>
              <w:right w:val="single" w:color="auto" w:sz="4" w:space="0"/>
            </w:tcBorders>
            <w:vAlign w:val="center"/>
          </w:tcPr>
          <w:p w14:paraId="2E68F708">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2E54BF8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vAlign w:val="center"/>
          </w:tcPr>
          <w:p w14:paraId="760A17B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8.00</w:t>
            </w:r>
          </w:p>
        </w:tc>
        <w:tc>
          <w:tcPr>
            <w:tcW w:w="900" w:type="dxa"/>
            <w:tcBorders>
              <w:top w:val="single" w:color="auto" w:sz="4" w:space="0"/>
              <w:left w:val="single" w:color="auto" w:sz="4" w:space="0"/>
              <w:bottom w:val="single" w:color="auto" w:sz="4" w:space="0"/>
              <w:right w:val="single" w:color="auto" w:sz="4" w:space="0"/>
            </w:tcBorders>
            <w:vAlign w:val="center"/>
          </w:tcPr>
          <w:p w14:paraId="1B4D1CA5">
            <w:pPr>
              <w:jc w:val="right"/>
              <w:rPr>
                <w:rFonts w:hint="eastAsia" w:ascii="宋体" w:hAnsi="宋体" w:eastAsia="宋体" w:cs="宋体"/>
                <w:i w:val="0"/>
                <w:color w:val="000000"/>
                <w:sz w:val="18"/>
                <w:szCs w:val="18"/>
                <w:u w:val="none"/>
              </w:rPr>
            </w:pPr>
          </w:p>
        </w:tc>
      </w:tr>
      <w:tr w14:paraId="3EFEE298">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36ACE2B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30208</w:t>
            </w:r>
          </w:p>
        </w:tc>
        <w:tc>
          <w:tcPr>
            <w:tcW w:w="2790" w:type="dxa"/>
            <w:tcBorders>
              <w:top w:val="single" w:color="auto" w:sz="4" w:space="0"/>
              <w:left w:val="single" w:color="auto" w:sz="4" w:space="0"/>
              <w:bottom w:val="single" w:color="auto" w:sz="4" w:space="0"/>
              <w:right w:val="single" w:color="auto" w:sz="4" w:space="0"/>
            </w:tcBorders>
            <w:vAlign w:val="center"/>
          </w:tcPr>
          <w:p w14:paraId="3E94230F">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取暖费</w:t>
            </w:r>
          </w:p>
        </w:tc>
        <w:tc>
          <w:tcPr>
            <w:tcW w:w="1470" w:type="dxa"/>
            <w:tcBorders>
              <w:top w:val="single" w:color="auto" w:sz="4" w:space="0"/>
              <w:left w:val="single" w:color="auto" w:sz="4" w:space="0"/>
              <w:bottom w:val="single" w:color="auto" w:sz="4" w:space="0"/>
              <w:right w:val="single" w:color="auto" w:sz="4" w:space="0"/>
            </w:tcBorders>
            <w:vAlign w:val="center"/>
          </w:tcPr>
          <w:p w14:paraId="275D3F2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3D47A6F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vAlign w:val="center"/>
          </w:tcPr>
          <w:p w14:paraId="26837EC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0.44</w:t>
            </w:r>
          </w:p>
        </w:tc>
        <w:tc>
          <w:tcPr>
            <w:tcW w:w="900" w:type="dxa"/>
            <w:tcBorders>
              <w:top w:val="single" w:color="auto" w:sz="4" w:space="0"/>
              <w:left w:val="single" w:color="auto" w:sz="4" w:space="0"/>
              <w:bottom w:val="single" w:color="auto" w:sz="4" w:space="0"/>
              <w:right w:val="single" w:color="auto" w:sz="4" w:space="0"/>
            </w:tcBorders>
            <w:vAlign w:val="center"/>
          </w:tcPr>
          <w:p w14:paraId="6A85DA5C">
            <w:pPr>
              <w:jc w:val="right"/>
              <w:rPr>
                <w:rFonts w:hint="eastAsia" w:ascii="宋体" w:hAnsi="宋体" w:eastAsia="宋体" w:cs="宋体"/>
                <w:i w:val="0"/>
                <w:color w:val="000000"/>
                <w:sz w:val="18"/>
                <w:szCs w:val="18"/>
                <w:u w:val="none"/>
              </w:rPr>
            </w:pPr>
          </w:p>
        </w:tc>
      </w:tr>
      <w:tr w14:paraId="557CDE5C">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74BE5C8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30213</w:t>
            </w:r>
          </w:p>
        </w:tc>
        <w:tc>
          <w:tcPr>
            <w:tcW w:w="2790" w:type="dxa"/>
            <w:tcBorders>
              <w:top w:val="single" w:color="auto" w:sz="4" w:space="0"/>
              <w:left w:val="single" w:color="auto" w:sz="4" w:space="0"/>
              <w:bottom w:val="single" w:color="auto" w:sz="4" w:space="0"/>
              <w:right w:val="single" w:color="auto" w:sz="4" w:space="0"/>
            </w:tcBorders>
            <w:vAlign w:val="center"/>
          </w:tcPr>
          <w:p w14:paraId="2799A84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维修(护)费</w:t>
            </w:r>
          </w:p>
        </w:tc>
        <w:tc>
          <w:tcPr>
            <w:tcW w:w="1470" w:type="dxa"/>
            <w:tcBorders>
              <w:top w:val="single" w:color="auto" w:sz="4" w:space="0"/>
              <w:left w:val="single" w:color="auto" w:sz="4" w:space="0"/>
              <w:bottom w:val="single" w:color="auto" w:sz="4" w:space="0"/>
              <w:right w:val="single" w:color="auto" w:sz="4" w:space="0"/>
            </w:tcBorders>
            <w:vAlign w:val="center"/>
          </w:tcPr>
          <w:p w14:paraId="0A3A31D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244575D7">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vAlign w:val="center"/>
          </w:tcPr>
          <w:p w14:paraId="4FE18E55">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41.84</w:t>
            </w:r>
          </w:p>
        </w:tc>
        <w:tc>
          <w:tcPr>
            <w:tcW w:w="900" w:type="dxa"/>
            <w:tcBorders>
              <w:top w:val="single" w:color="auto" w:sz="4" w:space="0"/>
              <w:left w:val="single" w:color="auto" w:sz="4" w:space="0"/>
              <w:bottom w:val="single" w:color="auto" w:sz="4" w:space="0"/>
              <w:right w:val="single" w:color="auto" w:sz="4" w:space="0"/>
            </w:tcBorders>
            <w:vAlign w:val="center"/>
          </w:tcPr>
          <w:p w14:paraId="71BBA444">
            <w:pPr>
              <w:jc w:val="right"/>
              <w:rPr>
                <w:rFonts w:hint="eastAsia" w:ascii="宋体" w:hAnsi="宋体" w:eastAsia="宋体" w:cs="宋体"/>
                <w:i w:val="0"/>
                <w:color w:val="000000"/>
                <w:sz w:val="18"/>
                <w:szCs w:val="18"/>
                <w:u w:val="none"/>
              </w:rPr>
            </w:pPr>
          </w:p>
        </w:tc>
      </w:tr>
      <w:tr w14:paraId="7B172348">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47BACBA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30239</w:t>
            </w:r>
          </w:p>
        </w:tc>
        <w:tc>
          <w:tcPr>
            <w:tcW w:w="2790" w:type="dxa"/>
            <w:tcBorders>
              <w:top w:val="single" w:color="auto" w:sz="4" w:space="0"/>
              <w:left w:val="single" w:color="auto" w:sz="4" w:space="0"/>
              <w:bottom w:val="single" w:color="auto" w:sz="4" w:space="0"/>
              <w:right w:val="single" w:color="auto" w:sz="4" w:space="0"/>
            </w:tcBorders>
            <w:vAlign w:val="center"/>
          </w:tcPr>
          <w:p w14:paraId="68E7DC15">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其他交通费用</w:t>
            </w:r>
          </w:p>
        </w:tc>
        <w:tc>
          <w:tcPr>
            <w:tcW w:w="1470" w:type="dxa"/>
            <w:tcBorders>
              <w:top w:val="single" w:color="auto" w:sz="4" w:space="0"/>
              <w:left w:val="single" w:color="auto" w:sz="4" w:space="0"/>
              <w:bottom w:val="single" w:color="auto" w:sz="4" w:space="0"/>
              <w:right w:val="single" w:color="auto" w:sz="4" w:space="0"/>
            </w:tcBorders>
            <w:vAlign w:val="center"/>
          </w:tcPr>
          <w:p w14:paraId="1BC7E10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14F2193E">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140" w:type="dxa"/>
            <w:tcBorders>
              <w:top w:val="single" w:color="auto" w:sz="4" w:space="0"/>
              <w:left w:val="single" w:color="auto" w:sz="4" w:space="0"/>
              <w:bottom w:val="single" w:color="auto" w:sz="4" w:space="0"/>
              <w:right w:val="single" w:color="auto" w:sz="4" w:space="0"/>
            </w:tcBorders>
            <w:vAlign w:val="center"/>
          </w:tcPr>
          <w:p w14:paraId="207BA832">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1.98</w:t>
            </w:r>
          </w:p>
        </w:tc>
        <w:tc>
          <w:tcPr>
            <w:tcW w:w="900" w:type="dxa"/>
            <w:tcBorders>
              <w:top w:val="single" w:color="auto" w:sz="4" w:space="0"/>
              <w:left w:val="single" w:color="auto" w:sz="4" w:space="0"/>
              <w:bottom w:val="single" w:color="auto" w:sz="4" w:space="0"/>
              <w:right w:val="single" w:color="auto" w:sz="4" w:space="0"/>
            </w:tcBorders>
            <w:vAlign w:val="center"/>
          </w:tcPr>
          <w:p w14:paraId="37EDC21F">
            <w:pPr>
              <w:jc w:val="right"/>
              <w:rPr>
                <w:rFonts w:hint="eastAsia" w:ascii="宋体" w:hAnsi="宋体" w:eastAsia="宋体" w:cs="宋体"/>
                <w:i w:val="0"/>
                <w:color w:val="000000"/>
                <w:sz w:val="18"/>
                <w:szCs w:val="18"/>
                <w:u w:val="none"/>
              </w:rPr>
            </w:pPr>
          </w:p>
        </w:tc>
      </w:tr>
      <w:tr w14:paraId="04759E23">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0138E29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w:t>
            </w:r>
          </w:p>
        </w:tc>
        <w:tc>
          <w:tcPr>
            <w:tcW w:w="2790" w:type="dxa"/>
            <w:tcBorders>
              <w:top w:val="single" w:color="auto" w:sz="4" w:space="0"/>
              <w:left w:val="single" w:color="auto" w:sz="4" w:space="0"/>
              <w:bottom w:val="single" w:color="auto" w:sz="4" w:space="0"/>
              <w:right w:val="single" w:color="auto" w:sz="4" w:space="0"/>
            </w:tcBorders>
            <w:vAlign w:val="center"/>
          </w:tcPr>
          <w:p w14:paraId="11E8CF7A">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对个人和家庭的补助</w:t>
            </w:r>
          </w:p>
        </w:tc>
        <w:tc>
          <w:tcPr>
            <w:tcW w:w="1470" w:type="dxa"/>
            <w:tcBorders>
              <w:top w:val="single" w:color="auto" w:sz="4" w:space="0"/>
              <w:left w:val="single" w:color="auto" w:sz="4" w:space="0"/>
              <w:bottom w:val="single" w:color="auto" w:sz="4" w:space="0"/>
              <w:right w:val="single" w:color="auto" w:sz="4" w:space="0"/>
            </w:tcBorders>
            <w:vAlign w:val="center"/>
          </w:tcPr>
          <w:p w14:paraId="296D4C6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2BBFC153">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210.65</w:t>
            </w:r>
          </w:p>
        </w:tc>
        <w:tc>
          <w:tcPr>
            <w:tcW w:w="1140" w:type="dxa"/>
            <w:tcBorders>
              <w:top w:val="single" w:color="auto" w:sz="4" w:space="0"/>
              <w:left w:val="single" w:color="auto" w:sz="4" w:space="0"/>
              <w:bottom w:val="single" w:color="auto" w:sz="4" w:space="0"/>
              <w:right w:val="single" w:color="auto" w:sz="4" w:space="0"/>
            </w:tcBorders>
            <w:vAlign w:val="center"/>
          </w:tcPr>
          <w:p w14:paraId="00A56E7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vAlign w:val="center"/>
          </w:tcPr>
          <w:p w14:paraId="03239D12">
            <w:pPr>
              <w:jc w:val="right"/>
              <w:rPr>
                <w:rFonts w:hint="eastAsia" w:ascii="宋体" w:hAnsi="宋体" w:eastAsia="宋体" w:cs="宋体"/>
                <w:i w:val="0"/>
                <w:color w:val="000000"/>
                <w:sz w:val="18"/>
                <w:szCs w:val="18"/>
                <w:u w:val="none"/>
              </w:rPr>
            </w:pPr>
          </w:p>
        </w:tc>
      </w:tr>
      <w:tr w14:paraId="7B1E4819">
        <w:tblPrEx>
          <w:tblCellMar>
            <w:top w:w="15" w:type="dxa"/>
            <w:left w:w="15" w:type="dxa"/>
            <w:bottom w:w="15" w:type="dxa"/>
            <w:right w:w="15" w:type="dxa"/>
          </w:tblCellMar>
        </w:tblPrEx>
        <w:trPr>
          <w:trHeight w:val="434" w:hRule="atLeast"/>
        </w:trPr>
        <w:tc>
          <w:tcPr>
            <w:tcW w:w="1197" w:type="dxa"/>
            <w:tcBorders>
              <w:top w:val="single" w:color="auto" w:sz="4" w:space="0"/>
              <w:left w:val="single" w:color="auto" w:sz="4" w:space="0"/>
              <w:bottom w:val="single" w:color="auto" w:sz="4" w:space="0"/>
              <w:right w:val="single" w:color="auto" w:sz="4" w:space="0"/>
            </w:tcBorders>
            <w:vAlign w:val="center"/>
          </w:tcPr>
          <w:p w14:paraId="1114DF28">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30304</w:t>
            </w:r>
          </w:p>
        </w:tc>
        <w:tc>
          <w:tcPr>
            <w:tcW w:w="2790" w:type="dxa"/>
            <w:tcBorders>
              <w:top w:val="single" w:color="auto" w:sz="4" w:space="0"/>
              <w:left w:val="single" w:color="auto" w:sz="4" w:space="0"/>
              <w:bottom w:val="single" w:color="auto" w:sz="4" w:space="0"/>
              <w:right w:val="single" w:color="auto" w:sz="4" w:space="0"/>
            </w:tcBorders>
            <w:vAlign w:val="center"/>
          </w:tcPr>
          <w:p w14:paraId="342593A9">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抚恤金</w:t>
            </w:r>
          </w:p>
        </w:tc>
        <w:tc>
          <w:tcPr>
            <w:tcW w:w="1470" w:type="dxa"/>
            <w:tcBorders>
              <w:top w:val="single" w:color="auto" w:sz="4" w:space="0"/>
              <w:left w:val="single" w:color="auto" w:sz="4" w:space="0"/>
              <w:bottom w:val="single" w:color="auto" w:sz="4" w:space="0"/>
              <w:right w:val="single" w:color="auto" w:sz="4" w:space="0"/>
            </w:tcBorders>
            <w:vAlign w:val="center"/>
          </w:tcPr>
          <w:p w14:paraId="47967DBD">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3EE4B5BF">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6.13</w:t>
            </w:r>
          </w:p>
        </w:tc>
        <w:tc>
          <w:tcPr>
            <w:tcW w:w="1140" w:type="dxa"/>
            <w:tcBorders>
              <w:top w:val="single" w:color="auto" w:sz="4" w:space="0"/>
              <w:left w:val="single" w:color="auto" w:sz="4" w:space="0"/>
              <w:bottom w:val="single" w:color="auto" w:sz="4" w:space="0"/>
              <w:right w:val="single" w:color="auto" w:sz="4" w:space="0"/>
            </w:tcBorders>
            <w:vAlign w:val="center"/>
          </w:tcPr>
          <w:p w14:paraId="1121C05A">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vAlign w:val="center"/>
          </w:tcPr>
          <w:p w14:paraId="26976B83">
            <w:pPr>
              <w:jc w:val="right"/>
              <w:rPr>
                <w:rFonts w:hint="eastAsia" w:ascii="宋体" w:hAnsi="宋体" w:eastAsia="宋体" w:cs="宋体"/>
                <w:i w:val="0"/>
                <w:color w:val="000000"/>
                <w:sz w:val="18"/>
                <w:szCs w:val="18"/>
                <w:u w:val="none"/>
              </w:rPr>
            </w:pPr>
          </w:p>
        </w:tc>
      </w:tr>
      <w:tr w14:paraId="1A497699">
        <w:tblPrEx>
          <w:tblCellMar>
            <w:top w:w="15" w:type="dxa"/>
            <w:left w:w="15" w:type="dxa"/>
            <w:bottom w:w="15" w:type="dxa"/>
            <w:right w:w="15" w:type="dxa"/>
          </w:tblCellMar>
        </w:tblPrEx>
        <w:trPr>
          <w:trHeight w:val="444" w:hRule="atLeast"/>
        </w:trPr>
        <w:tc>
          <w:tcPr>
            <w:tcW w:w="1197" w:type="dxa"/>
            <w:tcBorders>
              <w:top w:val="single" w:color="auto" w:sz="4" w:space="0"/>
              <w:left w:val="single" w:color="auto" w:sz="4" w:space="0"/>
              <w:bottom w:val="single" w:color="auto" w:sz="4" w:space="0"/>
              <w:right w:val="single" w:color="auto" w:sz="4" w:space="0"/>
            </w:tcBorders>
            <w:vAlign w:val="center"/>
          </w:tcPr>
          <w:p w14:paraId="5342C3F0">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30305</w:t>
            </w:r>
          </w:p>
        </w:tc>
        <w:tc>
          <w:tcPr>
            <w:tcW w:w="2790" w:type="dxa"/>
            <w:tcBorders>
              <w:top w:val="single" w:color="auto" w:sz="4" w:space="0"/>
              <w:left w:val="single" w:color="auto" w:sz="4" w:space="0"/>
              <w:bottom w:val="single" w:color="auto" w:sz="4" w:space="0"/>
              <w:right w:val="single" w:color="auto" w:sz="4" w:space="0"/>
            </w:tcBorders>
            <w:vAlign w:val="center"/>
          </w:tcPr>
          <w:p w14:paraId="4E762B2D">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生活补助</w:t>
            </w:r>
          </w:p>
        </w:tc>
        <w:tc>
          <w:tcPr>
            <w:tcW w:w="1470" w:type="dxa"/>
            <w:tcBorders>
              <w:top w:val="single" w:color="auto" w:sz="4" w:space="0"/>
              <w:left w:val="single" w:color="auto" w:sz="4" w:space="0"/>
              <w:bottom w:val="single" w:color="auto" w:sz="4" w:space="0"/>
              <w:right w:val="single" w:color="auto" w:sz="4" w:space="0"/>
            </w:tcBorders>
            <w:vAlign w:val="center"/>
          </w:tcPr>
          <w:p w14:paraId="2D25B08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32CA93CC">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w:t>
            </w:r>
          </w:p>
        </w:tc>
        <w:tc>
          <w:tcPr>
            <w:tcW w:w="1140" w:type="dxa"/>
            <w:tcBorders>
              <w:top w:val="single" w:color="auto" w:sz="4" w:space="0"/>
              <w:left w:val="single" w:color="auto" w:sz="4" w:space="0"/>
              <w:bottom w:val="single" w:color="auto" w:sz="4" w:space="0"/>
              <w:right w:val="single" w:color="auto" w:sz="4" w:space="0"/>
            </w:tcBorders>
            <w:vAlign w:val="center"/>
          </w:tcPr>
          <w:p w14:paraId="3A0DB479">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vAlign w:val="center"/>
          </w:tcPr>
          <w:p w14:paraId="4F444A86">
            <w:pPr>
              <w:jc w:val="right"/>
              <w:rPr>
                <w:rFonts w:hint="eastAsia" w:ascii="宋体" w:hAnsi="宋体" w:eastAsia="宋体" w:cs="宋体"/>
                <w:i w:val="0"/>
                <w:color w:val="000000"/>
                <w:sz w:val="18"/>
                <w:szCs w:val="18"/>
                <w:u w:val="none"/>
              </w:rPr>
            </w:pPr>
          </w:p>
        </w:tc>
      </w:tr>
      <w:tr w14:paraId="630B2EBB">
        <w:tblPrEx>
          <w:tblCellMar>
            <w:top w:w="15" w:type="dxa"/>
            <w:left w:w="15" w:type="dxa"/>
            <w:bottom w:w="15" w:type="dxa"/>
            <w:right w:w="15" w:type="dxa"/>
          </w:tblCellMar>
        </w:tblPrEx>
        <w:trPr>
          <w:trHeight w:val="444" w:hRule="atLeast"/>
        </w:trPr>
        <w:tc>
          <w:tcPr>
            <w:tcW w:w="1197" w:type="dxa"/>
            <w:tcBorders>
              <w:top w:val="single" w:color="auto" w:sz="4" w:space="0"/>
              <w:left w:val="single" w:color="auto" w:sz="4" w:space="0"/>
              <w:bottom w:val="single" w:color="auto" w:sz="4" w:space="0"/>
              <w:right w:val="single" w:color="auto" w:sz="4" w:space="0"/>
            </w:tcBorders>
            <w:vAlign w:val="center"/>
          </w:tcPr>
          <w:p w14:paraId="2175B79C">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30309</w:t>
            </w:r>
          </w:p>
        </w:tc>
        <w:tc>
          <w:tcPr>
            <w:tcW w:w="2790" w:type="dxa"/>
            <w:tcBorders>
              <w:top w:val="single" w:color="auto" w:sz="4" w:space="0"/>
              <w:left w:val="single" w:color="auto" w:sz="4" w:space="0"/>
              <w:bottom w:val="single" w:color="auto" w:sz="4" w:space="0"/>
              <w:right w:val="single" w:color="auto" w:sz="4" w:space="0"/>
            </w:tcBorders>
            <w:vAlign w:val="center"/>
          </w:tcPr>
          <w:p w14:paraId="5F799381">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  奖励金</w:t>
            </w:r>
          </w:p>
        </w:tc>
        <w:tc>
          <w:tcPr>
            <w:tcW w:w="1470" w:type="dxa"/>
            <w:tcBorders>
              <w:top w:val="single" w:color="auto" w:sz="4" w:space="0"/>
              <w:left w:val="single" w:color="auto" w:sz="4" w:space="0"/>
              <w:bottom w:val="single" w:color="auto" w:sz="4" w:space="0"/>
              <w:right w:val="single" w:color="auto" w:sz="4" w:space="0"/>
            </w:tcBorders>
            <w:vAlign w:val="center"/>
          </w:tcPr>
          <w:p w14:paraId="6B43B261">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1320" w:type="dxa"/>
            <w:tcBorders>
              <w:top w:val="single" w:color="auto" w:sz="4" w:space="0"/>
              <w:left w:val="single" w:color="auto" w:sz="4" w:space="0"/>
              <w:bottom w:val="single" w:color="auto" w:sz="4" w:space="0"/>
              <w:right w:val="single" w:color="auto" w:sz="4" w:space="0"/>
            </w:tcBorders>
            <w:vAlign w:val="center"/>
          </w:tcPr>
          <w:p w14:paraId="7F5B3BC0">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195.52</w:t>
            </w:r>
          </w:p>
        </w:tc>
        <w:tc>
          <w:tcPr>
            <w:tcW w:w="1140" w:type="dxa"/>
            <w:tcBorders>
              <w:top w:val="single" w:color="auto" w:sz="4" w:space="0"/>
              <w:left w:val="single" w:color="auto" w:sz="4" w:space="0"/>
              <w:bottom w:val="single" w:color="auto" w:sz="4" w:space="0"/>
              <w:right w:val="single" w:color="auto" w:sz="4" w:space="0"/>
            </w:tcBorders>
            <w:vAlign w:val="center"/>
          </w:tcPr>
          <w:p w14:paraId="6D5B57F6">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0.00</w:t>
            </w:r>
          </w:p>
        </w:tc>
        <w:tc>
          <w:tcPr>
            <w:tcW w:w="900" w:type="dxa"/>
            <w:tcBorders>
              <w:top w:val="single" w:color="auto" w:sz="4" w:space="0"/>
              <w:left w:val="single" w:color="auto" w:sz="4" w:space="0"/>
              <w:bottom w:val="single" w:color="auto" w:sz="4" w:space="0"/>
              <w:right w:val="single" w:color="auto" w:sz="4" w:space="0"/>
            </w:tcBorders>
            <w:vAlign w:val="center"/>
          </w:tcPr>
          <w:p w14:paraId="2B46329B">
            <w:pPr>
              <w:jc w:val="right"/>
              <w:rPr>
                <w:rFonts w:hint="eastAsia" w:ascii="宋体" w:hAnsi="宋体" w:eastAsia="宋体" w:cs="宋体"/>
                <w:i w:val="0"/>
                <w:color w:val="000000"/>
                <w:sz w:val="18"/>
                <w:szCs w:val="18"/>
                <w:u w:val="none"/>
              </w:rPr>
            </w:pPr>
          </w:p>
        </w:tc>
      </w:tr>
    </w:tbl>
    <w:p w14:paraId="3DEAFC03">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14:paraId="70EE9997">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14:paraId="289FB643">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14:paraId="161EF2DC">
      <w:pPr>
        <w:rPr>
          <w:rFonts w:ascii="宋体" w:hAnsi="宋体" w:cs="宋体"/>
          <w:b/>
          <w:bCs/>
          <w:szCs w:val="21"/>
        </w:rPr>
      </w:pPr>
      <w:r>
        <w:rPr>
          <w:rFonts w:hint="eastAsia" w:ascii="宋体" w:hAnsi="宋体" w:cs="宋体"/>
          <w:b/>
          <w:bCs/>
          <w:szCs w:val="21"/>
        </w:rPr>
        <w:t xml:space="preserve">        公开07表</w:t>
      </w:r>
    </w:p>
    <w:p w14:paraId="156AF700">
      <w:pPr>
        <w:rPr>
          <w:rFonts w:ascii="宋体" w:hAnsi="宋体" w:cs="宋体"/>
          <w:b/>
          <w:bCs/>
          <w:szCs w:val="21"/>
        </w:rPr>
      </w:pPr>
      <w:r>
        <w:rPr>
          <w:rFonts w:hint="eastAsia" w:ascii="宋体" w:hAnsi="宋体" w:cs="宋体"/>
          <w:b/>
          <w:bCs/>
          <w:szCs w:val="21"/>
        </w:rPr>
        <w:t>编制部门：                                                            金额单位：万元</w:t>
      </w:r>
    </w:p>
    <w:tbl>
      <w:tblPr>
        <w:tblStyle w:val="9"/>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14:paraId="2E1706CD">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1817C594">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14:paraId="1A34B298">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14:paraId="1CF9950A">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14:paraId="2B279CB9">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14:paraId="0D5442DE">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2C584F80">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14:paraId="14936022">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14:paraId="2226B0F2">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14:paraId="4AC00E3A">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14:paraId="271BB559">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14:paraId="4171EE99">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14:paraId="6EA8E9F5">
            <w:pPr>
              <w:jc w:val="center"/>
              <w:rPr>
                <w:rFonts w:ascii="宋体" w:hAnsi="宋体" w:cs="宋体"/>
                <w:b/>
                <w:color w:val="000000"/>
                <w:szCs w:val="21"/>
              </w:rPr>
            </w:pPr>
          </w:p>
        </w:tc>
      </w:tr>
      <w:tr w14:paraId="6BDC0D1E">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1EC0069A">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14:paraId="1CB9FD64">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14:paraId="2E1A444B">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14:paraId="7368C92B">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14:paraId="698640FF">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14:paraId="70D42A32">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14:paraId="0DF29E1D">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14:paraId="02E4881F">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14:paraId="534C7859">
            <w:pPr>
              <w:jc w:val="center"/>
              <w:rPr>
                <w:rFonts w:ascii="宋体" w:hAnsi="宋体" w:cs="宋体"/>
                <w:b/>
                <w:color w:val="000000"/>
                <w:szCs w:val="21"/>
              </w:rPr>
            </w:pPr>
          </w:p>
        </w:tc>
      </w:tr>
      <w:tr w14:paraId="02FB2479">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F53A2C7">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14:paraId="2B429069">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14:paraId="0A5262E5">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14:paraId="6E958F8B">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14:paraId="000D932C">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14:paraId="3030E118">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14:paraId="5B74A656">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14:paraId="517552E5">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14:paraId="2FA120FA">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14:paraId="7004B20C">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62102F72">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14:paraId="1C340B01">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2EAF1232">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14:paraId="4B186CA9">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14:paraId="0C2C6ACB">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14:paraId="76EA0AA6">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243DC0AF">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14:paraId="753E348C">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73258BF3">
            <w:pPr>
              <w:jc w:val="center"/>
              <w:rPr>
                <w:rFonts w:ascii="宋体" w:hAnsi="宋体" w:cs="宋体"/>
                <w:b/>
                <w:color w:val="000000"/>
                <w:szCs w:val="21"/>
              </w:rPr>
            </w:pPr>
          </w:p>
        </w:tc>
      </w:tr>
      <w:tr w14:paraId="51ABCBD9">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3FAF69B1">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14:paraId="4F19A354">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14:paraId="2A225097">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14:paraId="3E679FB3">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14:paraId="1592A503">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14:paraId="0492F3C2">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14:paraId="7B10AAF0">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14:paraId="1DC2D7B6">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59128081">
            <w:pPr>
              <w:jc w:val="center"/>
              <w:rPr>
                <w:rFonts w:ascii="宋体" w:hAnsi="宋体" w:cs="宋体"/>
                <w:b/>
                <w:color w:val="000000"/>
                <w:szCs w:val="21"/>
              </w:rPr>
            </w:pPr>
          </w:p>
        </w:tc>
      </w:tr>
    </w:tbl>
    <w:p w14:paraId="3B6CD4B6">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14:paraId="36A799E9">
      <w:pPr>
        <w:rPr>
          <w:rFonts w:ascii="宋体" w:hAnsi="宋体" w:cs="宋体"/>
          <w:szCs w:val="21"/>
        </w:rPr>
      </w:pPr>
    </w:p>
    <w:p w14:paraId="6635DC65">
      <w:pPr>
        <w:rPr>
          <w:rFonts w:ascii="宋体" w:hAnsi="宋体" w:cs="宋体"/>
          <w:szCs w:val="21"/>
        </w:rPr>
      </w:pPr>
    </w:p>
    <w:p w14:paraId="56F5C362">
      <w:pPr>
        <w:rPr>
          <w:rFonts w:ascii="宋体" w:hAnsi="宋体" w:cs="宋体"/>
          <w:szCs w:val="21"/>
        </w:rPr>
      </w:pPr>
    </w:p>
    <w:p w14:paraId="3827CADD">
      <w:pPr>
        <w:rPr>
          <w:rFonts w:ascii="宋体" w:hAnsi="宋体" w:cs="宋体"/>
          <w:szCs w:val="21"/>
        </w:rPr>
      </w:pPr>
    </w:p>
    <w:p w14:paraId="13FE371D">
      <w:pPr>
        <w:rPr>
          <w:rFonts w:ascii="宋体" w:hAnsi="宋体" w:cs="宋体"/>
          <w:szCs w:val="21"/>
        </w:rPr>
      </w:pPr>
    </w:p>
    <w:p w14:paraId="285C8072">
      <w:pPr>
        <w:rPr>
          <w:rFonts w:ascii="宋体" w:hAnsi="宋体" w:cs="宋体"/>
          <w:szCs w:val="21"/>
        </w:rPr>
      </w:pPr>
    </w:p>
    <w:p w14:paraId="2D25D2A8">
      <w:pPr>
        <w:rPr>
          <w:rFonts w:ascii="宋体" w:hAnsi="宋体" w:cs="宋体"/>
          <w:szCs w:val="21"/>
        </w:rPr>
      </w:pPr>
    </w:p>
    <w:p w14:paraId="5030C10E">
      <w:pPr>
        <w:rPr>
          <w:rFonts w:ascii="宋体" w:hAnsi="宋体" w:cs="宋体"/>
          <w:szCs w:val="21"/>
        </w:rPr>
      </w:pPr>
    </w:p>
    <w:p w14:paraId="4457D495">
      <w:pPr>
        <w:rPr>
          <w:rFonts w:ascii="宋体" w:hAnsi="宋体" w:cs="宋体"/>
          <w:szCs w:val="21"/>
        </w:rPr>
      </w:pPr>
    </w:p>
    <w:p w14:paraId="15C25BAA">
      <w:pPr>
        <w:rPr>
          <w:rFonts w:ascii="宋体" w:hAnsi="宋体" w:cs="宋体"/>
          <w:szCs w:val="21"/>
        </w:rPr>
      </w:pPr>
    </w:p>
    <w:p w14:paraId="56125DC0">
      <w:pPr>
        <w:rPr>
          <w:rFonts w:ascii="宋体" w:hAnsi="宋体" w:cs="宋体"/>
          <w:szCs w:val="21"/>
        </w:rPr>
      </w:pPr>
    </w:p>
    <w:p w14:paraId="032F8B8A">
      <w:pPr>
        <w:rPr>
          <w:rFonts w:ascii="宋体" w:hAnsi="宋体" w:cs="宋体"/>
          <w:szCs w:val="21"/>
        </w:rPr>
      </w:pPr>
    </w:p>
    <w:p w14:paraId="32777643">
      <w:pPr>
        <w:rPr>
          <w:rFonts w:ascii="宋体" w:hAnsi="宋体" w:cs="宋体"/>
          <w:szCs w:val="21"/>
        </w:rPr>
      </w:pPr>
    </w:p>
    <w:p w14:paraId="00D6C6A2">
      <w:pPr>
        <w:rPr>
          <w:rFonts w:ascii="宋体" w:hAnsi="宋体" w:cs="宋体"/>
          <w:szCs w:val="21"/>
        </w:rPr>
      </w:pPr>
    </w:p>
    <w:p w14:paraId="7BDB1DB9">
      <w:pPr>
        <w:rPr>
          <w:rFonts w:ascii="宋体" w:hAnsi="宋体" w:cs="宋体"/>
          <w:szCs w:val="21"/>
        </w:rPr>
      </w:pPr>
    </w:p>
    <w:p w14:paraId="77E2EDD4">
      <w:pPr>
        <w:rPr>
          <w:rFonts w:ascii="宋体" w:hAnsi="宋体" w:cs="宋体"/>
          <w:szCs w:val="21"/>
        </w:rPr>
      </w:pPr>
    </w:p>
    <w:p w14:paraId="0FADB5D0">
      <w:pPr>
        <w:rPr>
          <w:rFonts w:ascii="宋体" w:hAnsi="宋体" w:cs="宋体"/>
          <w:szCs w:val="21"/>
        </w:rPr>
      </w:pPr>
    </w:p>
    <w:p w14:paraId="1AE22607">
      <w:pPr>
        <w:rPr>
          <w:rFonts w:ascii="宋体" w:hAnsi="宋体" w:cs="宋体"/>
          <w:szCs w:val="21"/>
        </w:rPr>
      </w:pPr>
    </w:p>
    <w:p w14:paraId="4354AB50">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14:paraId="4563E46F">
      <w:pPr>
        <w:rPr>
          <w:rFonts w:ascii="宋体" w:hAnsi="宋体" w:cs="宋体"/>
          <w:b/>
          <w:bCs/>
          <w:szCs w:val="21"/>
        </w:rPr>
      </w:pPr>
      <w:r>
        <w:rPr>
          <w:rFonts w:hint="eastAsia" w:ascii="宋体" w:hAnsi="宋体" w:cs="宋体"/>
          <w:b/>
          <w:bCs/>
          <w:szCs w:val="21"/>
        </w:rPr>
        <w:t>公开08表</w:t>
      </w:r>
    </w:p>
    <w:p w14:paraId="09D84134">
      <w:pPr>
        <w:rPr>
          <w:rFonts w:ascii="宋体" w:hAnsi="宋体" w:cs="宋体"/>
          <w:b/>
          <w:bCs/>
          <w:szCs w:val="21"/>
        </w:rPr>
      </w:pPr>
      <w:r>
        <w:rPr>
          <w:rFonts w:hint="eastAsia" w:ascii="宋体" w:hAnsi="宋体" w:cs="宋体"/>
          <w:b/>
          <w:bCs/>
          <w:szCs w:val="21"/>
        </w:rPr>
        <w:t>编制部门：                                                            金额单位：万元</w:t>
      </w:r>
    </w:p>
    <w:tbl>
      <w:tblPr>
        <w:tblStyle w:val="9"/>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14:paraId="3E3399C7">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772E8034">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4353D8FA">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14:paraId="18E783FF">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14:paraId="56DB57F8">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14:paraId="2B590723">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14:paraId="5336B380">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4841CFDC">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14:paraId="0832E3BF">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4B5410A6">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14:paraId="4D435726">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D6679DD">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14:paraId="62305D8E">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14:paraId="59530006">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14:paraId="3C05AFF3">
            <w:pPr>
              <w:jc w:val="center"/>
              <w:rPr>
                <w:rFonts w:ascii="宋体" w:hAnsi="宋体" w:cs="宋体"/>
                <w:b/>
                <w:color w:val="000000"/>
                <w:szCs w:val="21"/>
              </w:rPr>
            </w:pPr>
          </w:p>
        </w:tc>
      </w:tr>
      <w:tr w14:paraId="147D8E26">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787C1138">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14:paraId="6F79B6DA">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6F432160">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49411D8">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8697750">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34512781">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499151F7">
            <w:pPr>
              <w:jc w:val="center"/>
              <w:rPr>
                <w:rFonts w:ascii="宋体" w:hAnsi="宋体" w:cs="宋体"/>
                <w:b/>
                <w:color w:val="000000"/>
                <w:szCs w:val="21"/>
              </w:rPr>
            </w:pPr>
          </w:p>
        </w:tc>
      </w:tr>
      <w:tr w14:paraId="2F748CBA">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4C2D1C1A">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7E955DD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53A848C">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A365B26">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9A006D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6E01687">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1B8DA90B">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370C7F51">
            <w:pPr>
              <w:jc w:val="right"/>
              <w:rPr>
                <w:rFonts w:ascii="宋体" w:hAnsi="宋体" w:cs="宋体"/>
                <w:color w:val="000000"/>
                <w:szCs w:val="21"/>
              </w:rPr>
            </w:pPr>
          </w:p>
        </w:tc>
      </w:tr>
      <w:tr w14:paraId="19EE5413">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035DED24">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599D6D5C">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1106EEB">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747FACB">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175081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872C897">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005A3EF5">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4940C6E2">
            <w:pPr>
              <w:jc w:val="right"/>
              <w:rPr>
                <w:rFonts w:ascii="宋体" w:hAnsi="宋体" w:cs="宋体"/>
                <w:color w:val="000000"/>
                <w:szCs w:val="21"/>
              </w:rPr>
            </w:pPr>
          </w:p>
        </w:tc>
      </w:tr>
      <w:tr w14:paraId="771F1159">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5736FC25">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365F280F">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DCE8A08">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C1F309A">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809B81C">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47D8C28">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3D346148">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49CCF55B">
            <w:pPr>
              <w:jc w:val="right"/>
              <w:rPr>
                <w:rFonts w:ascii="宋体" w:hAnsi="宋体" w:cs="宋体"/>
                <w:color w:val="000000"/>
                <w:szCs w:val="21"/>
              </w:rPr>
            </w:pPr>
          </w:p>
        </w:tc>
      </w:tr>
      <w:tr w14:paraId="5EB5706E">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677731D4">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47E4A5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8A4A517">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6B86E967">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601ADBB">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764B0CA">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4BF1C7F7">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7AB111FA">
            <w:pPr>
              <w:jc w:val="right"/>
              <w:rPr>
                <w:rFonts w:ascii="宋体" w:hAnsi="宋体" w:cs="宋体"/>
                <w:color w:val="000000"/>
                <w:szCs w:val="21"/>
              </w:rPr>
            </w:pPr>
          </w:p>
        </w:tc>
      </w:tr>
      <w:tr w14:paraId="1D0E7C49">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26422170">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3B5BE844">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4D07F15">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B45D88B">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A8A9EC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BC995A9">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0B9A2F32">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12D3DFD5">
            <w:pPr>
              <w:jc w:val="right"/>
              <w:rPr>
                <w:rFonts w:ascii="宋体" w:hAnsi="宋体" w:cs="宋体"/>
                <w:color w:val="000000"/>
                <w:szCs w:val="21"/>
              </w:rPr>
            </w:pPr>
          </w:p>
        </w:tc>
      </w:tr>
      <w:tr w14:paraId="7F35FC44">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68A846AB">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156BEC52">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ACFDF4B">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ED66D6A">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2246D78">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858EEAC">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4361A832">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241AF2F4">
            <w:pPr>
              <w:jc w:val="right"/>
              <w:rPr>
                <w:rFonts w:ascii="宋体" w:hAnsi="宋体" w:cs="宋体"/>
                <w:color w:val="000000"/>
                <w:szCs w:val="21"/>
              </w:rPr>
            </w:pPr>
          </w:p>
        </w:tc>
      </w:tr>
      <w:tr w14:paraId="42D69E7B">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34138E53">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735D09C5">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8F7EFA3">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75E3A073">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58D021E">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931EB42">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2F444893">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512064AF">
            <w:pPr>
              <w:jc w:val="right"/>
              <w:rPr>
                <w:rFonts w:ascii="宋体" w:hAnsi="宋体" w:cs="宋体"/>
                <w:color w:val="000000"/>
                <w:szCs w:val="21"/>
              </w:rPr>
            </w:pPr>
          </w:p>
        </w:tc>
      </w:tr>
      <w:tr w14:paraId="28C6E49A">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553179B9">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CB1629B">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215AE0C">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89FB6A1">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AFF78D7">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023F569">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573DDC22">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6CF5D177">
            <w:pPr>
              <w:jc w:val="right"/>
              <w:rPr>
                <w:rFonts w:ascii="宋体" w:hAnsi="宋体" w:cs="宋体"/>
                <w:color w:val="000000"/>
                <w:szCs w:val="21"/>
              </w:rPr>
            </w:pPr>
          </w:p>
        </w:tc>
      </w:tr>
      <w:tr w14:paraId="60EB638E">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28FB0791">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5952967A">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A2AB475">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A0588E8">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7186FAD">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E872952">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643BDD48">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23925114">
            <w:pPr>
              <w:jc w:val="right"/>
              <w:rPr>
                <w:rFonts w:ascii="宋体" w:hAnsi="宋体" w:cs="宋体"/>
                <w:color w:val="000000"/>
                <w:szCs w:val="21"/>
              </w:rPr>
            </w:pPr>
          </w:p>
        </w:tc>
      </w:tr>
      <w:tr w14:paraId="67F09FBB">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20F2E843">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7ADCA41B">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0C79E89">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245F7460">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F9295D4">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E41981D">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046DEB87">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14AAD265">
            <w:pPr>
              <w:jc w:val="right"/>
              <w:rPr>
                <w:rFonts w:ascii="宋体" w:hAnsi="宋体" w:cs="宋体"/>
                <w:color w:val="000000"/>
                <w:szCs w:val="21"/>
              </w:rPr>
            </w:pPr>
          </w:p>
        </w:tc>
      </w:tr>
      <w:tr w14:paraId="15FFA2A9">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14:paraId="163382B5">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2B6AD31">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86A2215">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F23B261">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F522528">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60F00297">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53CECFCF">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2B36F611">
            <w:pPr>
              <w:jc w:val="right"/>
              <w:rPr>
                <w:rFonts w:ascii="宋体" w:hAnsi="宋体" w:cs="宋体"/>
                <w:color w:val="000000"/>
                <w:szCs w:val="21"/>
              </w:rPr>
            </w:pPr>
          </w:p>
        </w:tc>
      </w:tr>
      <w:tr w14:paraId="6B68BB45">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14:paraId="1C582876">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C612840">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8FF8B3D">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4B9A3A9">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75F15C6">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66B7B617">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3996437E">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519DF61E">
            <w:pPr>
              <w:jc w:val="right"/>
              <w:rPr>
                <w:rFonts w:ascii="宋体" w:hAnsi="宋体" w:cs="宋体"/>
                <w:color w:val="000000"/>
                <w:szCs w:val="21"/>
              </w:rPr>
            </w:pPr>
          </w:p>
        </w:tc>
      </w:tr>
      <w:tr w14:paraId="44598B84">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14:paraId="1CA02C94">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7612B067">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67421BD">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D0F66BF">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FD0A820">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3DF585D">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23AE3E03">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783F6720">
            <w:pPr>
              <w:jc w:val="right"/>
              <w:rPr>
                <w:rFonts w:ascii="宋体" w:hAnsi="宋体" w:cs="宋体"/>
                <w:color w:val="000000"/>
                <w:szCs w:val="21"/>
              </w:rPr>
            </w:pPr>
          </w:p>
        </w:tc>
      </w:tr>
      <w:tr w14:paraId="33736613">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3F1E6B5F">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31CA93C4">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3C06CE5">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5958794F">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3024985">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EF21D72">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4B81F5F6">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68313CD2">
            <w:pPr>
              <w:jc w:val="right"/>
              <w:rPr>
                <w:rFonts w:ascii="宋体" w:hAnsi="宋体" w:cs="宋体"/>
                <w:color w:val="000000"/>
                <w:szCs w:val="21"/>
              </w:rPr>
            </w:pPr>
          </w:p>
        </w:tc>
      </w:tr>
      <w:tr w14:paraId="2C08553B">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5561D69F">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23BFAE37">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0D56E434">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2CB2929A">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C4994F5">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31AA689">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6B766DD6">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167DBCA1">
            <w:pPr>
              <w:jc w:val="right"/>
              <w:rPr>
                <w:rFonts w:ascii="宋体" w:hAnsi="宋体" w:cs="宋体"/>
                <w:color w:val="000000"/>
                <w:szCs w:val="21"/>
              </w:rPr>
            </w:pPr>
          </w:p>
        </w:tc>
      </w:tr>
      <w:tr w14:paraId="55608E3A">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011C611C">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5121C31">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11237D4">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7E64095">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987BDDD">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24ABBF2">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4AC6BAE2">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00778AE5">
            <w:pPr>
              <w:jc w:val="right"/>
              <w:rPr>
                <w:rFonts w:ascii="宋体" w:hAnsi="宋体" w:cs="宋体"/>
                <w:color w:val="000000"/>
                <w:szCs w:val="21"/>
              </w:rPr>
            </w:pPr>
          </w:p>
        </w:tc>
      </w:tr>
    </w:tbl>
    <w:p w14:paraId="1D914269">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14:paraId="0F6D7C8E">
      <w:pPr>
        <w:rPr>
          <w:rFonts w:ascii="宋体" w:hAnsi="宋体" w:cs="宋体"/>
          <w:szCs w:val="21"/>
        </w:rPr>
      </w:pPr>
    </w:p>
    <w:p w14:paraId="05A75B23">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14:paraId="0AAC6A6E">
      <w:pPr>
        <w:widowControl/>
        <w:rPr>
          <w:rFonts w:ascii="黑体" w:hAnsi="宋体" w:eastAsia="黑体"/>
          <w:color w:val="000000"/>
          <w:kern w:val="0"/>
          <w:sz w:val="44"/>
          <w:szCs w:val="44"/>
        </w:rPr>
      </w:pPr>
    </w:p>
    <w:p w14:paraId="4B85A67D">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14:paraId="51A20991">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2018收入总额1676.13万元，支出总额1676.13万元；2019收入总额1125.69万元，支出总额1125.69万元；收入比2018年减少550.44万元，支出比2018年减少550.44万元。主要是农村综合改革支出减少。</w:t>
      </w:r>
    </w:p>
    <w:p w14:paraId="25EC4550">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_GB2312" w:hAnsi="仿宋" w:eastAsia="仿宋_GB2312" w:cs="黑体"/>
          <w:kern w:val="2"/>
          <w:sz w:val="32"/>
          <w:szCs w:val="32"/>
          <w:lang w:val="en-US" w:eastAsia="zh-CN" w:bidi="ar-SA"/>
        </w:rPr>
      </w:pPr>
      <w:r>
        <w:rPr>
          <w:rFonts w:hint="eastAsia" w:ascii="仿宋_GB2312" w:hAnsi="仿宋" w:eastAsia="仿宋_GB2312" w:cs="黑体"/>
          <w:kern w:val="2"/>
          <w:sz w:val="32"/>
          <w:szCs w:val="32"/>
          <w:lang w:val="en-US" w:eastAsia="zh-CN" w:bidi="ar-SA"/>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FF1F46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仿宋_GB2312" w:hAnsi="仿宋" w:eastAsia="仿宋_GB2312" w:cs="黑体"/>
          <w:kern w:val="2"/>
          <w:sz w:val="32"/>
          <w:szCs w:val="32"/>
          <w:lang w:val="en-US" w:eastAsia="zh-CN" w:bidi="ar-SA"/>
        </w:rPr>
      </w:pPr>
    </w:p>
    <w:p w14:paraId="5AF5976C">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14:paraId="3D6AAFD4">
      <w:pPr>
        <w:widowControl/>
        <w:ind w:firstLine="640" w:firstLineChars="200"/>
        <w:jc w:val="left"/>
        <w:rPr>
          <w:rFonts w:hint="eastAsia" w:ascii="仿宋_GB2312" w:hAnsi="宋体" w:eastAsia="仿宋_GB2312" w:cs="仿宋_GB2312"/>
          <w:color w:val="000000"/>
          <w:kern w:val="0"/>
          <w:sz w:val="32"/>
          <w:szCs w:val="32"/>
        </w:rPr>
      </w:pPr>
    </w:p>
    <w:p w14:paraId="03974CCE">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2019年收入合计1125.69万元，财政拨款收入1125.69万元，占100%，来自一般公共预算财政拨款。</w:t>
      </w:r>
    </w:p>
    <w:p w14:paraId="141F6EC5">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14:paraId="43DC0B57">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2019年支出合计1125.69万元，其中：基本支出905.69万元，占比82%；项目支出220万元，占比18%。</w:t>
      </w:r>
    </w:p>
    <w:p w14:paraId="1B9FD0E1">
      <w:pPr>
        <w:widowControl/>
        <w:ind w:firstLine="640" w:firstLineChars="200"/>
        <w:jc w:val="left"/>
        <w:rPr>
          <w:rFonts w:hint="default" w:ascii="仿宋_GB2312" w:hAnsi="宋体" w:eastAsia="仿宋_GB2312" w:cs="仿宋_GB2312"/>
          <w:color w:val="000000"/>
          <w:kern w:val="0"/>
          <w:sz w:val="32"/>
          <w:szCs w:val="32"/>
          <w:lang w:val="en-US" w:eastAsia="zh-CN"/>
        </w:rPr>
      </w:pPr>
      <w:r>
        <w:rPr>
          <w:rFonts w:hint="default" w:ascii="仿宋_GB2312" w:hAnsi="宋体" w:eastAsia="仿宋_GB2312" w:cs="仿宋_GB2312"/>
          <w:color w:val="000000"/>
          <w:kern w:val="0"/>
          <w:sz w:val="32"/>
          <w:szCs w:val="32"/>
          <w:lang w:val="en-US"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64DA751">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14:paraId="0185F176">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2019年财政拨款收入总体情况及比上年减少550.44万元，2019年财政拨款支出总体情况及比上年减少550.44万元。</w:t>
      </w:r>
    </w:p>
    <w:p w14:paraId="60162FDD">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7F4DEA">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14:paraId="3FCD9A4F">
      <w:pPr>
        <w:widowControl/>
        <w:ind w:firstLine="643" w:firstLineChars="200"/>
        <w:jc w:val="left"/>
        <w:rPr>
          <w:rFonts w:ascii="仿宋_GB2312" w:hAnsi="宋体" w:eastAsia="仿宋_GB2312" w:cs="仿宋_GB2312"/>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14:paraId="7AE89EA8">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年财政拨款支出1125.69万元，占本年支出合计的100%。与上年相比，财政拨款支出减少550.44万元，主要原因是农村综合改革支出减少。</w:t>
      </w:r>
    </w:p>
    <w:p w14:paraId="374EACFE">
      <w:pPr>
        <w:widowControl/>
        <w:ind w:firstLine="640" w:firstLineChars="200"/>
        <w:jc w:val="left"/>
        <w:rPr>
          <w:rFonts w:hint="eastAsia" w:ascii="仿宋_GB2312" w:hAnsi="宋体" w:eastAsia="仿宋_GB2312" w:cs="仿宋_GB2312"/>
          <w:color w:val="000000"/>
          <w:kern w:val="0"/>
          <w:sz w:val="32"/>
          <w:szCs w:val="32"/>
        </w:rPr>
      </w:pPr>
      <w:r>
        <w:rPr>
          <w:rFonts w:hint="eastAsia" w:ascii="仿宋_GB2312" w:hAnsi="仿宋" w:eastAsia="仿宋_GB2312"/>
          <w:sz w:val="32"/>
          <w:szCs w:val="32"/>
          <w:lang w:val="en-US"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A989DD">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14:paraId="346EFB39">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 xml:space="preserve">2019 年财政拨款支出年初预算为1125.69万元，支出决算为1125.69万元，完成年初预算的100%。按照政府功能分类科目，其中： </w:t>
      </w:r>
    </w:p>
    <w:p w14:paraId="704D17B4">
      <w:pPr>
        <w:widowControl/>
        <w:numPr>
          <w:ilvl w:val="0"/>
          <w:numId w:val="3"/>
        </w:numPr>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eastAsia="zh-CN"/>
        </w:rPr>
        <w:t>人大事务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代表工作</w:t>
      </w:r>
      <w:r>
        <w:rPr>
          <w:rFonts w:ascii="仿宋_GB2312" w:hAnsi="宋体" w:eastAsia="仿宋_GB2312" w:cs="仿宋_GB2312"/>
          <w:b/>
          <w:color w:val="000000"/>
          <w:kern w:val="0"/>
          <w:sz w:val="32"/>
          <w:szCs w:val="32"/>
        </w:rPr>
        <w:t>（项）。</w:t>
      </w:r>
    </w:p>
    <w:p w14:paraId="011A46EB">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年初预算为2万元，支出决算为2万元，完成年初预算的100%，决算数与预算数持平。</w:t>
      </w:r>
    </w:p>
    <w:p w14:paraId="2D85F276">
      <w:pPr>
        <w:widowControl/>
        <w:numPr>
          <w:ilvl w:val="0"/>
          <w:numId w:val="3"/>
        </w:numPr>
        <w:ind w:firstLine="643" w:firstLineChars="200"/>
        <w:jc w:val="left"/>
        <w:rPr>
          <w:rFonts w:hint="eastAsia" w:ascii="仿宋_GB2312" w:hAnsi="宋体" w:eastAsia="仿宋_GB2312" w:cs="仿宋_GB2312"/>
          <w:b/>
          <w:color w:val="000000"/>
          <w:kern w:val="0"/>
          <w:sz w:val="32"/>
          <w:szCs w:val="32"/>
          <w:lang w:eastAsia="zh-CN"/>
        </w:rPr>
      </w:pP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eastAsia="zh-CN"/>
        </w:rPr>
        <w:t>政府办公厅（室）及相关机构事务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行政运行</w:t>
      </w:r>
      <w:r>
        <w:rPr>
          <w:rFonts w:ascii="仿宋_GB2312" w:hAnsi="宋体" w:eastAsia="仿宋_GB2312" w:cs="仿宋_GB2312"/>
          <w:b/>
          <w:color w:val="000000"/>
          <w:kern w:val="0"/>
          <w:sz w:val="32"/>
          <w:szCs w:val="32"/>
        </w:rPr>
        <w:t>（项）</w:t>
      </w:r>
    </w:p>
    <w:p w14:paraId="0B3E84E3">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年初预算为511.06万元，支出决算为511.06万元，完成年初预算的100%，决算数与预算数持平。</w:t>
      </w:r>
    </w:p>
    <w:p w14:paraId="1B9D57F7">
      <w:pPr>
        <w:widowControl/>
        <w:numPr>
          <w:ilvl w:val="0"/>
          <w:numId w:val="3"/>
        </w:numPr>
        <w:ind w:firstLine="643" w:firstLineChars="200"/>
        <w:jc w:val="left"/>
        <w:rPr>
          <w:rFonts w:hint="eastAsia" w:ascii="仿宋_GB2312" w:hAnsi="宋体" w:eastAsia="仿宋_GB2312" w:cs="仿宋_GB2312"/>
          <w:b/>
          <w:color w:val="000000"/>
          <w:kern w:val="0"/>
          <w:sz w:val="32"/>
          <w:szCs w:val="32"/>
          <w:lang w:eastAsia="zh-CN"/>
        </w:rPr>
      </w:pP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eastAsia="zh-CN"/>
        </w:rPr>
        <w:t>政府办公厅（室）及相关机构事务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一般行政管理事务</w:t>
      </w:r>
      <w:r>
        <w:rPr>
          <w:rFonts w:ascii="仿宋_GB2312" w:hAnsi="宋体" w:eastAsia="仿宋_GB2312" w:cs="仿宋_GB2312"/>
          <w:b/>
          <w:color w:val="000000"/>
          <w:kern w:val="0"/>
          <w:sz w:val="32"/>
          <w:szCs w:val="32"/>
        </w:rPr>
        <w:t>（项）</w:t>
      </w:r>
    </w:p>
    <w:p w14:paraId="34AFCD55">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年初预算为83万元，支出决算为83万元，完成年初预算的100%，决算数与预算数持平。</w:t>
      </w:r>
    </w:p>
    <w:p w14:paraId="7267A722">
      <w:pPr>
        <w:widowControl/>
        <w:numPr>
          <w:ilvl w:val="0"/>
          <w:numId w:val="3"/>
        </w:numPr>
        <w:ind w:firstLine="643" w:firstLineChars="200"/>
        <w:jc w:val="left"/>
        <w:rPr>
          <w:rFonts w:hint="eastAsia" w:ascii="仿宋_GB2312" w:hAnsi="宋体" w:eastAsia="仿宋_GB2312" w:cs="仿宋_GB2312"/>
          <w:b/>
          <w:color w:val="000000"/>
          <w:kern w:val="0"/>
          <w:sz w:val="32"/>
          <w:szCs w:val="32"/>
          <w:lang w:eastAsia="zh-CN"/>
        </w:rPr>
      </w:pP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eastAsia="zh-CN"/>
        </w:rPr>
        <w:t>财政事务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 xml:space="preserve"> 行政运行</w:t>
      </w:r>
      <w:r>
        <w:rPr>
          <w:rFonts w:ascii="仿宋_GB2312" w:hAnsi="宋体" w:eastAsia="仿宋_GB2312" w:cs="仿宋_GB2312"/>
          <w:b/>
          <w:color w:val="000000"/>
          <w:kern w:val="0"/>
          <w:sz w:val="32"/>
          <w:szCs w:val="32"/>
        </w:rPr>
        <w:t>（项）</w:t>
      </w:r>
    </w:p>
    <w:p w14:paraId="1D2A2C89">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年初预算为41.63万元，支出决算为41.36万元，完成年初预算的100%，决算数与预算数持平。</w:t>
      </w:r>
    </w:p>
    <w:p w14:paraId="18EBE003">
      <w:pPr>
        <w:widowControl/>
        <w:numPr>
          <w:ilvl w:val="0"/>
          <w:numId w:val="3"/>
        </w:numPr>
        <w:ind w:firstLine="643" w:firstLineChars="200"/>
        <w:jc w:val="left"/>
        <w:rPr>
          <w:rFonts w:hint="eastAsia" w:ascii="仿宋_GB2312" w:hAnsi="宋体" w:eastAsia="仿宋_GB2312" w:cs="仿宋_GB2312"/>
          <w:b/>
          <w:color w:val="000000"/>
          <w:kern w:val="0"/>
          <w:sz w:val="32"/>
          <w:szCs w:val="32"/>
          <w:lang w:eastAsia="zh-CN"/>
        </w:rPr>
      </w:pP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eastAsia="zh-CN"/>
        </w:rPr>
        <w:t>财政事务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其他财政事务支出</w:t>
      </w:r>
      <w:r>
        <w:rPr>
          <w:rFonts w:ascii="仿宋_GB2312" w:hAnsi="宋体" w:eastAsia="仿宋_GB2312" w:cs="仿宋_GB2312"/>
          <w:b/>
          <w:color w:val="000000"/>
          <w:kern w:val="0"/>
          <w:sz w:val="32"/>
          <w:szCs w:val="32"/>
        </w:rPr>
        <w:t>（项）</w:t>
      </w:r>
    </w:p>
    <w:p w14:paraId="79A5B2D0">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年初预算为6.32万元，支出决算为6.32万元，完成年初预算的100%，决算数与预算数持平。</w:t>
      </w:r>
    </w:p>
    <w:p w14:paraId="39DEF307">
      <w:pPr>
        <w:widowControl/>
        <w:numPr>
          <w:ilvl w:val="0"/>
          <w:numId w:val="3"/>
        </w:numPr>
        <w:ind w:firstLine="643" w:firstLineChars="200"/>
        <w:jc w:val="left"/>
        <w:rPr>
          <w:rFonts w:ascii="仿宋_GB2312" w:hAnsi="宋体" w:eastAsia="仿宋_GB2312" w:cs="仿宋_GB2312"/>
          <w:b/>
          <w:color w:val="000000"/>
          <w:kern w:val="0"/>
          <w:sz w:val="32"/>
          <w:szCs w:val="32"/>
        </w:rPr>
      </w:pPr>
      <w:r>
        <w:rPr>
          <w:rFonts w:ascii="仿宋_GB2312" w:hAnsi="宋体" w:eastAsia="仿宋_GB2312" w:cs="仿宋_GB2312"/>
          <w:b/>
          <w:color w:val="000000"/>
          <w:kern w:val="0"/>
          <w:sz w:val="32"/>
          <w:szCs w:val="32"/>
        </w:rPr>
        <w:t>一般公共服务支出（类）</w:t>
      </w:r>
      <w:r>
        <w:rPr>
          <w:rFonts w:hint="eastAsia" w:ascii="仿宋_GB2312" w:hAnsi="宋体" w:eastAsia="仿宋_GB2312" w:cs="仿宋_GB2312"/>
          <w:b/>
          <w:color w:val="000000"/>
          <w:kern w:val="0"/>
          <w:sz w:val="32"/>
          <w:szCs w:val="32"/>
          <w:lang w:eastAsia="zh-CN"/>
        </w:rPr>
        <w:t>组织事务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公务员事务</w:t>
      </w:r>
      <w:r>
        <w:rPr>
          <w:rFonts w:ascii="仿宋_GB2312" w:hAnsi="宋体" w:eastAsia="仿宋_GB2312" w:cs="仿宋_GB2312"/>
          <w:b/>
          <w:color w:val="000000"/>
          <w:kern w:val="0"/>
          <w:sz w:val="32"/>
          <w:szCs w:val="32"/>
        </w:rPr>
        <w:t>（项）。</w:t>
      </w:r>
    </w:p>
    <w:p w14:paraId="2DD2675D">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年初预算为1.35万元，支出决算为1.35万元，完成年初预算的100%，决算数与预算数持平。</w:t>
      </w:r>
    </w:p>
    <w:p w14:paraId="02A419EB">
      <w:pPr>
        <w:widowControl/>
        <w:ind w:firstLine="643" w:firstLineChars="200"/>
        <w:jc w:val="left"/>
        <w:rPr>
          <w:rFonts w:hint="eastAsia" w:ascii="仿宋_GB2312" w:hAnsi="宋体" w:eastAsia="仿宋_GB2312" w:cs="仿宋_GB2312"/>
          <w:b/>
          <w:color w:val="000000"/>
          <w:kern w:val="0"/>
          <w:sz w:val="32"/>
          <w:szCs w:val="32"/>
          <w:lang w:eastAsia="zh-CN"/>
        </w:rPr>
      </w:pPr>
      <w:r>
        <w:rPr>
          <w:rFonts w:hint="eastAsia" w:ascii="仿宋_GB2312" w:hAnsi="宋体" w:eastAsia="仿宋_GB2312" w:cs="仿宋_GB2312"/>
          <w:b/>
          <w:bCs/>
          <w:color w:val="000000"/>
          <w:kern w:val="0"/>
          <w:sz w:val="32"/>
          <w:szCs w:val="32"/>
          <w:lang w:val="en-US" w:eastAsia="zh-CN"/>
        </w:rPr>
        <w:t>7.</w:t>
      </w:r>
      <w:r>
        <w:rPr>
          <w:rFonts w:hint="eastAsia" w:ascii="仿宋_GB2312" w:hAnsi="宋体" w:eastAsia="仿宋_GB2312" w:cs="仿宋_GB2312"/>
          <w:b/>
          <w:bCs/>
          <w:color w:val="000000"/>
          <w:kern w:val="0"/>
          <w:sz w:val="32"/>
          <w:szCs w:val="32"/>
        </w:rPr>
        <w:t>公</w:t>
      </w:r>
      <w:r>
        <w:rPr>
          <w:rFonts w:hint="eastAsia" w:ascii="仿宋_GB2312" w:hAnsi="宋体" w:eastAsia="仿宋_GB2312" w:cs="仿宋_GB2312"/>
          <w:b/>
          <w:color w:val="000000"/>
          <w:kern w:val="0"/>
          <w:sz w:val="32"/>
          <w:szCs w:val="32"/>
        </w:rPr>
        <w:t>共安全支出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司法</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基层司法业务</w:t>
      </w:r>
      <w:r>
        <w:rPr>
          <w:rFonts w:ascii="仿宋_GB2312" w:hAnsi="宋体" w:eastAsia="仿宋_GB2312" w:cs="仿宋_GB2312"/>
          <w:b/>
          <w:color w:val="000000"/>
          <w:kern w:val="0"/>
          <w:sz w:val="32"/>
          <w:szCs w:val="32"/>
        </w:rPr>
        <w:t>（项）</w:t>
      </w:r>
      <w:r>
        <w:rPr>
          <w:rFonts w:hint="eastAsia" w:ascii="仿宋_GB2312" w:hAnsi="宋体" w:eastAsia="仿宋_GB2312" w:cs="仿宋_GB2312"/>
          <w:b/>
          <w:color w:val="000000"/>
          <w:kern w:val="0"/>
          <w:sz w:val="32"/>
          <w:szCs w:val="32"/>
          <w:lang w:eastAsia="zh-CN"/>
        </w:rPr>
        <w:t>。</w:t>
      </w:r>
    </w:p>
    <w:p w14:paraId="105D7DDC">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年初预算为6.99万元，支出决算为6.99万元，完成年初预算的100%。</w:t>
      </w:r>
    </w:p>
    <w:p w14:paraId="689D7894">
      <w:pPr>
        <w:widowControl/>
        <w:ind w:firstLine="643" w:firstLineChars="200"/>
        <w:jc w:val="left"/>
        <w:rPr>
          <w:rFonts w:hint="eastAsia" w:ascii="仿宋_GB2312" w:hAnsi="宋体" w:eastAsia="仿宋_GB2312" w:cs="仿宋_GB2312"/>
          <w:b/>
          <w:color w:val="000000"/>
          <w:kern w:val="0"/>
          <w:sz w:val="32"/>
          <w:szCs w:val="32"/>
          <w:lang w:eastAsia="zh-CN"/>
        </w:rPr>
      </w:pPr>
      <w:r>
        <w:rPr>
          <w:rFonts w:hint="eastAsia" w:ascii="仿宋_GB2312" w:hAnsi="宋体" w:eastAsia="仿宋_GB2312" w:cs="仿宋_GB2312"/>
          <w:b/>
          <w:bCs/>
          <w:color w:val="000000"/>
          <w:kern w:val="0"/>
          <w:sz w:val="32"/>
          <w:szCs w:val="32"/>
          <w:lang w:val="en-US" w:eastAsia="zh-CN"/>
        </w:rPr>
        <w:t>8.教育支出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lang w:eastAsia="zh-CN"/>
        </w:rPr>
        <w:t>普通教育</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 xml:space="preserve"> 其他普通教育支出</w:t>
      </w:r>
      <w:r>
        <w:rPr>
          <w:rFonts w:ascii="仿宋_GB2312" w:hAnsi="宋体" w:eastAsia="仿宋_GB2312" w:cs="仿宋_GB2312"/>
          <w:b/>
          <w:color w:val="000000"/>
          <w:kern w:val="0"/>
          <w:sz w:val="32"/>
          <w:szCs w:val="32"/>
        </w:rPr>
        <w:t>（项）</w:t>
      </w:r>
      <w:r>
        <w:rPr>
          <w:rFonts w:hint="eastAsia" w:ascii="仿宋_GB2312" w:hAnsi="宋体" w:eastAsia="仿宋_GB2312" w:cs="仿宋_GB2312"/>
          <w:b/>
          <w:color w:val="000000"/>
          <w:kern w:val="0"/>
          <w:sz w:val="32"/>
          <w:szCs w:val="32"/>
          <w:lang w:eastAsia="zh-CN"/>
        </w:rPr>
        <w:t>。</w:t>
      </w:r>
    </w:p>
    <w:p w14:paraId="485602F5">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年初预算为7万元，支出决算为7万元，完成年初预算的100%，决算数与预算数持平。</w:t>
      </w:r>
    </w:p>
    <w:p w14:paraId="303E9391">
      <w:pPr>
        <w:widowControl/>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9.</w:t>
      </w:r>
      <w:r>
        <w:rPr>
          <w:rFonts w:hint="eastAsia" w:ascii="仿宋_GB2312" w:hAnsi="宋体" w:eastAsia="仿宋_GB2312" w:cs="仿宋_GB2312"/>
          <w:b/>
          <w:color w:val="000000"/>
          <w:kern w:val="0"/>
          <w:sz w:val="32"/>
          <w:szCs w:val="32"/>
          <w:lang w:eastAsia="zh-CN"/>
        </w:rPr>
        <w:t>文化旅游体育与传媒支出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lang w:val="en-US" w:eastAsia="zh-CN"/>
        </w:rPr>
        <w:t>文化和旅游</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lang w:eastAsia="zh-CN"/>
        </w:rPr>
        <w:t xml:space="preserve"> 群众文化</w:t>
      </w:r>
      <w:r>
        <w:rPr>
          <w:rFonts w:ascii="仿宋_GB2312" w:hAnsi="宋体" w:eastAsia="仿宋_GB2312" w:cs="仿宋_GB2312"/>
          <w:b/>
          <w:color w:val="000000"/>
          <w:kern w:val="0"/>
          <w:sz w:val="32"/>
          <w:szCs w:val="32"/>
        </w:rPr>
        <w:t>（项）</w:t>
      </w:r>
      <w:r>
        <w:rPr>
          <w:rFonts w:hint="eastAsia" w:ascii="仿宋_GB2312" w:hAnsi="宋体" w:eastAsia="仿宋_GB2312" w:cs="仿宋_GB2312"/>
          <w:b/>
          <w:color w:val="000000"/>
          <w:kern w:val="0"/>
          <w:sz w:val="32"/>
          <w:szCs w:val="32"/>
          <w:lang w:eastAsia="zh-CN"/>
        </w:rPr>
        <w:t>。</w:t>
      </w:r>
    </w:p>
    <w:p w14:paraId="6F18C144">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年初预算为15万元，支出决算为15万元，完成年初预算的100%，决算数与预算数持平。</w:t>
      </w:r>
    </w:p>
    <w:p w14:paraId="44220B92">
      <w:pPr>
        <w:widowControl/>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10.社会保障和就业支出（类）行政事业单位离退休（款）机关事业单位基本养老保险缴费支出（项）</w:t>
      </w:r>
    </w:p>
    <w:p w14:paraId="11D411CA">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年初预算为64.71万元，支出决算为64.71万元，完成年初预算的100%，决算数与预算数持平。</w:t>
      </w:r>
    </w:p>
    <w:p w14:paraId="7DAA18F1">
      <w:pPr>
        <w:widowControl/>
        <w:numPr>
          <w:ilvl w:val="0"/>
          <w:numId w:val="4"/>
        </w:numPr>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社会保障和就业支出（类）抚恤（款）机关事业单位基死亡抚恤（项）</w:t>
      </w:r>
    </w:p>
    <w:p w14:paraId="6FAA3825">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年初预算为6.13万元，支出决算为6.13万元，完成年初预算的100%，决算数与预算数持平。</w:t>
      </w:r>
    </w:p>
    <w:p w14:paraId="23E47F4A">
      <w:pPr>
        <w:widowControl/>
        <w:numPr>
          <w:ilvl w:val="0"/>
          <w:numId w:val="4"/>
        </w:numPr>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卫生健康支出（类）计划生育事务（款）计划生育机构（项）</w:t>
      </w:r>
    </w:p>
    <w:p w14:paraId="086156A4">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年初预算为16.92万元，支出决算为16.92万元，完成年初预算的100%，决算数与预算数持平。</w:t>
      </w:r>
    </w:p>
    <w:p w14:paraId="46C58ED7">
      <w:pPr>
        <w:widowControl/>
        <w:numPr>
          <w:ilvl w:val="0"/>
          <w:numId w:val="4"/>
        </w:numPr>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卫生健康支出（类）行政事业单位医疗（款）行政单位医疗（项）</w:t>
      </w:r>
    </w:p>
    <w:p w14:paraId="1621642E">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 xml:space="preserve">年初预算为52.51万元，支出决算为25.51万元，完成年初预算的100%，决算数与预算数持平。 </w:t>
      </w:r>
    </w:p>
    <w:p w14:paraId="20B1E333">
      <w:pPr>
        <w:widowControl/>
        <w:ind w:firstLine="643"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b/>
          <w:color w:val="000000"/>
          <w:kern w:val="0"/>
          <w:sz w:val="32"/>
          <w:szCs w:val="32"/>
          <w:lang w:val="en-US" w:eastAsia="zh-CN"/>
        </w:rPr>
        <w:t>14.城乡社区支出（类）城乡社区规划与管理（款）城乡社区规划与管理（项）</w:t>
      </w:r>
    </w:p>
    <w:p w14:paraId="0F32F1E4">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年初预算为24万元，支出决算为24万元，完成年初预算的100%，决算数与预算数持平。</w:t>
      </w:r>
    </w:p>
    <w:p w14:paraId="172F34EB">
      <w:pPr>
        <w:widowControl/>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15.城乡社区支出（类）城乡社区公共设施（款）其他城乡社区公共设施支出（项）</w:t>
      </w:r>
    </w:p>
    <w:p w14:paraId="4CCF8669">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年初预算为10万元，支出决算为10万元，完成年初预算的100%，决算数与预算数持平。</w:t>
      </w:r>
    </w:p>
    <w:p w14:paraId="0567EA04">
      <w:pPr>
        <w:widowControl/>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16.农林水支出（类）农业（款）农村公益事业（项）</w:t>
      </w:r>
    </w:p>
    <w:p w14:paraId="4E3EB7FA">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年初预算为1.44万元，支出决算为1.44万元，完成年初预算的100%，决算数与预算数持平。</w:t>
      </w:r>
    </w:p>
    <w:p w14:paraId="5C089ED2">
      <w:pPr>
        <w:widowControl/>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17.农林水支出（类）农村综合改革（款）对村级一事一议的补助（项）</w:t>
      </w:r>
    </w:p>
    <w:p w14:paraId="6E829DA9">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年初预算137万元，支出决算为137万元，完成年初预算的100%，决算数与预算数持平。</w:t>
      </w:r>
    </w:p>
    <w:p w14:paraId="7B4E4B05">
      <w:pPr>
        <w:widowControl/>
        <w:numPr>
          <w:ilvl w:val="0"/>
          <w:numId w:val="0"/>
        </w:numPr>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18.农林水支出（类）农村综合改革（款）  对村民委员会和村党支部的补助（项）</w:t>
      </w:r>
    </w:p>
    <w:p w14:paraId="18AB184F">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年初预算195.52万元，支出决算为195.52万元，完成年初预算的100%，决算数与预算数持平。</w:t>
      </w:r>
    </w:p>
    <w:p w14:paraId="6F6A7A6D">
      <w:pPr>
        <w:widowControl/>
        <w:numPr>
          <w:ilvl w:val="0"/>
          <w:numId w:val="0"/>
        </w:numPr>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19.交通运输支出（类）交通运输支出（款）  其他公路水路运输支出（项）</w:t>
      </w:r>
    </w:p>
    <w:p w14:paraId="23DE7F29">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年初预算9万元，支出决算为9万元，完成年初预算的100%，决算数与预算数持平。</w:t>
      </w:r>
    </w:p>
    <w:p w14:paraId="227E6AD9">
      <w:pPr>
        <w:widowControl/>
        <w:numPr>
          <w:ilvl w:val="0"/>
          <w:numId w:val="0"/>
        </w:numPr>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20.住房保障支出（类）住房改革支出（款）  住房公积金（项）</w:t>
      </w:r>
    </w:p>
    <w:p w14:paraId="46903EE0">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年初预算44.1万元，支出决算为44.1万元，完成年初预算的100%，决算数与预算数持平。</w:t>
      </w:r>
    </w:p>
    <w:p w14:paraId="080D6220">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p>
    <w:p w14:paraId="60099615">
      <w:pPr>
        <w:widowControl/>
        <w:ind w:firstLine="640" w:firstLineChars="200"/>
        <w:jc w:val="left"/>
        <w:rPr>
          <w:rFonts w:hint="eastAsia" w:ascii="仿宋_GB2312" w:hAnsi="宋体" w:eastAsia="仿宋_GB2312" w:cs="仿宋_GB2312"/>
          <w:color w:val="000000"/>
          <w:kern w:val="0"/>
          <w:sz w:val="32"/>
          <w:szCs w:val="32"/>
          <w:lang w:val="en-US" w:eastAsia="zh-CN"/>
        </w:rPr>
      </w:pPr>
    </w:p>
    <w:p w14:paraId="1A90745E">
      <w:pPr>
        <w:widowControl/>
        <w:jc w:val="left"/>
        <w:rPr>
          <w:rFonts w:hint="default" w:ascii="仿宋_GB2312" w:hAnsi="宋体" w:eastAsia="仿宋_GB2312" w:cs="仿宋_GB2312"/>
          <w:color w:val="000000"/>
          <w:kern w:val="0"/>
          <w:sz w:val="32"/>
          <w:szCs w:val="32"/>
          <w:lang w:val="en-US" w:eastAsia="zh-CN"/>
        </w:rPr>
      </w:pPr>
      <w:r>
        <w:rPr>
          <w:rFonts w:hint="default" w:ascii="仿宋_GB2312" w:hAnsi="宋体" w:eastAsia="仿宋_GB2312" w:cs="仿宋_GB2312"/>
          <w:color w:val="000000"/>
          <w:kern w:val="0"/>
          <w:sz w:val="32"/>
          <w:szCs w:val="32"/>
          <w:lang w:val="en-US" w:eastAsia="zh-CN"/>
        </w:rPr>
        <w:drawing>
          <wp:inline distT="0" distB="0" distL="114300" distR="114300">
            <wp:extent cx="5831205" cy="4324350"/>
            <wp:effectExtent l="5080" t="4445" r="1206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C6CC7C">
      <w:pPr>
        <w:widowControl/>
        <w:jc w:val="left"/>
        <w:rPr>
          <w:rFonts w:hint="eastAsia" w:ascii="仿宋_GB2312" w:hAnsi="宋体" w:eastAsia="仿宋_GB2312" w:cs="仿宋_GB2312"/>
          <w:color w:val="000000"/>
          <w:kern w:val="0"/>
          <w:sz w:val="32"/>
          <w:szCs w:val="32"/>
          <w:lang w:val="en-US" w:eastAsia="zh-CN"/>
        </w:rPr>
      </w:pPr>
    </w:p>
    <w:p w14:paraId="49426ED7">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14:paraId="0F3419C7">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2019年一般公共预算财政拨款基本支出905.69万元，包括：人员经费支出834.94万元和公用经费支出70.75万元。</w:t>
      </w:r>
    </w:p>
    <w:p w14:paraId="47065A1D">
      <w:pPr>
        <w:widowControl/>
        <w:ind w:firstLine="640" w:firstLineChars="200"/>
        <w:jc w:val="left"/>
        <w:rPr>
          <w:rFonts w:ascii="仿宋_GB2312" w:hAnsi="仿宋_GB2312" w:eastAsia="仿宋_GB2312" w:cs="仿宋_GB2312"/>
          <w:color w:val="000000"/>
          <w:kern w:val="0"/>
          <w:sz w:val="31"/>
          <w:szCs w:val="31"/>
        </w:rPr>
      </w:pPr>
      <w:r>
        <w:rPr>
          <w:rFonts w:hint="eastAsia" w:ascii="仿宋_GB2312" w:hAnsi="宋体" w:eastAsia="仿宋_GB2312" w:cs="仿宋_GB2312"/>
          <w:color w:val="000000"/>
          <w:kern w:val="0"/>
          <w:sz w:val="32"/>
          <w:szCs w:val="32"/>
          <w:lang w:eastAsia="zh-CN"/>
        </w:rPr>
        <w:drawing>
          <wp:inline distT="0" distB="0" distL="114300" distR="114300">
            <wp:extent cx="4451350" cy="2352675"/>
            <wp:effectExtent l="4445" t="4445" r="20955" b="50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9BB0C6">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人员经费834.94万元，主要包括：基本工资289.9万元；津贴补贴194.72万元；奖金1.35万元；伙食补助费2.00万元；绩效工资2.00万元；机关事业单位基本养老保险缴费64.71万元；职工基本医疗保险缴费25.51万元；住房公积金44.10万元；抚恤金6.13万元；生活补助9.00万元；奖励金195.52万元。</w:t>
      </w:r>
    </w:p>
    <w:p w14:paraId="17D9BD99">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ascii="仿宋" w:hAnsi="仿宋" w:eastAsia="仿宋" w:cs="楷体"/>
          <w:color w:val="000000"/>
          <w:kern w:val="0"/>
          <w:sz w:val="32"/>
          <w:szCs w:val="32"/>
          <w:lang w:val="en-US" w:eastAsia="zh-CN"/>
        </w:rPr>
      </w:pPr>
    </w:p>
    <w:p w14:paraId="2EF51A9C">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B5004A">
      <w:pPr>
        <w:widowControl/>
        <w:ind w:firstLine="640" w:firstLineChars="200"/>
        <w:jc w:val="left"/>
        <w:rPr>
          <w:rFonts w:hint="eastAsia" w:ascii="仿宋_GB2312" w:hAnsi="宋体" w:eastAsia="仿宋_GB2312" w:cs="仿宋_GB2312"/>
          <w:color w:val="000000"/>
          <w:kern w:val="0"/>
          <w:sz w:val="32"/>
          <w:szCs w:val="32"/>
        </w:rPr>
      </w:pPr>
    </w:p>
    <w:p w14:paraId="510F7671">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公用经费70.75万元，主要包括（单位支出涉及的款级科目）办公费17.99万元；水费0.50万元；电费8.00万元；取暖费0.44万元； 维修(护)费41.84万元。</w:t>
      </w:r>
    </w:p>
    <w:p w14:paraId="4EB08169">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p>
    <w:p w14:paraId="5DB4A8A7">
      <w:pPr>
        <w:widowControl/>
        <w:ind w:firstLine="640" w:firstLineChars="200"/>
        <w:jc w:val="left"/>
      </w:pPr>
      <w:r>
        <w:rPr>
          <w:rFonts w:hint="eastAsia" w:ascii="仿宋_GB2312" w:hAnsi="宋体" w:eastAsia="仿宋_GB2312" w:cs="仿宋_GB2312"/>
          <w:color w:val="000000"/>
          <w:kern w:val="0"/>
          <w:sz w:val="32"/>
          <w:szCs w:val="32"/>
          <w:lang w:eastAsia="zh-C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988644">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14:paraId="25F579E8">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14:paraId="44EFAC03">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1、“三公”经费财政拨款支出总体情况说明。</w:t>
      </w:r>
    </w:p>
    <w:p w14:paraId="3C6DA06A">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2019年度一般公共预算财政拨款安排的“三公经费”支出0万元，与2018年持平。</w:t>
      </w:r>
    </w:p>
    <w:p w14:paraId="350BC89E">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因公出国（境）支出情况。</w:t>
      </w:r>
    </w:p>
    <w:p w14:paraId="182F35D2">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2019年因公出国（境）团组0个，0人次，支出0万元</w:t>
      </w:r>
    </w:p>
    <w:p w14:paraId="66F1F2F7">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公务用车购置及运行维护费用支出情况。</w:t>
      </w:r>
    </w:p>
    <w:p w14:paraId="1613968C">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2019年购置车辆0台，支出0万元，公务用车运行维护费支出0万元。</w:t>
      </w:r>
    </w:p>
    <w:p w14:paraId="69000E60">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公务接待费支出情况。</w:t>
      </w:r>
    </w:p>
    <w:p w14:paraId="34516288">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2019年公务接待0批次，0人次，支出0万元</w:t>
      </w:r>
    </w:p>
    <w:p w14:paraId="7AB59593">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14:paraId="685BC0C9">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本部门无政府性基金决算收支，并已公开空表。</w:t>
      </w:r>
    </w:p>
    <w:p w14:paraId="20CAFFF5">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14:paraId="56A32FF9">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本部门无国有资本经营决算拨款收支。</w:t>
      </w:r>
    </w:p>
    <w:p w14:paraId="48BFDD7E">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14:paraId="213C5F41">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14:paraId="55C90E4A">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根据预算绩效管理要求，本部门组织对 2019年一般公共预算项目支出全面开展绩效自评，其中，一级项目1个，共涉及资金137万元，占一般公共预算项目支出总额的12.17%。本部门无政府性基金预算项目。</w:t>
      </w:r>
    </w:p>
    <w:p w14:paraId="73667B77">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14:paraId="77673AD2">
      <w:pPr>
        <w:widowControl/>
        <w:ind w:firstLine="640" w:firstLineChars="200"/>
        <w:jc w:val="left"/>
        <w:rPr>
          <w:rFonts w:ascii="楷体" w:hAnsi="楷体" w:eastAsia="楷体" w:cs="楷体"/>
          <w:sz w:val="32"/>
          <w:szCs w:val="32"/>
        </w:rPr>
        <w:sectPr>
          <w:pgSz w:w="11906" w:h="16838"/>
          <w:pgMar w:top="1984" w:right="1588" w:bottom="1928" w:left="1474" w:header="851" w:footer="992" w:gutter="0"/>
          <w:cols w:space="0" w:num="1"/>
          <w:rtlGutter w:val="0"/>
          <w:docGrid w:type="lines" w:linePitch="315" w:charSpace="0"/>
        </w:sectPr>
      </w:pPr>
      <w:r>
        <w:rPr>
          <w:rFonts w:hint="eastAsia" w:ascii="仿宋" w:hAnsi="仿宋" w:eastAsia="仿宋" w:cs="楷体"/>
          <w:color w:val="000000"/>
          <w:kern w:val="0"/>
          <w:sz w:val="32"/>
          <w:szCs w:val="32"/>
          <w:lang w:val="en-US" w:eastAsia="zh-CN"/>
        </w:rPr>
        <w:t>对村级一事一议的补助</w:t>
      </w:r>
      <w:r>
        <w:rPr>
          <w:rFonts w:hint="default" w:ascii="仿宋" w:hAnsi="仿宋" w:eastAsia="仿宋" w:cs="楷体"/>
          <w:color w:val="000000"/>
          <w:kern w:val="0"/>
          <w:sz w:val="32"/>
          <w:szCs w:val="32"/>
          <w:lang w:val="en-US" w:eastAsia="zh-CN"/>
        </w:rPr>
        <w:t>项目绩效自评综述：根据年初设定的绩效目标，项目自评得分100分。项目全年预算数</w:t>
      </w:r>
      <w:r>
        <w:rPr>
          <w:rFonts w:hint="eastAsia" w:ascii="仿宋" w:hAnsi="仿宋" w:eastAsia="仿宋" w:cs="楷体"/>
          <w:color w:val="000000"/>
          <w:kern w:val="0"/>
          <w:sz w:val="32"/>
          <w:szCs w:val="32"/>
          <w:lang w:val="en-US" w:eastAsia="zh-CN"/>
        </w:rPr>
        <w:t>137</w:t>
      </w:r>
      <w:r>
        <w:rPr>
          <w:rFonts w:hint="default" w:ascii="仿宋" w:hAnsi="仿宋" w:eastAsia="仿宋" w:cs="楷体"/>
          <w:color w:val="000000"/>
          <w:kern w:val="0"/>
          <w:sz w:val="32"/>
          <w:szCs w:val="32"/>
          <w:lang w:val="en-US" w:eastAsia="zh-CN"/>
        </w:rPr>
        <w:t>万元，执行数</w:t>
      </w:r>
      <w:r>
        <w:rPr>
          <w:rFonts w:hint="eastAsia" w:ascii="仿宋" w:hAnsi="仿宋" w:eastAsia="仿宋" w:cs="楷体"/>
          <w:color w:val="000000"/>
          <w:kern w:val="0"/>
          <w:sz w:val="32"/>
          <w:szCs w:val="32"/>
          <w:lang w:val="en-US" w:eastAsia="zh-CN"/>
        </w:rPr>
        <w:t>137</w:t>
      </w:r>
      <w:r>
        <w:rPr>
          <w:rFonts w:hint="default" w:ascii="仿宋" w:hAnsi="仿宋" w:eastAsia="仿宋" w:cs="楷体"/>
          <w:color w:val="000000"/>
          <w:kern w:val="0"/>
          <w:sz w:val="32"/>
          <w:szCs w:val="32"/>
          <w:lang w:val="en-US" w:eastAsia="zh-CN"/>
        </w:rPr>
        <w:t>万元，完成预算的100%。主要产出和效果：通过项目实施</w:t>
      </w:r>
      <w:r>
        <w:rPr>
          <w:rFonts w:hint="eastAsia" w:ascii="仿宋" w:hAnsi="仿宋" w:eastAsia="仿宋" w:cs="楷体"/>
          <w:color w:val="000000"/>
          <w:kern w:val="0"/>
          <w:sz w:val="32"/>
          <w:szCs w:val="32"/>
          <w:lang w:val="en-US" w:eastAsia="zh-CN"/>
        </w:rPr>
        <w:t>对各村公益事业工作进行推进，提高群众生产生活条件</w:t>
      </w:r>
      <w:r>
        <w:rPr>
          <w:rFonts w:hint="default" w:ascii="仿宋" w:hAnsi="仿宋" w:eastAsia="仿宋" w:cs="楷体"/>
          <w:color w:val="000000"/>
          <w:kern w:val="0"/>
          <w:sz w:val="32"/>
          <w:szCs w:val="32"/>
          <w:lang w:val="en-US" w:eastAsia="zh-CN"/>
        </w:rPr>
        <w:t>。下一步改进措施：加强工作作风，提高项目经费使用效率。</w:t>
      </w:r>
      <w:r>
        <w:rPr>
          <w:rFonts w:hint="eastAsia" w:ascii="楷体" w:hAnsi="楷体" w:eastAsia="楷体" w:cs="楷体"/>
          <w:sz w:val="32"/>
          <w:szCs w:val="32"/>
        </w:rPr>
        <w:object>
          <v:shape id="_x0000_i1025" o:spt="75" type="#_x0000_t75" style="height:687.5pt;width:466.5pt;" o:ole="t" filled="f" o:preferrelative="t" stroked="f" coordsize="21600,21600">
            <v:path/>
            <v:fill on="f" focussize="0,0"/>
            <v:stroke on="f"/>
            <v:imagedata r:id="rId14" o:title=""/>
            <o:lock v:ext="edit" aspectratio="t"/>
            <w10:wrap type="none"/>
            <w10:anchorlock/>
          </v:shape>
          <o:OLEObject Type="Embed" ProgID="Excel.Sheet.8" ShapeID="_x0000_i1025" DrawAspect="Content" ObjectID="_1468075725" r:id="rId13">
            <o:LockedField>false</o:LockedField>
          </o:OLEObject>
        </w:object>
      </w:r>
    </w:p>
    <w:p w14:paraId="05ACF9C0">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50.65pt;width:631.5pt;" o:ole="t" filled="f" o:preferrelative="t" stroked="f" coordsize="21600,21600">
            <v:path/>
            <v:fill on="f" focussize="0,0"/>
            <v:stroke on="f"/>
            <v:imagedata r:id="rId16" o:title=""/>
            <o:lock v:ext="edit" aspectratio="t"/>
            <w10:wrap type="none"/>
            <w10:anchorlock/>
          </v:shape>
          <o:OLEObject Type="Embed" ProgID="Excel.Sheet.8" ShapeID="_x0000_i1026" DrawAspect="Content" ObjectID="_1468075726" r:id="rId15">
            <o:LockedField>false</o:LockedField>
          </o:OLEObject>
        </w:object>
      </w:r>
    </w:p>
    <w:p w14:paraId="059CC510">
      <w:pPr>
        <w:rPr>
          <w:rFonts w:ascii="楷体" w:hAnsi="楷体" w:eastAsia="楷体" w:cs="楷体"/>
          <w:sz w:val="32"/>
          <w:szCs w:val="32"/>
        </w:rPr>
      </w:pPr>
    </w:p>
    <w:p w14:paraId="4538CA6D">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87.1pt;width:647.4pt;" o:ole="t" filled="f" o:preferrelative="t" stroked="f" coordsize="21600,21600">
            <v:path/>
            <v:fill on="f" focussize="0,0"/>
            <v:stroke on="f"/>
            <v:imagedata r:id="rId18" o:title=""/>
            <o:lock v:ext="edit" aspectratio="t"/>
            <w10:wrap type="none"/>
            <w10:anchorlock/>
          </v:shape>
          <o:OLEObject Type="Embed" ProgID="Excel.Sheet.8" ShapeID="_x0000_i1027" DrawAspect="Content" ObjectID="_1468075727" r:id="rId17">
            <o:LockedField>false</o:LockedField>
          </o:OLEObject>
        </w:object>
      </w:r>
    </w:p>
    <w:p w14:paraId="522E79BD">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type="#_x0000_t75" style="height:339pt;width:645pt;" o:ole="t" filled="f" o:preferrelative="t" stroked="f" coordsize="21600,21600">
            <v:path/>
            <v:fill on="f" focussize="0,0"/>
            <v:stroke on="f"/>
            <v:imagedata r:id="rId20" o:title=""/>
            <o:lock v:ext="edit" aspectratio="t"/>
            <w10:wrap type="none"/>
            <w10:anchorlock/>
          </v:shape>
          <o:OLEObject Type="Embed" ProgID="Excel.Sheet.8" ShapeID="_x0000_i1028" DrawAspect="Content" ObjectID="_1468075728" r:id="rId19">
            <o:LockedField>false</o:LockedField>
          </o:OLEObject>
        </w:object>
      </w:r>
    </w:p>
    <w:p w14:paraId="3D81178F">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14:paraId="1F74F53E">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14:paraId="66B00032">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2019年机关运行经费预算为41.63万元，支出决算为41.63万元，完成预算的100%。决算数较预算数持平。</w:t>
      </w:r>
    </w:p>
    <w:p w14:paraId="6722A7BC">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14:paraId="760AE901">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2019年本部门政府采购支出总额共228.87万元，其中政府采购工程支出228.87万元。</w:t>
      </w:r>
    </w:p>
    <w:p w14:paraId="595C7325">
      <w:pPr>
        <w:jc w:val="center"/>
        <w:rPr>
          <w:sz w:val="44"/>
          <w:szCs w:val="44"/>
        </w:rPr>
      </w:pPr>
      <w:r>
        <w:rPr>
          <w:rFonts w:hint="eastAsia" w:ascii="黑体" w:hAnsi="宋体" w:eastAsia="黑体"/>
          <w:color w:val="000000"/>
          <w:kern w:val="0"/>
          <w:sz w:val="44"/>
          <w:szCs w:val="44"/>
        </w:rPr>
        <w:t>第四部分 专业名词解释</w:t>
      </w:r>
    </w:p>
    <w:p w14:paraId="22713E79">
      <w:pPr>
        <w:ind w:firstLine="643" w:firstLineChars="200"/>
        <w:rPr>
          <w:rFonts w:hint="eastAsia" w:ascii="仿宋" w:hAnsi="仿宋" w:eastAsia="仿宋" w:cs="楷体"/>
          <w:color w:val="000000"/>
          <w:kern w:val="0"/>
          <w:sz w:val="32"/>
          <w:szCs w:val="32"/>
          <w:lang w:val="en-US" w:eastAsia="zh-CN"/>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w:t>
      </w:r>
      <w:r>
        <w:rPr>
          <w:rFonts w:hint="eastAsia" w:ascii="仿宋" w:hAnsi="仿宋" w:eastAsia="仿宋" w:cs="楷体"/>
          <w:color w:val="000000"/>
          <w:kern w:val="0"/>
          <w:sz w:val="32"/>
          <w:szCs w:val="32"/>
          <w:lang w:val="en-US" w:eastAsia="zh-CN"/>
        </w:rPr>
        <w:t>指为保障机构正常运转、完成日常工作任务而发生的各项支出。</w:t>
      </w:r>
    </w:p>
    <w:p w14:paraId="364C6387">
      <w:pPr>
        <w:ind w:firstLine="643" w:firstLineChars="200"/>
        <w:rPr>
          <w:rFonts w:hint="eastAsia" w:ascii="仿宋" w:hAnsi="仿宋" w:eastAsia="仿宋" w:cs="楷体"/>
          <w:color w:val="000000"/>
          <w:kern w:val="0"/>
          <w:sz w:val="32"/>
          <w:szCs w:val="32"/>
          <w:lang w:val="en-US" w:eastAsia="zh-CN"/>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w:t>
      </w:r>
      <w:r>
        <w:rPr>
          <w:rFonts w:hint="eastAsia" w:ascii="仿宋" w:hAnsi="仿宋" w:eastAsia="仿宋" w:cs="楷体"/>
          <w:color w:val="000000"/>
          <w:kern w:val="0"/>
          <w:sz w:val="32"/>
          <w:szCs w:val="32"/>
          <w:lang w:val="en-US" w:eastAsia="zh-CN"/>
        </w:rPr>
        <w:t>指单位为完成特定的行政工作任务或事业发展目标所发生的各项支出。</w:t>
      </w:r>
    </w:p>
    <w:p w14:paraId="0AD7F0F2">
      <w:pPr>
        <w:ind w:firstLine="640"/>
        <w:rPr>
          <w:rFonts w:hint="eastAsia" w:ascii="仿宋" w:hAnsi="仿宋" w:eastAsia="仿宋" w:cs="楷体"/>
          <w:color w:val="000000"/>
          <w:kern w:val="0"/>
          <w:sz w:val="32"/>
          <w:szCs w:val="32"/>
          <w:lang w:val="en-US" w:eastAsia="zh-CN"/>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w:t>
      </w:r>
      <w:r>
        <w:rPr>
          <w:rFonts w:hint="eastAsia" w:ascii="仿宋" w:hAnsi="仿宋" w:eastAsia="仿宋" w:cs="楷体"/>
          <w:color w:val="000000"/>
          <w:kern w:val="0"/>
          <w:sz w:val="32"/>
          <w:szCs w:val="32"/>
          <w:lang w:val="en-US" w:eastAsia="zh-CN"/>
        </w:rPr>
        <w:t>指部门使用一般公共预算财政拨款安排的因公出国（境）费、公务用车购置及运行费和公务接待费支出。</w:t>
      </w:r>
    </w:p>
    <w:p w14:paraId="5877F627">
      <w:pPr>
        <w:ind w:firstLine="640"/>
        <w:rPr>
          <w:rFonts w:hint="eastAsia" w:ascii="仿宋" w:hAnsi="仿宋" w:eastAsia="仿宋" w:cs="楷体"/>
          <w:color w:val="000000"/>
          <w:kern w:val="0"/>
          <w:sz w:val="32"/>
          <w:szCs w:val="32"/>
          <w:lang w:val="en-US" w:eastAsia="zh-CN"/>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w:t>
      </w:r>
      <w:r>
        <w:rPr>
          <w:rFonts w:hint="eastAsia" w:ascii="仿宋" w:hAnsi="仿宋" w:eastAsia="仿宋" w:cs="楷体"/>
          <w:color w:val="000000"/>
          <w:kern w:val="0"/>
          <w:sz w:val="32"/>
          <w:szCs w:val="32"/>
          <w:lang w:val="en-US" w:eastAsia="zh-CN"/>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CE562"/>
    <w:multiLevelType w:val="singleLevel"/>
    <w:tmpl w:val="A94CE562"/>
    <w:lvl w:ilvl="0" w:tentative="0">
      <w:start w:val="11"/>
      <w:numFmt w:val="decimal"/>
      <w:lvlText w:val="%1."/>
      <w:lvlJc w:val="left"/>
      <w:pPr>
        <w:tabs>
          <w:tab w:val="left" w:pos="312"/>
        </w:tabs>
      </w:pPr>
    </w:lvl>
  </w:abstractNum>
  <w:abstractNum w:abstractNumId="1">
    <w:nsid w:val="B194C7B7"/>
    <w:multiLevelType w:val="singleLevel"/>
    <w:tmpl w:val="B194C7B7"/>
    <w:lvl w:ilvl="0" w:tentative="0">
      <w:start w:val="2"/>
      <w:numFmt w:val="chineseCounting"/>
      <w:suff w:val="nothing"/>
      <w:lvlText w:val="（%1）"/>
      <w:lvlJc w:val="left"/>
      <w:rPr>
        <w:rFonts w:hint="eastAsia"/>
      </w:rPr>
    </w:lvl>
  </w:abstractNum>
  <w:abstractNum w:abstractNumId="2">
    <w:nsid w:val="14E38E24"/>
    <w:multiLevelType w:val="singleLevel"/>
    <w:tmpl w:val="14E38E24"/>
    <w:lvl w:ilvl="0" w:tentative="0">
      <w:start w:val="1"/>
      <w:numFmt w:val="decimal"/>
      <w:lvlText w:val="%1."/>
      <w:lvlJc w:val="left"/>
      <w:pPr>
        <w:tabs>
          <w:tab w:val="left" w:pos="312"/>
        </w:tabs>
      </w:pPr>
    </w:lvl>
  </w:abstractNum>
  <w:abstractNum w:abstractNumId="3">
    <w:nsid w:val="29913BAB"/>
    <w:multiLevelType w:val="singleLevel"/>
    <w:tmpl w:val="29913BAB"/>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2ZGQyZWY5MTY3MzE4YmMzYzBkYzA4NDFjM2UyZWIifQ=="/>
  </w:docVars>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3B79AC"/>
    <w:rsid w:val="044A3FD1"/>
    <w:rsid w:val="04697A1A"/>
    <w:rsid w:val="049705C0"/>
    <w:rsid w:val="075028E0"/>
    <w:rsid w:val="0A791FC0"/>
    <w:rsid w:val="0AD500B5"/>
    <w:rsid w:val="0DD75867"/>
    <w:rsid w:val="0F4459EB"/>
    <w:rsid w:val="103009AF"/>
    <w:rsid w:val="125E2600"/>
    <w:rsid w:val="132E46A0"/>
    <w:rsid w:val="14411117"/>
    <w:rsid w:val="1586116E"/>
    <w:rsid w:val="16563223"/>
    <w:rsid w:val="18BB4AD7"/>
    <w:rsid w:val="1B4A3FDA"/>
    <w:rsid w:val="1B524C98"/>
    <w:rsid w:val="1C5E2F73"/>
    <w:rsid w:val="1D6E0C0D"/>
    <w:rsid w:val="1F262742"/>
    <w:rsid w:val="221C15BB"/>
    <w:rsid w:val="22416505"/>
    <w:rsid w:val="2355102E"/>
    <w:rsid w:val="294C330D"/>
    <w:rsid w:val="2970016B"/>
    <w:rsid w:val="29785A6B"/>
    <w:rsid w:val="2AE15C1B"/>
    <w:rsid w:val="2C3673B9"/>
    <w:rsid w:val="2D1F3974"/>
    <w:rsid w:val="2E7A53E7"/>
    <w:rsid w:val="30F51D13"/>
    <w:rsid w:val="31AA6038"/>
    <w:rsid w:val="32587042"/>
    <w:rsid w:val="33887EE3"/>
    <w:rsid w:val="34677C61"/>
    <w:rsid w:val="359E280A"/>
    <w:rsid w:val="36181313"/>
    <w:rsid w:val="36C10A70"/>
    <w:rsid w:val="3B121AD1"/>
    <w:rsid w:val="3CFD0D2E"/>
    <w:rsid w:val="41603979"/>
    <w:rsid w:val="457C282B"/>
    <w:rsid w:val="4619368A"/>
    <w:rsid w:val="4D6E0FDF"/>
    <w:rsid w:val="4EE4307A"/>
    <w:rsid w:val="5153143F"/>
    <w:rsid w:val="54F12DEE"/>
    <w:rsid w:val="55D73B80"/>
    <w:rsid w:val="61EE712D"/>
    <w:rsid w:val="63361DBB"/>
    <w:rsid w:val="65690134"/>
    <w:rsid w:val="678845C9"/>
    <w:rsid w:val="69264BDA"/>
    <w:rsid w:val="72E742E2"/>
    <w:rsid w:val="75C31473"/>
    <w:rsid w:val="77BA1161"/>
    <w:rsid w:val="783D08CB"/>
    <w:rsid w:val="7AF22FED"/>
    <w:rsid w:val="7C3E5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ody Text"/>
    <w:basedOn w:val="1"/>
    <w:qFormat/>
    <w:uiPriority w:val="99"/>
    <w:pPr>
      <w:spacing w:after="120"/>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annotation subject"/>
    <w:basedOn w:val="2"/>
    <w:next w:val="2"/>
    <w:link w:val="14"/>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批注文字 Char"/>
    <w:basedOn w:val="11"/>
    <w:link w:val="2"/>
    <w:qFormat/>
    <w:uiPriority w:val="0"/>
    <w:rPr>
      <w:rFonts w:ascii="Calibri" w:hAnsi="Calibri" w:cs="黑体"/>
      <w:kern w:val="2"/>
      <w:sz w:val="21"/>
      <w:szCs w:val="24"/>
    </w:rPr>
  </w:style>
  <w:style w:type="character" w:customStyle="1" w:styleId="14">
    <w:name w:val="批注主题 Char"/>
    <w:basedOn w:val="13"/>
    <w:link w:val="8"/>
    <w:qFormat/>
    <w:uiPriority w:val="0"/>
    <w:rPr>
      <w:rFonts w:ascii="Calibri" w:hAnsi="Calibri" w:cs="黑体"/>
      <w:b/>
      <w:bCs/>
      <w:kern w:val="2"/>
      <w:sz w:val="21"/>
      <w:szCs w:val="24"/>
    </w:rPr>
  </w:style>
  <w:style w:type="character" w:customStyle="1" w:styleId="15">
    <w:name w:val="批注框文本 Char"/>
    <w:basedOn w:val="11"/>
    <w:link w:val="4"/>
    <w:qFormat/>
    <w:uiPriority w:val="0"/>
    <w:rPr>
      <w:rFonts w:ascii="Calibri" w:hAnsi="Calibri" w:cs="黑体"/>
      <w:kern w:val="2"/>
      <w:sz w:val="18"/>
      <w:szCs w:val="18"/>
    </w:rPr>
  </w:style>
  <w:style w:type="paragraph" w:styleId="16">
    <w:name w:val="No Spacing"/>
    <w:qFormat/>
    <w:uiPriority w:val="99"/>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a:t>
            </a:r>
          </a:p>
        </c:rich>
      </c:tx>
      <c:layout/>
      <c:overlay val="0"/>
      <c:spPr>
        <a:noFill/>
        <a:ln>
          <a:noFill/>
        </a:ln>
        <a:effectLst/>
      </c:spPr>
    </c:title>
    <c:autoTitleDeleted val="0"/>
    <c:plotArea>
      <c:layout>
        <c:manualLayout>
          <c:layoutTarget val="inner"/>
          <c:xMode val="edge"/>
          <c:yMode val="edge"/>
          <c:x val="0.05595"/>
          <c:y val="0.1245"/>
          <c:w val="0.91655"/>
          <c:h val="0.717233333333333"/>
        </c:manualLayout>
      </c:layout>
      <c:barChart>
        <c:barDir val="col"/>
        <c:grouping val="clustered"/>
        <c:varyColors val="0"/>
        <c:ser>
          <c:idx val="0"/>
          <c:order val="0"/>
          <c:tx>
            <c:strRef>
              <c:f>Sheet1!$A$2</c:f>
              <c:strCache>
                <c:ptCount val="1"/>
                <c:pt idx="0">
                  <c:v>事业</c:v>
                </c:pt>
              </c:strCache>
            </c:strRef>
          </c:tx>
          <c:spPr>
            <a:solidFill>
              <a:schemeClr val="accent1"/>
            </a:solidFill>
            <a:ln>
              <a:noFill/>
            </a:ln>
            <a:effectLst/>
          </c:spPr>
          <c:invertIfNegative val="0"/>
          <c:dLbls>
            <c:delete val="1"/>
          </c:dLbls>
          <c:cat>
            <c:strRef>
              <c:f>Sheet1!$B$1:$D$1</c:f>
              <c:strCache>
                <c:ptCount val="3"/>
                <c:pt idx="0">
                  <c:v>汤峪镇人民政府机关</c:v>
                </c:pt>
                <c:pt idx="1">
                  <c:v>汤峪镇计划生育办公室</c:v>
                </c:pt>
                <c:pt idx="2">
                  <c:v>汤峪财政所</c:v>
                </c:pt>
              </c:strCache>
            </c:strRef>
          </c:cat>
          <c:val>
            <c:numRef>
              <c:f>Sheet1!$B$2:$D$2</c:f>
              <c:numCache>
                <c:formatCode>General</c:formatCode>
                <c:ptCount val="3"/>
                <c:pt idx="0">
                  <c:v>29</c:v>
                </c:pt>
                <c:pt idx="1">
                  <c:v>3</c:v>
                </c:pt>
                <c:pt idx="2">
                  <c:v>0</c:v>
                </c:pt>
              </c:numCache>
            </c:numRef>
          </c:val>
        </c:ser>
        <c:ser>
          <c:idx val="1"/>
          <c:order val="1"/>
          <c:tx>
            <c:strRef>
              <c:f>Sheet1!$A$3</c:f>
              <c:strCache>
                <c:ptCount val="1"/>
                <c:pt idx="0">
                  <c:v>行政</c:v>
                </c:pt>
              </c:strCache>
            </c:strRef>
          </c:tx>
          <c:spPr>
            <a:solidFill>
              <a:schemeClr val="accent2"/>
            </a:solidFill>
            <a:ln>
              <a:noFill/>
            </a:ln>
            <a:effectLst/>
          </c:spPr>
          <c:invertIfNegative val="0"/>
          <c:dLbls>
            <c:delete val="1"/>
          </c:dLbls>
          <c:cat>
            <c:strRef>
              <c:f>Sheet1!$B$1:$D$1</c:f>
              <c:strCache>
                <c:ptCount val="3"/>
                <c:pt idx="0">
                  <c:v>汤峪镇人民政府机关</c:v>
                </c:pt>
                <c:pt idx="1">
                  <c:v>汤峪镇计划生育办公室</c:v>
                </c:pt>
                <c:pt idx="2">
                  <c:v>汤峪财政所</c:v>
                </c:pt>
              </c:strCache>
            </c:strRef>
          </c:cat>
          <c:val>
            <c:numRef>
              <c:f>Sheet1!$B$3:$D$3</c:f>
              <c:numCache>
                <c:formatCode>General</c:formatCode>
                <c:ptCount val="3"/>
                <c:pt idx="0">
                  <c:v>33</c:v>
                </c:pt>
                <c:pt idx="1">
                  <c:v>0</c:v>
                </c:pt>
                <c:pt idx="2">
                  <c:v>7</c:v>
                </c:pt>
              </c:numCache>
            </c:numRef>
          </c:val>
        </c:ser>
        <c:dLbls>
          <c:showLegendKey val="0"/>
          <c:showVal val="0"/>
          <c:showCatName val="0"/>
          <c:showSerName val="0"/>
          <c:showPercent val="0"/>
          <c:showBubbleSize val="0"/>
        </c:dLbls>
        <c:gapWidth val="219"/>
        <c:overlap val="-27"/>
        <c:axId val="310591833"/>
        <c:axId val="316488055"/>
      </c:barChart>
      <c:catAx>
        <c:axId val="3105918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6488055"/>
        <c:crosses val="autoZero"/>
        <c:auto val="1"/>
        <c:lblAlgn val="ctr"/>
        <c:lblOffset val="100"/>
        <c:noMultiLvlLbl val="0"/>
      </c:catAx>
      <c:valAx>
        <c:axId val="316488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05918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1676.13</c:v>
                </c:pt>
                <c:pt idx="1">
                  <c:v>1125.69</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pt idx="0">
                  <c:v>1676.13</c:v>
                </c:pt>
                <c:pt idx="1">
                  <c:v>1125.69</c:v>
                </c:pt>
              </c:numCache>
            </c:numRef>
          </c:val>
        </c:ser>
        <c:dLbls>
          <c:showLegendKey val="0"/>
          <c:showVal val="0"/>
          <c:showCatName val="0"/>
          <c:showSerName val="0"/>
          <c:showPercent val="0"/>
          <c:showBubbleSize val="0"/>
        </c:dLbls>
        <c:gapWidth val="219"/>
        <c:overlap val="-27"/>
        <c:axId val="844234706"/>
        <c:axId val="435503852"/>
      </c:barChart>
      <c:lineChart>
        <c:grouping val="standard"/>
        <c:varyColors val="0"/>
        <c:ser>
          <c:idx val="2"/>
          <c:order val="2"/>
          <c:tx>
            <c:strRef>
              <c:f>Sheet1!#REF!</c:f>
              <c:strCache>
                <c:ptCount val="1"/>
                <c:pt idx="0">
                  <c:v/>
                </c:pt>
              </c:strCache>
            </c:strRef>
          </c:tx>
          <c:spPr>
            <a:ln w="28575" cap="rnd">
              <a:solidFill>
                <a:schemeClr val="accent3"/>
              </a:solidFill>
              <a:round/>
            </a:ln>
            <a:effectLst/>
          </c:spPr>
          <c:marker>
            <c:symbol val="none"/>
          </c:marker>
          <c:dLbls>
            <c:delete val="1"/>
          </c:dLbls>
          <c:cat>
            <c:strRef>
              <c:f>Sheet1!$A$2:$A$3</c:f>
              <c:strCache>
                <c:ptCount val="2"/>
                <c:pt idx="0">
                  <c:v>2018年</c:v>
                </c:pt>
                <c:pt idx="1">
                  <c:v>2019年</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0"/>
        <c:smooth val="0"/>
        <c:axId val="844234706"/>
        <c:axId val="435503852"/>
      </c:lineChart>
      <c:catAx>
        <c:axId val="8442347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5503852"/>
        <c:crosses val="autoZero"/>
        <c:auto val="1"/>
        <c:lblAlgn val="ctr"/>
        <c:lblOffset val="100"/>
        <c:noMultiLvlLbl val="0"/>
      </c:catAx>
      <c:valAx>
        <c:axId val="4355038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4234706"/>
        <c:crosses val="autoZero"/>
        <c:crossBetween val="between"/>
      </c:valAx>
      <c:spPr>
        <a:noFill/>
        <a:ln>
          <a:noFill/>
        </a:ln>
        <a:effectLst/>
      </c:spPr>
    </c:plotArea>
    <c:legend>
      <c:legendPos val="b"/>
      <c:legendEntry>
        <c:idx val="2"/>
        <c:delete val="1"/>
      </c:legendEntry>
      <c:layout>
        <c:manualLayout>
          <c:xMode val="edge"/>
          <c:yMode val="edge"/>
          <c:x val="0.326"/>
          <c:y val="0.924166666666667"/>
          <c:w val="0.42725"/>
          <c:h val="0.0558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支出情况</a:t>
            </a:r>
          </a:p>
        </c:rich>
      </c:tx>
      <c:layout/>
      <c:overlay val="0"/>
      <c:spPr>
        <a:noFill/>
        <a:ln>
          <a:noFill/>
        </a:ln>
        <a:effectLst/>
      </c:spPr>
    </c:title>
    <c:autoTitleDeleted val="0"/>
    <c:plotArea>
      <c:layout/>
      <c:doughnutChart>
        <c:varyColors val="1"/>
        <c:ser>
          <c:idx val="0"/>
          <c:order val="0"/>
          <c:tx>
            <c:strRef>
              <c:f>Sheet1!$B$1</c:f>
              <c:strCache>
                <c:ptCount val="1"/>
                <c:pt idx="0">
                  <c:v>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990.69</c:v>
                </c:pt>
                <c:pt idx="1">
                  <c:v>220</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财政拨款收入变化</a:t>
            </a:r>
          </a:p>
        </c:rich>
      </c:tx>
      <c:layout/>
      <c:overlay val="0"/>
      <c:spPr>
        <a:noFill/>
        <a:ln>
          <a:noFill/>
        </a:ln>
        <a:effectLst/>
      </c:spPr>
    </c:title>
    <c:autoTitleDeleted val="0"/>
    <c:plotArea>
      <c:layout>
        <c:manualLayout>
          <c:layoutTarget val="inner"/>
          <c:xMode val="edge"/>
          <c:yMode val="edge"/>
          <c:x val="0.0427"/>
          <c:y val="0.122"/>
          <c:w val="0.927925"/>
          <c:h val="0.716566666666667"/>
        </c:manualLayout>
      </c:layout>
      <c:barChart>
        <c:barDir val="col"/>
        <c:grouping val="clustered"/>
        <c:varyColors val="0"/>
        <c:ser>
          <c:idx val="0"/>
          <c:order val="0"/>
          <c:tx>
            <c:strRef>
              <c:f>Sheet1!$A$2</c:f>
              <c:strCache>
                <c:ptCount val="1"/>
                <c:pt idx="0">
                  <c:v>2018</c:v>
                </c:pt>
              </c:strCache>
            </c:strRef>
          </c:tx>
          <c:spPr>
            <a:solidFill>
              <a:schemeClr val="accent1"/>
            </a:solidFill>
            <a:ln>
              <a:noFill/>
            </a:ln>
            <a:effectLst/>
          </c:spPr>
          <c:invertIfNegative val="0"/>
          <c:dLbls>
            <c:delete val="1"/>
          </c:dLbls>
          <c:cat>
            <c:strRef>
              <c:f>Sheet1!$B$1</c:f>
              <c:strCache>
                <c:ptCount val="1"/>
                <c:pt idx="0">
                  <c:v>收入</c:v>
                </c:pt>
              </c:strCache>
            </c:strRef>
          </c:cat>
          <c:val>
            <c:numRef>
              <c:f>Sheet1!$B$2</c:f>
              <c:numCache>
                <c:formatCode>General</c:formatCode>
                <c:ptCount val="1"/>
                <c:pt idx="0">
                  <c:v>1676.13</c:v>
                </c:pt>
              </c:numCache>
            </c:numRef>
          </c:val>
        </c:ser>
        <c:ser>
          <c:idx val="1"/>
          <c:order val="1"/>
          <c:tx>
            <c:strRef>
              <c:f>Sheet1!$A$3</c:f>
              <c:strCache>
                <c:ptCount val="1"/>
                <c:pt idx="0">
                  <c:v>2019</c:v>
                </c:pt>
              </c:strCache>
            </c:strRef>
          </c:tx>
          <c:spPr>
            <a:solidFill>
              <a:schemeClr val="accent2"/>
            </a:solidFill>
            <a:ln>
              <a:noFill/>
            </a:ln>
            <a:effectLst/>
          </c:spPr>
          <c:invertIfNegative val="0"/>
          <c:dLbls>
            <c:delete val="1"/>
          </c:dLbls>
          <c:cat>
            <c:strRef>
              <c:f>Sheet1!$B$1</c:f>
              <c:strCache>
                <c:ptCount val="1"/>
                <c:pt idx="0">
                  <c:v>收入</c:v>
                </c:pt>
              </c:strCache>
            </c:strRef>
          </c:cat>
          <c:val>
            <c:numRef>
              <c:f>Sheet1!$B$3</c:f>
              <c:numCache>
                <c:formatCode>General</c:formatCode>
                <c:ptCount val="1"/>
                <c:pt idx="0">
                  <c:v>1125.69</c:v>
                </c:pt>
              </c:numCache>
            </c:numRef>
          </c:val>
        </c:ser>
        <c:dLbls>
          <c:showLegendKey val="0"/>
          <c:showVal val="0"/>
          <c:showCatName val="0"/>
          <c:showSerName val="0"/>
          <c:showPercent val="0"/>
          <c:showBubbleSize val="0"/>
        </c:dLbls>
        <c:gapWidth val="219"/>
        <c:overlap val="-27"/>
        <c:axId val="515418352"/>
        <c:axId val="639760236"/>
      </c:barChart>
      <c:catAx>
        <c:axId val="5154183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9760236"/>
        <c:crosses val="autoZero"/>
        <c:auto val="1"/>
        <c:lblAlgn val="ctr"/>
        <c:lblOffset val="100"/>
        <c:noMultiLvlLbl val="0"/>
      </c:catAx>
      <c:valAx>
        <c:axId val="6397602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54183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财政拨款支出变化</a:t>
            </a:r>
          </a:p>
        </c:rich>
      </c:tx>
      <c:layout/>
      <c:overlay val="0"/>
      <c:spPr>
        <a:noFill/>
        <a:ln>
          <a:noFill/>
        </a:ln>
        <a:effectLst/>
      </c:spPr>
    </c:title>
    <c:autoTitleDeleted val="0"/>
    <c:plotArea>
      <c:layout>
        <c:manualLayout>
          <c:layoutTarget val="inner"/>
          <c:xMode val="edge"/>
          <c:yMode val="edge"/>
          <c:x val="0.06995"/>
          <c:y val="0.1245"/>
          <c:w val="0.927925"/>
          <c:h val="0.716566666666667"/>
        </c:manualLayout>
      </c:layout>
      <c:barChart>
        <c:barDir val="col"/>
        <c:grouping val="clustered"/>
        <c:varyColors val="0"/>
        <c:ser>
          <c:idx val="0"/>
          <c:order val="0"/>
          <c:tx>
            <c:strRef>
              <c:f>Sheet1!$A$2</c:f>
              <c:strCache>
                <c:ptCount val="1"/>
                <c:pt idx="0">
                  <c:v>2018</c:v>
                </c:pt>
              </c:strCache>
            </c:strRef>
          </c:tx>
          <c:spPr>
            <a:solidFill>
              <a:schemeClr val="accent1"/>
            </a:solidFill>
            <a:ln>
              <a:noFill/>
            </a:ln>
            <a:effectLst/>
          </c:spPr>
          <c:invertIfNegative val="0"/>
          <c:dLbls>
            <c:delete val="1"/>
          </c:dLbls>
          <c:cat>
            <c:strRef>
              <c:f>Sheet1!$B$1</c:f>
              <c:strCache>
                <c:ptCount val="1"/>
                <c:pt idx="0">
                  <c:v>支出</c:v>
                </c:pt>
              </c:strCache>
            </c:strRef>
          </c:cat>
          <c:val>
            <c:numRef>
              <c:f>Sheet1!$B$2</c:f>
              <c:numCache>
                <c:formatCode>General</c:formatCode>
                <c:ptCount val="1"/>
                <c:pt idx="0">
                  <c:v>1676.13</c:v>
                </c:pt>
              </c:numCache>
            </c:numRef>
          </c:val>
        </c:ser>
        <c:ser>
          <c:idx val="1"/>
          <c:order val="1"/>
          <c:tx>
            <c:strRef>
              <c:f>Sheet1!$A$3</c:f>
              <c:strCache>
                <c:ptCount val="1"/>
                <c:pt idx="0">
                  <c:v>2019</c:v>
                </c:pt>
              </c:strCache>
            </c:strRef>
          </c:tx>
          <c:spPr>
            <a:solidFill>
              <a:schemeClr val="accent2"/>
            </a:solidFill>
            <a:ln>
              <a:noFill/>
            </a:ln>
            <a:effectLst/>
          </c:spPr>
          <c:invertIfNegative val="0"/>
          <c:dLbls>
            <c:delete val="1"/>
          </c:dLbls>
          <c:cat>
            <c:strRef>
              <c:f>Sheet1!$B$1</c:f>
              <c:strCache>
                <c:ptCount val="1"/>
                <c:pt idx="0">
                  <c:v>支出</c:v>
                </c:pt>
              </c:strCache>
            </c:strRef>
          </c:cat>
          <c:val>
            <c:numRef>
              <c:f>Sheet1!$B$3</c:f>
              <c:numCache>
                <c:formatCode>General</c:formatCode>
                <c:ptCount val="1"/>
                <c:pt idx="0">
                  <c:v>1125.69</c:v>
                </c:pt>
              </c:numCache>
            </c:numRef>
          </c:val>
        </c:ser>
        <c:dLbls>
          <c:showLegendKey val="0"/>
          <c:showVal val="0"/>
          <c:showCatName val="0"/>
          <c:showSerName val="0"/>
          <c:showPercent val="0"/>
          <c:showBubbleSize val="0"/>
        </c:dLbls>
        <c:gapWidth val="219"/>
        <c:overlap val="-27"/>
        <c:axId val="515418352"/>
        <c:axId val="639760236"/>
      </c:barChart>
      <c:catAx>
        <c:axId val="5154183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9760236"/>
        <c:crosses val="autoZero"/>
        <c:auto val="1"/>
        <c:lblAlgn val="ctr"/>
        <c:lblOffset val="100"/>
        <c:noMultiLvlLbl val="0"/>
      </c:catAx>
      <c:valAx>
        <c:axId val="6397602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54183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t>财政拨款支出</a:t>
            </a:r>
          </a:p>
        </c:rich>
      </c:tx>
      <c:layout>
        <c:manualLayout>
          <c:xMode val="edge"/>
          <c:yMode val="edge"/>
          <c:x val="0.396975210370707"/>
          <c:y val="0.0169781931464174"/>
        </c:manualLayout>
      </c:layout>
      <c:overlay val="0"/>
      <c:spPr>
        <a:noFill/>
        <a:ln>
          <a:noFill/>
        </a:ln>
        <a:effectLst/>
      </c:spPr>
    </c:title>
    <c:autoTitleDeleted val="0"/>
    <c:plotArea>
      <c:layout/>
      <c:ofPieChart>
        <c:ofPieType val="pie"/>
        <c:varyColors val="1"/>
        <c:ser>
          <c:idx val="0"/>
          <c:order val="0"/>
          <c:tx>
            <c:strRef>
              <c:f>Sheet1!$B$1</c:f>
              <c:strCache>
                <c:ptCount val="1"/>
                <c:pt idx="0">
                  <c:v>支出</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Sheet1!$A$2:$A$11</c:f>
              <c:strCache>
                <c:ptCount val="10"/>
                <c:pt idx="0">
                  <c:v>一般公共服务支出</c:v>
                </c:pt>
                <c:pt idx="1">
                  <c:v>文化旅游体育与传媒支出</c:v>
                </c:pt>
                <c:pt idx="2">
                  <c:v>农林水支出</c:v>
                </c:pt>
                <c:pt idx="3">
                  <c:v>住房保障支出</c:v>
                </c:pt>
                <c:pt idx="4">
                  <c:v>社会保障和就业支出</c:v>
                </c:pt>
                <c:pt idx="5">
                  <c:v>卫生健康支出</c:v>
                </c:pt>
                <c:pt idx="6">
                  <c:v>城乡社区支出</c:v>
                </c:pt>
                <c:pt idx="7">
                  <c:v>教育支出</c:v>
                </c:pt>
                <c:pt idx="8">
                  <c:v>交通运输支出</c:v>
                </c:pt>
                <c:pt idx="9">
                  <c:v>公共安全支出</c:v>
                </c:pt>
              </c:strCache>
            </c:strRef>
          </c:cat>
          <c:val>
            <c:numRef>
              <c:f>Sheet1!$B$2:$B$11</c:f>
              <c:numCache>
                <c:formatCode>#,##0.00</c:formatCode>
                <c:ptCount val="10"/>
                <c:pt idx="0">
                  <c:v>562.36</c:v>
                </c:pt>
                <c:pt idx="1">
                  <c:v>15</c:v>
                </c:pt>
                <c:pt idx="2">
                  <c:v>333.96</c:v>
                </c:pt>
                <c:pt idx="3">
                  <c:v>44.1</c:v>
                </c:pt>
                <c:pt idx="4">
                  <c:v>70.84</c:v>
                </c:pt>
                <c:pt idx="5">
                  <c:v>42.44</c:v>
                </c:pt>
                <c:pt idx="6">
                  <c:v>34</c:v>
                </c:pt>
                <c:pt idx="7">
                  <c:v>7</c:v>
                </c:pt>
                <c:pt idx="8">
                  <c:v>9</c:v>
                </c:pt>
                <c:pt idx="9">
                  <c:v>6.99</c:v>
                </c:pt>
              </c:numCache>
            </c:numRef>
          </c:val>
        </c:ser>
        <c:dLbls>
          <c:showLegendKey val="0"/>
          <c:showVal val="0"/>
          <c:showCatName val="1"/>
          <c:showSerName val="0"/>
          <c:showPercent val="1"/>
          <c:showBubbleSize val="0"/>
          <c:showLeaderLines val="1"/>
        </c:dLbls>
        <c:gapWidth val="100"/>
        <c:secondPieSize val="75"/>
        <c:serLines>
          <c:spPr>
            <a:ln w="9525" cap="flat" cmpd="sng" algn="ctr">
              <a:solidFill>
                <a:schemeClr val="dk1">
                  <a:lumMod val="35000"/>
                  <a:lumOff val="65000"/>
                </a:schemeClr>
              </a:solidFill>
              <a:round/>
            </a:ln>
            <a:effectLst/>
          </c:spPr>
        </c:serLines>
      </c:ofPieChart>
      <c:spPr>
        <a:noFill/>
        <a:ln>
          <a:noFill/>
        </a:ln>
        <a:effectLst/>
      </c:spPr>
    </c:plotArea>
    <c:legend>
      <c:legendPos val="r"/>
      <c:layout>
        <c:manualLayout>
          <c:xMode val="edge"/>
          <c:yMode val="edge"/>
          <c:x val="0.749101600784058"/>
          <c:y val="0.583259911894273"/>
        </c:manualLayout>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dk1">
                    <a:lumMod val="75000"/>
                    <a:lumOff val="25000"/>
                  </a:schemeClr>
                </a:solidFill>
                <a:latin typeface="+mn-lt"/>
                <a:ea typeface="+mn-ea"/>
                <a:cs typeface="+mn-cs"/>
              </a:defRPr>
            </a:pPr>
            <a:r>
              <a:rPr sz="1200"/>
              <a:t>一般公共预算财政拨款支出</a:t>
            </a:r>
            <a:endParaRPr sz="1200"/>
          </a:p>
        </c:rich>
      </c:tx>
      <c:layout/>
      <c:overlay val="0"/>
      <c:spPr>
        <a:noFill/>
        <a:ln>
          <a:noFill/>
        </a:ln>
        <a:effectLst/>
      </c:spPr>
    </c:title>
    <c:autoTitleDeleted val="0"/>
    <c:plotArea>
      <c:layout/>
      <c:doughnutChart>
        <c:varyColors val="1"/>
        <c:ser>
          <c:idx val="0"/>
          <c:order val="0"/>
          <c:tx>
            <c:strRef>
              <c:f>Sheet1!$B$1</c:f>
              <c:strCache>
                <c:ptCount val="1"/>
                <c:pt idx="0">
                  <c:v>金额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人员经费支出</c:v>
                </c:pt>
                <c:pt idx="1">
                  <c:v>公用经费支出</c:v>
                </c:pt>
              </c:strCache>
            </c:strRef>
          </c:cat>
          <c:val>
            <c:numRef>
              <c:f>Sheet1!$B$2:$B$3</c:f>
              <c:numCache>
                <c:formatCode>#,##0.00</c:formatCode>
                <c:ptCount val="2"/>
                <c:pt idx="0">
                  <c:v>17.99</c:v>
                </c:pt>
                <c:pt idx="1">
                  <c:v>0.5</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人员经费支出</a:t>
            </a:r>
          </a:p>
        </c:rich>
      </c:tx>
      <c:layout/>
      <c:overlay val="0"/>
      <c:spPr>
        <a:noFill/>
        <a:ln>
          <a:noFill/>
        </a:ln>
        <a:effectLst/>
      </c:spPr>
    </c:title>
    <c:autoTitleDeleted val="0"/>
    <c:plotArea>
      <c:layout/>
      <c:ofPieChart>
        <c:ofPieType val="pie"/>
        <c:varyColors val="1"/>
        <c:ser>
          <c:idx val="0"/>
          <c:order val="0"/>
          <c:tx>
            <c:strRef>
              <c:f>Sheet1!$B$1</c:f>
              <c:strCache>
                <c:ptCount val="1"/>
                <c:pt idx="0">
                  <c:v>支出</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Pt>
            <c:idx val="5"/>
            <c:bubble3D val="0"/>
            <c:spPr>
              <a:solidFill>
                <a:schemeClr val="accent6"/>
              </a:solidFill>
              <a:ln>
                <a:noFill/>
              </a:ln>
              <a:effectLst>
                <a:outerShdw blurRad="317500" algn="ctr" rotWithShape="0">
                  <a:prstClr val="black">
                    <a:alpha val="25000"/>
                  </a:prstClr>
                </a:outerShdw>
              </a:effectLst>
            </c:spPr>
          </c:dPt>
          <c:dPt>
            <c:idx val="6"/>
            <c:bubble3D val="0"/>
            <c:spPr>
              <a:solidFill>
                <a:schemeClr val="accent1">
                  <a:lumMod val="60000"/>
                </a:schemeClr>
              </a:solidFill>
              <a:ln>
                <a:noFill/>
              </a:ln>
              <a:effectLst>
                <a:outerShdw blurRad="317500" algn="ctr" rotWithShape="0">
                  <a:prstClr val="black">
                    <a:alpha val="25000"/>
                  </a:prstClr>
                </a:outerShdw>
              </a:effectLst>
            </c:spPr>
          </c:dPt>
          <c:dPt>
            <c:idx val="7"/>
            <c:bubble3D val="0"/>
            <c:spPr>
              <a:solidFill>
                <a:schemeClr val="accent2">
                  <a:lumMod val="60000"/>
                </a:schemeClr>
              </a:solidFill>
              <a:ln>
                <a:noFill/>
              </a:ln>
              <a:effectLst>
                <a:outerShdw blurRad="317500" algn="ctr" rotWithShape="0">
                  <a:prstClr val="black">
                    <a:alpha val="25000"/>
                  </a:prstClr>
                </a:outerShdw>
              </a:effectLst>
            </c:spPr>
          </c:dPt>
          <c:dPt>
            <c:idx val="8"/>
            <c:bubble3D val="0"/>
            <c:spPr>
              <a:solidFill>
                <a:schemeClr val="accent3">
                  <a:lumMod val="60000"/>
                </a:schemeClr>
              </a:solidFill>
              <a:ln>
                <a:noFill/>
              </a:ln>
              <a:effectLst>
                <a:outerShdw blurRad="317500" algn="ctr" rotWithShape="0">
                  <a:prstClr val="black">
                    <a:alpha val="25000"/>
                  </a:prstClr>
                </a:outerShdw>
              </a:effectLst>
            </c:spPr>
          </c:dPt>
          <c:dPt>
            <c:idx val="9"/>
            <c:bubble3D val="0"/>
            <c:spPr>
              <a:solidFill>
                <a:schemeClr val="accent4">
                  <a:lumMod val="60000"/>
                </a:schemeClr>
              </a:solidFill>
              <a:ln>
                <a:noFill/>
              </a:ln>
              <a:effectLst>
                <a:outerShdw blurRad="317500" algn="ctr" rotWithShape="0">
                  <a:prstClr val="black">
                    <a:alpha val="25000"/>
                  </a:prstClr>
                </a:outerShdw>
              </a:effectLst>
            </c:spPr>
          </c:dPt>
          <c:dPt>
            <c:idx val="10"/>
            <c:bubble3D val="0"/>
            <c:spPr>
              <a:solidFill>
                <a:schemeClr val="accent5">
                  <a:lumMod val="60000"/>
                </a:schemeClr>
              </a:solidFill>
              <a:ln>
                <a:noFill/>
              </a:ln>
              <a:effectLst>
                <a:outerShdw blurRad="317500" algn="ctr" rotWithShape="0">
                  <a:prstClr val="black">
                    <a:alpha val="25000"/>
                  </a:prstClr>
                </a:outerShdw>
              </a:effectLst>
            </c:spPr>
          </c:dPt>
          <c:dPt>
            <c:idx val="11"/>
            <c:bubble3D val="0"/>
            <c:spPr>
              <a:solidFill>
                <a:schemeClr val="accent6">
                  <a:lumMod val="60000"/>
                </a:schemeClr>
              </a:solidFill>
              <a:ln>
                <a:noFill/>
              </a:ln>
              <a:effectLst>
                <a:outerShdw blurRad="317500" algn="ctr" rotWithShape="0">
                  <a:prstClr val="black">
                    <a:alpha val="25000"/>
                  </a:prstClr>
                </a:outerShdw>
              </a:effectLst>
            </c:spPr>
          </c:dPt>
          <c:dLbls>
            <c:dLbl>
              <c:idx val="5"/>
              <c:layout>
                <c:manualLayout>
                  <c:x val="-0.223142009100624"/>
                  <c:y val="-0.000692852355239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224430618726642"/>
                  <c:y val="0.032972570440842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Sheet1!$A$2:$A$12</c:f>
              <c:strCache>
                <c:ptCount val="11"/>
                <c:pt idx="0">
                  <c:v>  基本工资</c:v>
                </c:pt>
                <c:pt idx="1">
                  <c:v>  机关事业单位基本养老保险缴费</c:v>
                </c:pt>
                <c:pt idx="2">
                  <c:v>  津贴补贴</c:v>
                </c:pt>
                <c:pt idx="3">
                  <c:v>  住房公积金</c:v>
                </c:pt>
                <c:pt idx="4">
                  <c:v>  奖励金</c:v>
                </c:pt>
                <c:pt idx="5">
                  <c:v>  职工基本医疗保险缴费</c:v>
                </c:pt>
                <c:pt idx="6">
                  <c:v>  奖金</c:v>
                </c:pt>
                <c:pt idx="7">
                  <c:v>  伙食补助费</c:v>
                </c:pt>
                <c:pt idx="8">
                  <c:v>  绩效工资</c:v>
                </c:pt>
                <c:pt idx="9">
                  <c:v>  抚恤金</c:v>
                </c:pt>
                <c:pt idx="10">
                  <c:v>  生活补助</c:v>
                </c:pt>
              </c:strCache>
            </c:strRef>
          </c:cat>
          <c:val>
            <c:numRef>
              <c:f>Sheet1!$B$2:$B$12</c:f>
              <c:numCache>
                <c:formatCode>#,##0.00</c:formatCode>
                <c:ptCount val="11"/>
                <c:pt idx="0">
                  <c:v>289.9</c:v>
                </c:pt>
                <c:pt idx="1">
                  <c:v>64.71</c:v>
                </c:pt>
                <c:pt idx="2">
                  <c:v>194.72</c:v>
                </c:pt>
                <c:pt idx="3">
                  <c:v>44.1</c:v>
                </c:pt>
                <c:pt idx="4">
                  <c:v>195.52</c:v>
                </c:pt>
                <c:pt idx="5">
                  <c:v>25.51</c:v>
                </c:pt>
                <c:pt idx="6">
                  <c:v>1.35</c:v>
                </c:pt>
                <c:pt idx="7">
                  <c:v>2</c:v>
                </c:pt>
                <c:pt idx="8">
                  <c:v>2</c:v>
                </c:pt>
                <c:pt idx="9">
                  <c:v>6.13</c:v>
                </c:pt>
                <c:pt idx="10">
                  <c:v>9</c:v>
                </c:pt>
              </c:numCache>
            </c:numRef>
          </c:val>
        </c:ser>
        <c:dLbls>
          <c:showLegendKey val="0"/>
          <c:showVal val="0"/>
          <c:showCatName val="0"/>
          <c:showSerName val="0"/>
          <c:showPercent val="1"/>
          <c:showBubbleSize val="0"/>
          <c:showLeaderLines val="1"/>
        </c:dLbls>
        <c:gapWidth val="100"/>
        <c:secondPieSize val="75"/>
        <c:serLines>
          <c:spPr>
            <a:ln w="9525" cap="flat" cmpd="sng" algn="ctr">
              <a:solidFill>
                <a:schemeClr val="dk1">
                  <a:lumMod val="35000"/>
                  <a:lumOff val="65000"/>
                </a:schemeClr>
              </a:solidFill>
              <a:round/>
            </a:ln>
            <a:effectLst/>
          </c:spPr>
        </c:serLines>
      </c:of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人员经费支出</a:t>
            </a:r>
          </a:p>
        </c:rich>
      </c:tx>
      <c:layout/>
      <c:overlay val="0"/>
      <c:spPr>
        <a:noFill/>
        <a:ln>
          <a:noFill/>
        </a:ln>
        <a:effectLst/>
      </c:spPr>
    </c:title>
    <c:autoTitleDeleted val="0"/>
    <c:plotArea>
      <c:layout/>
      <c:doughnutChart>
        <c:varyColors val="1"/>
        <c:ser>
          <c:idx val="0"/>
          <c:order val="0"/>
          <c:tx>
            <c:strRef>
              <c:f>Sheet1!$B$1</c:f>
              <c:strCache>
                <c:ptCount val="1"/>
                <c:pt idx="0">
                  <c:v>支出</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  办公费</c:v>
                </c:pt>
                <c:pt idx="1">
                  <c:v>  水费</c:v>
                </c:pt>
                <c:pt idx="2">
                  <c:v>  电费</c:v>
                </c:pt>
                <c:pt idx="3">
                  <c:v>  取暖费</c:v>
                </c:pt>
                <c:pt idx="4">
                  <c:v>  维修(护)费</c:v>
                </c:pt>
              </c:strCache>
            </c:strRef>
          </c:cat>
          <c:val>
            <c:numRef>
              <c:f>Sheet1!$B$2:$B$6</c:f>
              <c:numCache>
                <c:formatCode>#,##0.00</c:formatCode>
                <c:ptCount val="5"/>
                <c:pt idx="0">
                  <c:v>17.99</c:v>
                </c:pt>
                <c:pt idx="1">
                  <c:v>0.5</c:v>
                </c:pt>
                <c:pt idx="2">
                  <c:v>8</c:v>
                </c:pt>
                <c:pt idx="3">
                  <c:v>0.44</c:v>
                </c:pt>
                <c:pt idx="4">
                  <c:v>41.84</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9225</Words>
  <Characters>14112</Characters>
  <Lines>25</Lines>
  <Paragraphs>17</Paragraphs>
  <TotalTime>1</TotalTime>
  <ScaleCrop>false</ScaleCrop>
  <LinksUpToDate>false</LinksUpToDate>
  <CharactersWithSpaces>15071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原原~~豆豆</cp:lastModifiedBy>
  <cp:lastPrinted>2020-07-28T02:12:00Z</cp:lastPrinted>
  <dcterms:modified xsi:type="dcterms:W3CDTF">2024-08-23T03:09:02Z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71335C3A9648412C9FB4DC590085DD1C_12</vt:lpwstr>
  </property>
</Properties>
</file>