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陕西省物业服务企业信用评价管理办法（试行）</w:t>
      </w:r>
    </w:p>
    <w:p>
      <w:pPr>
        <w:spacing w:line="540" w:lineRule="exact"/>
        <w:ind w:left="0" w:leftChars="0" w:right="0" w:rightChars="0" w:firstLine="0" w:firstLineChars="0"/>
        <w:jc w:val="center"/>
        <w:rPr>
          <w:rFonts w:ascii="仿宋_GB2312" w:eastAsia="仿宋_GB2312"/>
          <w:sz w:val="32"/>
          <w:szCs w:val="32"/>
        </w:rPr>
      </w:pPr>
    </w:p>
    <w:p>
      <w:pPr>
        <w:spacing w:line="540" w:lineRule="exact"/>
        <w:ind w:left="0" w:leftChars="0" w:right="0" w:rightChars="0" w:firstLine="0" w:firstLineChars="0"/>
        <w:jc w:val="center"/>
        <w:rPr>
          <w:rFonts w:ascii="黑体" w:hAnsi="黑体" w:eastAsia="黑体"/>
          <w:sz w:val="32"/>
          <w:szCs w:val="32"/>
        </w:rPr>
      </w:pPr>
      <w:r>
        <w:rPr>
          <w:rFonts w:hint="eastAsia" w:ascii="黑体" w:hAnsi="黑体" w:eastAsia="黑体"/>
          <w:sz w:val="32"/>
          <w:szCs w:val="32"/>
        </w:rPr>
        <w:t>第一章 总 则</w:t>
      </w:r>
    </w:p>
    <w:p>
      <w:pPr>
        <w:spacing w:line="540" w:lineRule="exact"/>
        <w:ind w:firstLine="640" w:firstLineChars="200"/>
        <w:rPr>
          <w:rFonts w:ascii="黑体" w:hAnsi="仿宋" w:eastAsia="黑体" w:cs="仿宋"/>
          <w:sz w:val="32"/>
          <w:szCs w:val="32"/>
        </w:rPr>
      </w:pPr>
      <w:bookmarkStart w:id="0" w:name="_GoBack"/>
      <w:bookmarkEnd w:id="0"/>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第一条</w:t>
      </w:r>
      <w:r>
        <w:rPr>
          <w:rFonts w:hint="eastAsia" w:ascii="仿宋_GB2312" w:hAnsi="仿宋" w:eastAsia="仿宋_GB2312" w:cs="仿宋"/>
          <w:sz w:val="32"/>
          <w:szCs w:val="32"/>
        </w:rPr>
        <w:t xml:space="preserve"> 为规范物业服务企业行为，促进物业服务行业发展，根据《物业管理条例》、《陕西省物业管理条例》、《关于建立完善守信联合激励和失信联合惩戒制度加快推进社会诚信建设的指导意见》（国发〔2016〕33号）、住房城乡建设部《关于做好取消物业服务企业资质核定相关工作的通知》（建办房〔2017〕75号）等相关规定，结合我省实际，制定本办法。</w:t>
      </w: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凡在本省行政区域内从事物业服务活动的公司或分支机构，其信用信息的采集、认定、记分、发布管理适用本办法。</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在本省行政区域内从事物业服务的法人公司，其信用评价以法人公司为单位。外省物业服务企业在陕设立分支机构从事物业服务的，以分支机构为单位。</w:t>
      </w:r>
    </w:p>
    <w:p>
      <w:pPr>
        <w:spacing w:line="540"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第三条</w:t>
      </w:r>
      <w:r>
        <w:rPr>
          <w:rFonts w:hint="eastAsia" w:ascii="仿宋_GB2312" w:hAnsi="仿宋" w:eastAsia="仿宋_GB2312" w:cs="仿宋"/>
          <w:sz w:val="32"/>
          <w:szCs w:val="32"/>
        </w:rPr>
        <w:t xml:space="preserve"> 本办法所称信用评价，是指住房城乡建设主管部门依据本办法的评价方法，对物业服务企业的信用行为综合打分评价、评定信用等级的活动。</w:t>
      </w: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省住房城乡建设主管部门负责全省物业服务企业的信用管理，指导各设区市住房城乡建设主管部门开展物业服务企业的信用评价活动，建立完善全省物业服务企业信用评价体系及信息平台，动态公布信用评价结果。</w:t>
      </w:r>
    </w:p>
    <w:p>
      <w:pPr>
        <w:spacing w:line="540"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第五条 </w:t>
      </w:r>
      <w:r>
        <w:rPr>
          <w:rFonts w:hint="eastAsia" w:ascii="仿宋_GB2312" w:hAnsi="仿宋" w:eastAsia="仿宋_GB2312" w:cs="仿宋"/>
          <w:sz w:val="32"/>
          <w:szCs w:val="32"/>
        </w:rPr>
        <w:t xml:space="preserve">各设区市、县（区）住房城乡建设主管部门负责本辖区内物业服务企业的信用管理，对物业服务企业进行信用评价和等级评定，动态更新。 </w:t>
      </w:r>
    </w:p>
    <w:p>
      <w:pPr>
        <w:spacing w:line="540" w:lineRule="exact"/>
        <w:ind w:firstLine="320" w:firstLineChars="10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第六条</w:t>
      </w:r>
      <w:r>
        <w:rPr>
          <w:rFonts w:hint="eastAsia" w:ascii="仿宋_GB2312" w:hAnsi="仿宋" w:eastAsia="仿宋_GB2312" w:cs="仿宋"/>
          <w:sz w:val="32"/>
          <w:szCs w:val="32"/>
        </w:rPr>
        <w:t xml:space="preserve"> 各级住房城乡建设主管部门应加强与相关部门联动，及时共享本辖区内物业服务企业的信用信息。   </w:t>
      </w:r>
    </w:p>
    <w:p>
      <w:pPr>
        <w:spacing w:line="540" w:lineRule="exact"/>
        <w:ind w:firstLine="640"/>
        <w:rPr>
          <w:rFonts w:ascii="仿宋_GB2312" w:hAnsi="仿宋" w:eastAsia="仿宋_GB2312" w:cs="仿宋"/>
          <w:sz w:val="32"/>
          <w:szCs w:val="32"/>
        </w:rPr>
      </w:pPr>
      <w:r>
        <w:rPr>
          <w:rFonts w:hint="eastAsia" w:ascii="黑体" w:hAnsi="仿宋" w:eastAsia="黑体" w:cs="仿宋"/>
          <w:sz w:val="32"/>
          <w:szCs w:val="32"/>
        </w:rPr>
        <w:t>第七条</w:t>
      </w:r>
      <w:r>
        <w:rPr>
          <w:rFonts w:hint="eastAsia" w:ascii="仿宋_GB2312" w:hAnsi="仿宋" w:eastAsia="仿宋_GB2312" w:cs="仿宋"/>
          <w:sz w:val="32"/>
          <w:szCs w:val="32"/>
        </w:rPr>
        <w:t xml:space="preserve"> 房地产、物业管理行业协会及物业服务企业应强化行业自律，主动配合做好信用评价工作。 </w:t>
      </w:r>
    </w:p>
    <w:p>
      <w:pPr>
        <w:spacing w:line="540" w:lineRule="exact"/>
        <w:ind w:firstLine="1115" w:firstLineChars="347"/>
        <w:rPr>
          <w:rFonts w:ascii="仿宋_GB2312" w:hAnsi="仿宋" w:eastAsia="仿宋_GB2312" w:cs="仿宋"/>
          <w:b/>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第二章  信用信息组成、采集及认定</w:t>
      </w:r>
    </w:p>
    <w:p>
      <w:pPr>
        <w:spacing w:line="540" w:lineRule="exact"/>
        <w:ind w:firstLine="640"/>
        <w:rPr>
          <w:rFonts w:ascii="黑体" w:hAnsi="仿宋" w:eastAsia="黑体" w:cs="仿宋"/>
          <w:sz w:val="32"/>
          <w:szCs w:val="32"/>
        </w:rPr>
      </w:pPr>
    </w:p>
    <w:p>
      <w:pPr>
        <w:spacing w:line="540" w:lineRule="exact"/>
        <w:ind w:firstLine="640"/>
        <w:rPr>
          <w:rFonts w:ascii="仿宋_GB2312" w:hAnsi="仿宋" w:eastAsia="仿宋_GB2312" w:cs="仿宋"/>
          <w:sz w:val="32"/>
          <w:szCs w:val="32"/>
        </w:rPr>
      </w:pPr>
      <w:r>
        <w:rPr>
          <w:rFonts w:hint="eastAsia" w:ascii="黑体" w:hAnsi="仿宋" w:eastAsia="黑体" w:cs="仿宋"/>
          <w:sz w:val="32"/>
          <w:szCs w:val="32"/>
        </w:rPr>
        <w:t>第八条</w:t>
      </w:r>
      <w:r>
        <w:rPr>
          <w:rFonts w:hint="eastAsia" w:ascii="仿宋_GB2312" w:hAnsi="仿宋" w:eastAsia="仿宋_GB2312" w:cs="仿宋"/>
          <w:sz w:val="32"/>
          <w:szCs w:val="32"/>
        </w:rPr>
        <w:t xml:space="preserve"> 物业企业信用信息主要包括：基础信息、良好信用信息、不良信用信息。</w:t>
      </w:r>
    </w:p>
    <w:p>
      <w:pPr>
        <w:spacing w:line="540" w:lineRule="exact"/>
        <w:ind w:firstLine="640"/>
        <w:rPr>
          <w:rFonts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企业基础信息主要包括以下内容：企业注册信息、项目信息、企业人员信息、备案信息等。 </w:t>
      </w:r>
    </w:p>
    <w:p>
      <w:pPr>
        <w:spacing w:line="540" w:lineRule="exact"/>
        <w:ind w:firstLine="640"/>
        <w:rPr>
          <w:rFonts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企业良好信用信息，是指物业服务企业在物业管理活动中通过履行合同、规范管理而获得业主满意表扬或获得行政主管部门、社会相关部门表彰肯定的信息。（详见《陕西省物业服务企业良好行为信用信息加分标准》附表2）</w:t>
      </w: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企业不良信用信息是指物业服务企业的管理、服务、收费行为不规范，受到业主、社会机构投诉或受到政府相关部门处罚的信息。（详见《陕西省物业服务企业不良信用信息减分标准》）</w:t>
      </w: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第十二条</w:t>
      </w:r>
      <w:r>
        <w:rPr>
          <w:rFonts w:hint="eastAsia" w:ascii="仿宋_GB2312" w:hAnsi="仿宋" w:eastAsia="仿宋_GB2312" w:cs="仿宋"/>
          <w:sz w:val="32"/>
          <w:szCs w:val="32"/>
        </w:rPr>
        <w:t xml:space="preserve"> 企业基础信息由物业服务企业通过“物业服务企业信用评价信息平台”主动向项目所在地住房城乡建设主管部门申报，由该主管部门负责审核确认。</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基础信息发生变更的，企业应当自变更之日起30日内书面提出信息变更申请，受理申请的主管部门予以确认。</w:t>
      </w: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企业良好信用信息，由物业企业负责填报，并提交相应的佐证材料，由授予表彰的设区市住房城乡建设主管部门审核确认。</w:t>
      </w: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企业不良信用信息，采用企业主动上报、业主投诉、社会反映、行业协会提供、主管部门主动收集等方式获取。</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各设区市、县（区）住房城乡建设主管部门应公布投诉举报电话和二维码，由项目所在地住房城乡建设主管部门对不良信息进行核实后，直接填报确认。</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项目所在地住房城乡建设主管部门作出的处罚，直接填报确认。</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经调解，在规定期限内已解决的投诉问题，以及业主投诉的非物业服务问题，不记入企业信用评价减分信息。</w:t>
      </w: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企业对信用评价减分信息有异议的，应向审核确认的设区市住房城乡建设主管部门提出书面申请，并附相关佐证材料。经核实有误的，应5日内予以更正。</w:t>
      </w:r>
    </w:p>
    <w:p>
      <w:pPr>
        <w:spacing w:line="540" w:lineRule="exact"/>
        <w:rPr>
          <w:rFonts w:ascii="仿宋_GB2312" w:hAnsi="仿宋" w:eastAsia="仿宋_GB2312" w:cs="仿宋"/>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第三章 信用记分、等级及发布</w:t>
      </w:r>
    </w:p>
    <w:p>
      <w:pPr>
        <w:spacing w:line="540" w:lineRule="exact"/>
        <w:rPr>
          <w:rFonts w:ascii="仿宋_GB2312" w:hAnsi="仿宋" w:eastAsia="仿宋_GB2312" w:cs="仿宋"/>
          <w:sz w:val="32"/>
          <w:szCs w:val="32"/>
        </w:rPr>
      </w:pP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第十六条 </w:t>
      </w:r>
      <w:r>
        <w:rPr>
          <w:rFonts w:hint="eastAsia" w:ascii="仿宋_GB2312" w:hAnsi="仿宋" w:eastAsia="仿宋_GB2312" w:cs="仿宋"/>
          <w:sz w:val="32"/>
          <w:szCs w:val="32"/>
        </w:rPr>
        <w:t>住房城乡建设主管部门根据《陕西省物业服务企业良好行为信用信息加分标准》（附表2）、《陕西省物业服务企业不良信用信息减分标准》（附表3）的规定和标准，在物业服务企业基础信用分上进行信用分数的加减。</w:t>
      </w: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第十七条</w:t>
      </w:r>
      <w:r>
        <w:rPr>
          <w:rFonts w:hint="eastAsia" w:ascii="仿宋_GB2312" w:hAnsi="仿宋" w:eastAsia="仿宋_GB2312" w:cs="仿宋"/>
          <w:sz w:val="32"/>
          <w:szCs w:val="32"/>
        </w:rPr>
        <w:t xml:space="preserve"> 物业服务企业的信用得分=企业基础信息50分+企业良好信用信息-企业不良信用信息。</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企业“合同履行”和“运作规范”的加分由物业企业自行申报，经项目所在地住房城乡建设主管部门核实后，予以确认加分。</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一个企业有多个项目的，企业的良好信用信息中“合同履行”“运作规范”信息信用得分为多个项目得分的平均分。</w:t>
      </w: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第十八条</w:t>
      </w:r>
      <w:r>
        <w:rPr>
          <w:rFonts w:hint="eastAsia" w:ascii="仿宋_GB2312" w:hAnsi="仿宋" w:eastAsia="仿宋_GB2312" w:cs="仿宋"/>
          <w:sz w:val="32"/>
          <w:szCs w:val="32"/>
        </w:rPr>
        <w:t xml:space="preserve"> 物业服务企业的信用等级，按企业信用得分标准确定。</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（一）信用得分在90分（含）及以上的，为优秀物业服务企业；</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（二）信用得分在80分（含）至89分之间的，为良好物业服务企业；</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（三）信用得分在61分（含）至79分之间，为一般物业服务企业；</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（四）信用得分低于60分的，为较差物业服务企业。</w:t>
      </w:r>
    </w:p>
    <w:p>
      <w:pPr>
        <w:spacing w:line="540" w:lineRule="exact"/>
        <w:ind w:firstLine="640"/>
        <w:rPr>
          <w:rFonts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本着守信激励、失信惩戒的原则，省住房城乡建设主管部门依据企业信用等级在省物业服务企业信用信息管理系统对物业服务企业分类实施优秀、良好、一般、较差四类差异化标注管理。 </w:t>
      </w: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第二十条</w:t>
      </w:r>
      <w:r>
        <w:rPr>
          <w:rFonts w:hint="eastAsia" w:ascii="仿宋_GB2312" w:hAnsi="仿宋" w:eastAsia="仿宋_GB2312" w:cs="仿宋"/>
          <w:sz w:val="32"/>
          <w:szCs w:val="32"/>
        </w:rPr>
        <w:t xml:space="preserve"> 物业企业信用分值和信用等级随着企业信用积分变化情况在“物业服务企业信用评价平台”动态更新。物业企业可自行查询。</w:t>
      </w:r>
    </w:p>
    <w:p>
      <w:pPr>
        <w:spacing w:line="540" w:lineRule="exact"/>
        <w:ind w:firstLine="640"/>
        <w:rPr>
          <w:rFonts w:ascii="仿宋_GB2312" w:hAnsi="仿宋" w:eastAsia="仿宋_GB2312" w:cs="仿宋"/>
          <w:sz w:val="32"/>
          <w:szCs w:val="32"/>
        </w:rPr>
      </w:pPr>
      <w:r>
        <w:rPr>
          <w:rFonts w:hint="eastAsia" w:ascii="黑体" w:hAnsi="仿宋" w:eastAsia="黑体" w:cs="仿宋"/>
          <w:sz w:val="32"/>
          <w:szCs w:val="32"/>
        </w:rPr>
        <w:t>第二十一条</w:t>
      </w:r>
      <w:r>
        <w:rPr>
          <w:rFonts w:hint="eastAsia" w:ascii="仿宋_GB2312" w:hAnsi="仿宋" w:eastAsia="仿宋_GB2312" w:cs="仿宋"/>
          <w:sz w:val="32"/>
          <w:szCs w:val="32"/>
        </w:rPr>
        <w:t xml:space="preserve"> 省住房城乡建设行政主管部门每年定期发布一次物业企业信用信息、信用等级，通过厅网站等媒体向社会公示，接受社会监督。</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各设区市（县）住房城乡建设主管部门应督促物业企业在物业服务项目显著位置公示其信用评价等级，接收业主监督。</w:t>
      </w:r>
    </w:p>
    <w:p>
      <w:pPr>
        <w:spacing w:line="540"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第二十二条</w:t>
      </w:r>
      <w:r>
        <w:rPr>
          <w:rFonts w:hint="eastAsia" w:ascii="仿宋_GB2312" w:hAnsi="仿宋" w:eastAsia="仿宋_GB2312" w:cs="仿宋"/>
          <w:sz w:val="32"/>
          <w:szCs w:val="32"/>
        </w:rPr>
        <w:t xml:space="preserve"> 物业服务企业对其信用信息记录或信用记分有异议的，可向项目所在的设区市住房城乡建设主管部门申诉，澄清有关事实，提出书面复核申请。</w:t>
      </w:r>
    </w:p>
    <w:p>
      <w:pPr>
        <w:spacing w:line="540" w:lineRule="exact"/>
        <w:ind w:firstLine="640"/>
        <w:rPr>
          <w:rFonts w:ascii="仿宋_GB2312" w:hAnsi="仿宋" w:eastAsia="仿宋_GB2312" w:cs="仿宋"/>
          <w:sz w:val="32"/>
          <w:szCs w:val="32"/>
        </w:rPr>
      </w:pPr>
      <w:r>
        <w:rPr>
          <w:rFonts w:hint="eastAsia" w:ascii="仿宋_GB2312" w:hAnsi="仿宋" w:eastAsia="仿宋_GB2312" w:cs="仿宋"/>
          <w:sz w:val="32"/>
          <w:szCs w:val="32"/>
        </w:rPr>
        <w:t>设区市住房城乡建设主管部门在收到书面复核申请和相关证明材料后，于5个工作日内完成核实。经核查，发现信用信息记录和记分确有错误、认定不当的，报省住房城乡建设主管部门予以更正。</w:t>
      </w: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第二十三条 </w:t>
      </w:r>
      <w:r>
        <w:rPr>
          <w:rFonts w:hint="eastAsia" w:ascii="仿宋_GB2312" w:hAnsi="仿宋" w:eastAsia="仿宋_GB2312" w:cs="仿宋"/>
          <w:sz w:val="32"/>
          <w:szCs w:val="32"/>
        </w:rPr>
        <w:t>企业的重大信用信息公示期不低于三年，一般信用信息公示期不少于一年，轻微不良信用信息在不良情形消除后取消。不良信用信息公示期满后，经企业提出申请，并经设区市（县）住房城乡建设行政主管部门审查确认已完成整改的，可予以取消公示。</w:t>
      </w:r>
    </w:p>
    <w:p>
      <w:pPr>
        <w:spacing w:line="540" w:lineRule="exact"/>
        <w:ind w:firstLine="640"/>
        <w:rPr>
          <w:rFonts w:ascii="仿宋_GB2312" w:hAnsi="仿宋" w:eastAsia="仿宋_GB2312" w:cs="仿宋"/>
          <w:sz w:val="32"/>
          <w:szCs w:val="32"/>
        </w:rPr>
      </w:pPr>
      <w:r>
        <w:rPr>
          <w:rFonts w:hint="eastAsia" w:ascii="仿宋_GB2312" w:hAnsi="仿宋" w:eastAsia="仿宋_GB2312" w:cs="仿宋"/>
          <w:sz w:val="32"/>
          <w:szCs w:val="32"/>
        </w:rPr>
        <w:t>法律法规对企业信用信息公示期限另有规定的，从其规定。</w:t>
      </w:r>
    </w:p>
    <w:p>
      <w:pPr>
        <w:spacing w:line="540" w:lineRule="exact"/>
        <w:ind w:firstLine="640"/>
        <w:rPr>
          <w:rFonts w:ascii="仿宋_GB2312" w:hAnsi="仿宋" w:eastAsia="仿宋_GB2312" w:cs="仿宋"/>
          <w:sz w:val="32"/>
          <w:szCs w:val="32"/>
        </w:rPr>
      </w:pPr>
      <w:r>
        <w:rPr>
          <w:rFonts w:hint="eastAsia" w:ascii="仿宋_GB2312" w:hAnsi="仿宋" w:eastAsia="仿宋_GB2312" w:cs="仿宋"/>
          <w:sz w:val="32"/>
          <w:szCs w:val="32"/>
        </w:rPr>
        <w:t>企业良好信用信息和不良信用信息记录之日起转为企业信用档案长久保存。</w:t>
      </w:r>
    </w:p>
    <w:p>
      <w:pPr>
        <w:spacing w:line="540" w:lineRule="exact"/>
        <w:ind w:firstLine="640"/>
        <w:rPr>
          <w:rFonts w:ascii="仿宋_GB2312" w:hAnsi="仿宋" w:eastAsia="仿宋_GB2312" w:cs="仿宋"/>
          <w:sz w:val="32"/>
          <w:szCs w:val="32"/>
        </w:rPr>
      </w:pPr>
      <w:r>
        <w:rPr>
          <w:rFonts w:hint="eastAsia" w:ascii="黑体" w:hAnsi="仿宋" w:eastAsia="黑体" w:cs="仿宋"/>
          <w:sz w:val="32"/>
          <w:szCs w:val="32"/>
        </w:rPr>
        <w:t>第二十四条</w:t>
      </w: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企业信用评价结果可作为政府采购、选聘企业、评优表彰、定价评估、上市收购、金融授信、股权激励、参股收购等活动参考。</w:t>
      </w:r>
    </w:p>
    <w:p>
      <w:pPr>
        <w:spacing w:line="540" w:lineRule="exact"/>
        <w:ind w:firstLine="640"/>
        <w:rPr>
          <w:rFonts w:ascii="仿宋_GB2312" w:hAnsi="仿宋" w:eastAsia="仿宋_GB2312" w:cs="仿宋"/>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第四章 附 则</w:t>
      </w:r>
    </w:p>
    <w:p>
      <w:pPr>
        <w:spacing w:line="540" w:lineRule="exact"/>
        <w:rPr>
          <w:rFonts w:ascii="仿宋_GB2312" w:hAnsi="仿宋" w:eastAsia="仿宋_GB2312" w:cs="仿宋"/>
          <w:sz w:val="32"/>
          <w:szCs w:val="32"/>
        </w:rPr>
      </w:pPr>
    </w:p>
    <w:p>
      <w:pPr>
        <w:spacing w:line="54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第二十五条</w:t>
      </w:r>
      <w:r>
        <w:rPr>
          <w:rFonts w:hint="eastAsia" w:ascii="仿宋_GB2312" w:hAnsi="仿宋" w:eastAsia="仿宋_GB2312" w:cs="仿宋"/>
          <w:sz w:val="32"/>
          <w:szCs w:val="32"/>
        </w:rPr>
        <w:t xml:space="preserve">  本办法自2020年7月3日起施行，有效期两年。</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p>
    <w:p>
      <w:pPr>
        <w:rPr>
          <w:rFonts w:ascii="仿宋_GB2312" w:hAnsi="仿宋" w:eastAsia="仿宋_GB2312" w:cs="仿宋"/>
          <w:sz w:val="32"/>
          <w:szCs w:val="32"/>
        </w:rPr>
      </w:pPr>
      <w:r>
        <w:rPr>
          <w:rFonts w:ascii="仿宋_GB2312" w:hAnsi="仿宋" w:eastAsia="仿宋_GB2312" w:cs="仿宋"/>
          <w:sz w:val="32"/>
          <w:szCs w:val="32"/>
        </w:rPr>
        <w:br w:type="page"/>
      </w:r>
    </w:p>
    <w:p>
      <w:pPr>
        <w:spacing w:line="420" w:lineRule="exact"/>
        <w:rPr>
          <w:rFonts w:ascii="黑体" w:hAnsi="仿宋" w:eastAsia="黑体" w:cs="仿宋"/>
          <w:sz w:val="28"/>
          <w:szCs w:val="28"/>
        </w:rPr>
      </w:pPr>
      <w:r>
        <w:rPr>
          <w:rFonts w:hint="eastAsia" w:ascii="黑体" w:hAnsi="仿宋" w:eastAsia="黑体" w:cs="仿宋"/>
          <w:sz w:val="28"/>
          <w:szCs w:val="28"/>
        </w:rPr>
        <w:t>附件1</w:t>
      </w:r>
    </w:p>
    <w:tbl>
      <w:tblPr>
        <w:tblStyle w:val="2"/>
        <w:tblW w:w="0" w:type="auto"/>
        <w:tblInd w:w="96" w:type="dxa"/>
        <w:tblLayout w:type="fixed"/>
        <w:tblCellMar>
          <w:top w:w="0" w:type="dxa"/>
          <w:left w:w="108" w:type="dxa"/>
          <w:bottom w:w="0" w:type="dxa"/>
          <w:right w:w="108" w:type="dxa"/>
        </w:tblCellMar>
      </w:tblPr>
      <w:tblGrid>
        <w:gridCol w:w="1780"/>
        <w:gridCol w:w="2900"/>
        <w:gridCol w:w="3820"/>
        <w:gridCol w:w="1080"/>
      </w:tblGrid>
      <w:tr>
        <w:tblPrEx>
          <w:tblCellMar>
            <w:top w:w="0" w:type="dxa"/>
            <w:left w:w="108" w:type="dxa"/>
            <w:bottom w:w="0" w:type="dxa"/>
            <w:right w:w="108" w:type="dxa"/>
          </w:tblCellMar>
        </w:tblPrEx>
        <w:trPr>
          <w:trHeight w:val="289" w:hRule="atLeast"/>
        </w:trPr>
        <w:tc>
          <w:tcPr>
            <w:tcW w:w="8500" w:type="dxa"/>
            <w:gridSpan w:val="3"/>
            <w:tcBorders>
              <w:top w:val="nil"/>
              <w:left w:val="nil"/>
              <w:bottom w:val="single" w:color="auto" w:sz="4" w:space="0"/>
              <w:right w:val="nil"/>
            </w:tcBorders>
            <w:vAlign w:val="center"/>
          </w:tcPr>
          <w:p>
            <w:pPr>
              <w:widowControl/>
              <w:spacing w:line="44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陕西省物业服务企业基础信息表</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信息分类</w:t>
            </w: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信息项目</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信息内容</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一、企业相关信息（15分）</w:t>
            </w: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企业名称</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企业住所</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统一社会信用代码</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法定代表人</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注册资本</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成立日期</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营业期限</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登记机关</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企业业绩</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xml:space="preserve">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联系方式</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二、项目接管信息（15分）</w:t>
            </w: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项目1名称</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项目地址</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办公地点</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占地面积</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建筑面积</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容积率</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物业类型</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小区户数</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开发单位</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委托单位</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委托期限</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项目经理</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合同期限</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收费标准</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项目2名称</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项目3名称</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三、企业人员信息（15分）</w:t>
            </w:r>
          </w:p>
        </w:tc>
        <w:tc>
          <w:tcPr>
            <w:tcW w:w="290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1.法定代表人姓名</w:t>
            </w:r>
          </w:p>
        </w:tc>
        <w:tc>
          <w:tcPr>
            <w:tcW w:w="382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身份证</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联系电话</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2.企业总经理姓名</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身份证</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联系电话</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3.项目总经理1姓名</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身份证</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联系电话</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项目经理2姓名</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项目经理3姓名</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4.企业其他高管人员</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（1）职务</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姓名</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身份证</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联系电话</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（2）职务</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（3）职务</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四、备案相关信息（5分）</w:t>
            </w: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申报日期</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年   月   日</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申报人员</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联系电话</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企业法定代表人、分公司负责人确认备案信息情况</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kern w:val="0"/>
                <w:sz w:val="20"/>
              </w:rPr>
            </w:pPr>
          </w:p>
        </w:tc>
        <w:tc>
          <w:tcPr>
            <w:tcW w:w="290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项目经理到县级主管部门确认备案信息情况</w:t>
            </w:r>
          </w:p>
        </w:tc>
        <w:tc>
          <w:tcPr>
            <w:tcW w:w="382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0"/>
              </w:rPr>
            </w:pPr>
            <w:r>
              <w:rPr>
                <w:rFonts w:hint="eastAsia" w:ascii="宋体" w:hAnsi="宋体" w:cs="宋体"/>
                <w:kern w:val="0"/>
                <w:sz w:val="20"/>
              </w:rPr>
              <w:t>　</w:t>
            </w:r>
          </w:p>
        </w:tc>
        <w:tc>
          <w:tcPr>
            <w:tcW w:w="1080"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jc w:val="left"/>
              <w:rPr>
                <w:rFonts w:ascii="宋体" w:hAnsi="宋体" w:cs="宋体"/>
                <w:kern w:val="0"/>
                <w:sz w:val="24"/>
              </w:rPr>
            </w:pPr>
          </w:p>
        </w:tc>
        <w:tc>
          <w:tcPr>
            <w:tcW w:w="2900" w:type="dxa"/>
            <w:tcBorders>
              <w:top w:val="nil"/>
              <w:left w:val="nil"/>
              <w:bottom w:val="nil"/>
              <w:right w:val="nil"/>
            </w:tcBorders>
            <w:vAlign w:val="center"/>
          </w:tcPr>
          <w:p>
            <w:pPr>
              <w:widowControl/>
              <w:jc w:val="left"/>
              <w:rPr>
                <w:rFonts w:ascii="宋体" w:hAnsi="宋体" w:cs="宋体"/>
                <w:kern w:val="0"/>
                <w:sz w:val="24"/>
              </w:rPr>
            </w:pPr>
          </w:p>
        </w:tc>
        <w:tc>
          <w:tcPr>
            <w:tcW w:w="3820" w:type="dxa"/>
            <w:tcBorders>
              <w:top w:val="nil"/>
              <w:left w:val="nil"/>
              <w:bottom w:val="nil"/>
              <w:right w:val="nil"/>
            </w:tcBorders>
            <w:vAlign w:val="center"/>
          </w:tcPr>
          <w:p>
            <w:pPr>
              <w:widowControl/>
              <w:jc w:val="left"/>
              <w:rPr>
                <w:rFonts w:ascii="宋体" w:hAnsi="宋体" w:cs="宋体"/>
                <w:kern w:val="0"/>
                <w:sz w:val="24"/>
              </w:rPr>
            </w:pPr>
          </w:p>
        </w:tc>
        <w:tc>
          <w:tcPr>
            <w:tcW w:w="1080" w:type="dxa"/>
            <w:tcBorders>
              <w:top w:val="nil"/>
              <w:left w:val="nil"/>
              <w:bottom w:val="nil"/>
              <w:right w:val="nil"/>
            </w:tcBorders>
            <w:vAlign w:val="center"/>
          </w:tcPr>
          <w:p>
            <w:pPr>
              <w:widowControl/>
              <w:jc w:val="left"/>
              <w:rPr>
                <w:rFonts w:ascii="宋体" w:hAnsi="宋体" w:cs="宋体"/>
                <w:kern w:val="0"/>
                <w:sz w:val="24"/>
              </w:rPr>
            </w:pPr>
          </w:p>
        </w:tc>
      </w:tr>
    </w:tbl>
    <w:p>
      <w:pPr>
        <w:spacing w:line="380" w:lineRule="exact"/>
        <w:rPr>
          <w:rFonts w:hint="eastAsia" w:ascii="黑体" w:hAnsi="仿宋" w:eastAsia="黑体" w:cs="仿宋"/>
          <w:sz w:val="28"/>
          <w:szCs w:val="28"/>
        </w:rPr>
      </w:pPr>
    </w:p>
    <w:p>
      <w:pPr>
        <w:spacing w:line="380" w:lineRule="exact"/>
        <w:rPr>
          <w:rFonts w:hint="eastAsia" w:ascii="黑体" w:hAnsi="仿宋" w:eastAsia="黑体" w:cs="仿宋"/>
          <w:sz w:val="28"/>
          <w:szCs w:val="28"/>
        </w:rPr>
      </w:pPr>
    </w:p>
    <w:p>
      <w:pPr>
        <w:spacing w:line="380" w:lineRule="exact"/>
        <w:rPr>
          <w:rFonts w:ascii="仿宋_GB2312" w:hAnsi="仿宋" w:eastAsia="仿宋_GB2312" w:cs="仿宋"/>
          <w:sz w:val="32"/>
          <w:szCs w:val="32"/>
        </w:rPr>
      </w:pPr>
      <w:r>
        <w:rPr>
          <w:rFonts w:hint="eastAsia" w:ascii="黑体" w:hAnsi="仿宋" w:eastAsia="黑体" w:cs="仿宋"/>
          <w:sz w:val="28"/>
          <w:szCs w:val="28"/>
        </w:rPr>
        <w:t>附件2</w:t>
      </w:r>
    </w:p>
    <w:tbl>
      <w:tblPr>
        <w:tblStyle w:val="2"/>
        <w:tblW w:w="0" w:type="auto"/>
        <w:tblInd w:w="96" w:type="dxa"/>
        <w:tblLayout w:type="fixed"/>
        <w:tblCellMar>
          <w:top w:w="0" w:type="dxa"/>
          <w:left w:w="108" w:type="dxa"/>
          <w:bottom w:w="0" w:type="dxa"/>
          <w:right w:w="108" w:type="dxa"/>
        </w:tblCellMar>
      </w:tblPr>
      <w:tblGrid>
        <w:gridCol w:w="1200"/>
        <w:gridCol w:w="1200"/>
        <w:gridCol w:w="5560"/>
        <w:gridCol w:w="980"/>
      </w:tblGrid>
      <w:tr>
        <w:tblPrEx>
          <w:tblCellMar>
            <w:top w:w="0" w:type="dxa"/>
            <w:left w:w="108" w:type="dxa"/>
            <w:bottom w:w="0" w:type="dxa"/>
            <w:right w:w="108" w:type="dxa"/>
          </w:tblCellMar>
        </w:tblPrEx>
        <w:trPr>
          <w:trHeight w:val="472" w:hRule="atLeast"/>
        </w:trPr>
        <w:tc>
          <w:tcPr>
            <w:tcW w:w="8940" w:type="dxa"/>
            <w:gridSpan w:val="4"/>
            <w:tcBorders>
              <w:top w:val="nil"/>
              <w:left w:val="nil"/>
              <w:bottom w:val="single" w:color="auto" w:sz="4" w:space="0"/>
              <w:right w:val="nil"/>
            </w:tcBorders>
            <w:vAlign w:val="center"/>
          </w:tcPr>
          <w:p>
            <w:pPr>
              <w:widowControl/>
              <w:spacing w:line="44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陕西省物业服务企业良好信用信息加分标准</w:t>
            </w:r>
          </w:p>
        </w:tc>
      </w:tr>
      <w:tr>
        <w:tblPrEx>
          <w:tblCellMar>
            <w:top w:w="0" w:type="dxa"/>
            <w:left w:w="108" w:type="dxa"/>
            <w:bottom w:w="0" w:type="dxa"/>
            <w:right w:w="108" w:type="dxa"/>
          </w:tblCellMar>
        </w:tblPrEx>
        <w:trPr>
          <w:trHeight w:val="340" w:hRule="atLeast"/>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计分项目</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计分序号</w:t>
            </w:r>
          </w:p>
        </w:tc>
        <w:tc>
          <w:tcPr>
            <w:tcW w:w="55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记分内容</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分值</w:t>
            </w:r>
          </w:p>
        </w:tc>
      </w:tr>
      <w:tr>
        <w:tblPrEx>
          <w:tblCellMar>
            <w:top w:w="0" w:type="dxa"/>
            <w:left w:w="108" w:type="dxa"/>
            <w:bottom w:w="0" w:type="dxa"/>
            <w:right w:w="108" w:type="dxa"/>
          </w:tblCellMar>
        </w:tblPrEx>
        <w:trPr>
          <w:trHeight w:val="340" w:hRule="atLeast"/>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合同履行</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对物业项目管理、服务及收费情况，合同当事人没有提出违约投诉</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5分</w:t>
            </w:r>
          </w:p>
        </w:tc>
      </w:tr>
      <w:tr>
        <w:tblPrEx>
          <w:tblCellMar>
            <w:top w:w="0" w:type="dxa"/>
            <w:left w:w="108" w:type="dxa"/>
            <w:bottom w:w="0" w:type="dxa"/>
            <w:right w:w="108" w:type="dxa"/>
          </w:tblCellMar>
        </w:tblPrEx>
        <w:trPr>
          <w:trHeight w:val="340" w:hRule="atLeast"/>
        </w:trPr>
        <w:tc>
          <w:tcPr>
            <w:tcW w:w="120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运作规范</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承接查验资料齐全</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档案建立完善规范</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4</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收费标准、服务内容、服务标准公示清楚明确</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5</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安全警示明显有效</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6</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项目未有私搭乱建</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7</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设施设备完好无损</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8</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车辆停放秩序井然</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9</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消防未有安全隐患</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10</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电梯能保安全使用</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11</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车辆充电安全规范</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12</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装饰装修管控有效</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13</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项目环境干净整洁</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14</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客户服务、投诉受理、应急处理制度明确</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15</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文化活动氛围和谐</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1分</w:t>
            </w:r>
          </w:p>
        </w:tc>
      </w:tr>
      <w:tr>
        <w:tblPrEx>
          <w:tblCellMar>
            <w:top w:w="0" w:type="dxa"/>
            <w:left w:w="108" w:type="dxa"/>
            <w:bottom w:w="0" w:type="dxa"/>
            <w:right w:w="108" w:type="dxa"/>
          </w:tblCellMar>
        </w:tblPrEx>
        <w:trPr>
          <w:trHeight w:val="340" w:hRule="atLeast"/>
        </w:trPr>
        <w:tc>
          <w:tcPr>
            <w:tcW w:w="120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社会影响</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16</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重视党建工作，抓好基层党组织建设</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17</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项目荣获国家级物业主管部门或物业协会评奖</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18</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项目荣获省级物业主管部门或物业协会评奖</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19</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项目荣获市级物业主管部门或物业协会评奖</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20</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管理项目成立业主委员会</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21</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安置困难人员就业</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22</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企业或员工获得国家有关部门或协会表彰</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23</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企业或员工获得省部有关部门或协会表彰</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24</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企业或员工获得市级相关部门或协会表彰</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25</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企业人员入选国家行业协会专家或在全国性报刊上发表专业文章</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26</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企业人员入选省级行业协会专家或在全省性报刊上发表专业文章</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27</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企业人员入选市级行业协会专家或在市级报刊上发表专业文章</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28</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企业或员工的先进事迹获国家级新闻媒体宣传报道</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29</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企业或员工的先进事迹获省部级新闻媒体宣传报道</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30</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企业或员工参与省级物业行业标准编制</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2分</w:t>
            </w:r>
          </w:p>
        </w:tc>
      </w:tr>
      <w:tr>
        <w:tblPrEx>
          <w:tblCellMar>
            <w:top w:w="0" w:type="dxa"/>
            <w:left w:w="108" w:type="dxa"/>
            <w:bottom w:w="0" w:type="dxa"/>
            <w:right w:w="108" w:type="dxa"/>
          </w:tblCellMar>
        </w:tblPrEx>
        <w:trPr>
          <w:trHeight w:val="34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31</w:t>
            </w:r>
          </w:p>
        </w:tc>
        <w:tc>
          <w:tcPr>
            <w:tcW w:w="5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企业或员工参与市级物业行业标准编制</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1分</w:t>
            </w:r>
          </w:p>
        </w:tc>
      </w:tr>
      <w:tr>
        <w:tblPrEx>
          <w:tblCellMar>
            <w:top w:w="0" w:type="dxa"/>
            <w:left w:w="108" w:type="dxa"/>
            <w:bottom w:w="0" w:type="dxa"/>
            <w:right w:w="108" w:type="dxa"/>
          </w:tblCellMar>
        </w:tblPrEx>
        <w:trPr>
          <w:trHeight w:val="340" w:hRule="atLeast"/>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评价说明</w:t>
            </w:r>
          </w:p>
        </w:tc>
        <w:tc>
          <w:tcPr>
            <w:tcW w:w="7740"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8940" w:type="dxa"/>
            <w:gridSpan w:val="4"/>
            <w:tcBorders>
              <w:top w:val="single" w:color="auto" w:sz="4" w:space="0"/>
              <w:left w:val="nil"/>
              <w:bottom w:val="nil"/>
              <w:right w:val="nil"/>
            </w:tcBorders>
            <w:vAlign w:val="center"/>
          </w:tcPr>
          <w:p>
            <w:pPr>
              <w:widowControl/>
              <w:spacing w:line="240" w:lineRule="exact"/>
              <w:ind w:left="630" w:hanging="630" w:hangingChars="300"/>
              <w:jc w:val="left"/>
              <w:rPr>
                <w:rFonts w:ascii="宋体" w:hAnsi="宋体" w:cs="宋体"/>
                <w:kern w:val="0"/>
                <w:szCs w:val="21"/>
              </w:rPr>
            </w:pPr>
            <w:r>
              <w:rPr>
                <w:rFonts w:hint="eastAsia" w:ascii="宋体" w:hAnsi="宋体" w:cs="宋体"/>
                <w:kern w:val="0"/>
                <w:szCs w:val="21"/>
              </w:rPr>
              <w:t>备注：表中有关表彰、专家、报刊及媒体宣传所对应层级，主要从知晓范围、社会公信力和影响力方面考虑；评价时应据实客观，经属地主管部门确认。</w:t>
            </w:r>
          </w:p>
        </w:tc>
      </w:tr>
    </w:tbl>
    <w:p>
      <w:pPr>
        <w:spacing w:line="260" w:lineRule="exact"/>
        <w:rPr>
          <w:rFonts w:hint="eastAsia" w:ascii="黑体" w:hAnsi="仿宋" w:eastAsia="黑体" w:cs="仿宋"/>
          <w:sz w:val="28"/>
          <w:szCs w:val="28"/>
        </w:rPr>
      </w:pPr>
    </w:p>
    <w:p>
      <w:pPr>
        <w:spacing w:line="260" w:lineRule="exact"/>
        <w:rPr>
          <w:rFonts w:ascii="黑体" w:hAnsi="仿宋" w:eastAsia="黑体" w:cs="仿宋"/>
          <w:sz w:val="28"/>
          <w:szCs w:val="28"/>
        </w:rPr>
      </w:pPr>
      <w:r>
        <w:rPr>
          <w:rFonts w:hint="eastAsia" w:ascii="黑体" w:hAnsi="仿宋" w:eastAsia="黑体" w:cs="仿宋"/>
          <w:sz w:val="28"/>
          <w:szCs w:val="28"/>
        </w:rPr>
        <w:t>附件3</w:t>
      </w:r>
    </w:p>
    <w:tbl>
      <w:tblPr>
        <w:tblStyle w:val="2"/>
        <w:tblW w:w="0" w:type="auto"/>
        <w:tblInd w:w="0" w:type="dxa"/>
        <w:tblLayout w:type="fixed"/>
        <w:tblCellMar>
          <w:top w:w="15" w:type="dxa"/>
          <w:left w:w="15" w:type="dxa"/>
          <w:bottom w:w="15" w:type="dxa"/>
          <w:right w:w="15" w:type="dxa"/>
        </w:tblCellMar>
      </w:tblPr>
      <w:tblGrid>
        <w:gridCol w:w="954"/>
        <w:gridCol w:w="522"/>
        <w:gridCol w:w="6657"/>
        <w:gridCol w:w="954"/>
      </w:tblGrid>
      <w:tr>
        <w:tblPrEx>
          <w:tblCellMar>
            <w:top w:w="15" w:type="dxa"/>
            <w:left w:w="15" w:type="dxa"/>
            <w:bottom w:w="15" w:type="dxa"/>
            <w:right w:w="15" w:type="dxa"/>
          </w:tblCellMar>
        </w:tblPrEx>
        <w:trPr>
          <w:trHeight w:val="1035" w:hRule="atLeast"/>
        </w:trPr>
        <w:tc>
          <w:tcPr>
            <w:tcW w:w="9087" w:type="dxa"/>
            <w:gridSpan w:val="4"/>
            <w:tcBorders>
              <w:bottom w:val="single" w:color="000000" w:sz="4" w:space="0"/>
            </w:tcBorders>
            <w:vAlign w:val="center"/>
          </w:tcPr>
          <w:p>
            <w:pPr>
              <w:widowControl/>
              <w:jc w:val="center"/>
              <w:textAlignment w:val="center"/>
              <w:rPr>
                <w:rFonts w:ascii="方正小标宋简体" w:hAnsi="宋体" w:eastAsia="方正小标宋简体" w:cs="宋体"/>
                <w:color w:val="000000"/>
                <w:sz w:val="36"/>
                <w:szCs w:val="36"/>
              </w:rPr>
            </w:pPr>
            <w:r>
              <w:rPr>
                <w:rFonts w:hint="eastAsia" w:ascii="方正小标宋简体" w:hAnsi="宋体" w:eastAsia="方正小标宋简体" w:cs="宋体"/>
                <w:color w:val="000000"/>
                <w:kern w:val="0"/>
                <w:sz w:val="36"/>
                <w:szCs w:val="36"/>
              </w:rPr>
              <w:t>陕西省物业服务企业不良信用信息减分标准</w:t>
            </w:r>
          </w:p>
        </w:tc>
      </w:tr>
      <w:tr>
        <w:tblPrEx>
          <w:tblCellMar>
            <w:top w:w="15" w:type="dxa"/>
            <w:left w:w="15" w:type="dxa"/>
            <w:bottom w:w="15" w:type="dxa"/>
            <w:right w:w="15" w:type="dxa"/>
          </w:tblCellMar>
        </w:tblPrEx>
        <w:trPr>
          <w:trHeight w:val="600"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计分项目</w:t>
            </w: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计分序号</w:t>
            </w:r>
          </w:p>
        </w:tc>
        <w:tc>
          <w:tcPr>
            <w:tcW w:w="6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记分内容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rPr>
            </w:pPr>
            <w:r>
              <w:rPr>
                <w:rFonts w:hint="eastAsia" w:ascii="宋体" w:hAnsi="宋体" w:cs="宋体"/>
                <w:b/>
                <w:color w:val="000000"/>
                <w:kern w:val="0"/>
                <w:sz w:val="20"/>
              </w:rPr>
              <w:t>记分分值</w:t>
            </w:r>
          </w:p>
        </w:tc>
      </w:tr>
      <w:tr>
        <w:tblPrEx>
          <w:tblCellMar>
            <w:top w:w="15" w:type="dxa"/>
            <w:left w:w="15" w:type="dxa"/>
            <w:bottom w:w="15" w:type="dxa"/>
            <w:right w:w="15" w:type="dxa"/>
          </w:tblCellMar>
        </w:tblPrEx>
        <w:trPr>
          <w:trHeight w:val="367" w:hRule="atLeast"/>
        </w:trPr>
        <w:tc>
          <w:tcPr>
            <w:tcW w:w="95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基础信息</w:t>
            </w: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6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未按规定变更申报信息的</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r>
              <w:rPr>
                <w:rFonts w:hint="default" w:ascii="宋体" w:hAnsi="宋体" w:cs="宋体"/>
                <w:color w:val="000000"/>
                <w:sz w:val="24"/>
                <w:szCs w:val="24"/>
                <w:u w:val="none"/>
              </w:rPr>
              <w:t>3分</w:t>
            </w:r>
          </w:p>
        </w:tc>
      </w:tr>
      <w:tr>
        <w:tblPrEx>
          <w:tblCellMar>
            <w:top w:w="15" w:type="dxa"/>
            <w:left w:w="15" w:type="dxa"/>
            <w:bottom w:w="15" w:type="dxa"/>
            <w:right w:w="15" w:type="dxa"/>
          </w:tblCellMar>
        </w:tblPrEx>
        <w:trPr>
          <w:trHeight w:val="533" w:hRule="atLeast"/>
        </w:trPr>
        <w:tc>
          <w:tcPr>
            <w:tcW w:w="954"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rPr>
            </w:pP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6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填报虚假基础信息或提供不实证明资料的</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-3分</w:t>
            </w:r>
          </w:p>
        </w:tc>
      </w:tr>
      <w:tr>
        <w:tblPrEx>
          <w:tblCellMar>
            <w:top w:w="15" w:type="dxa"/>
            <w:left w:w="15" w:type="dxa"/>
            <w:bottom w:w="15" w:type="dxa"/>
            <w:right w:w="15" w:type="dxa"/>
          </w:tblCellMar>
        </w:tblPrEx>
        <w:trPr>
          <w:trHeight w:val="510" w:hRule="atLeast"/>
        </w:trPr>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一般不良信息信息</w:t>
            </w: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6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被物业主管部门或其他行政主管部门作出行政处罚、行政强制决定的</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-3分</w:t>
            </w:r>
          </w:p>
        </w:tc>
      </w:tr>
      <w:tr>
        <w:tblPrEx>
          <w:tblCellMar>
            <w:top w:w="15" w:type="dxa"/>
            <w:left w:w="15" w:type="dxa"/>
            <w:bottom w:w="15" w:type="dxa"/>
            <w:right w:w="15" w:type="dxa"/>
          </w:tblCellMar>
        </w:tblPrEx>
        <w:trPr>
          <w:trHeight w:val="510" w:hRule="atLeast"/>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c>
          <w:tcPr>
            <w:tcW w:w="52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665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在行政管理活动中，提供虚假资料，或者拒绝报送有关资料的</w:t>
            </w:r>
          </w:p>
        </w:tc>
        <w:tc>
          <w:tcPr>
            <w:tcW w:w="95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-3分</w:t>
            </w:r>
          </w:p>
        </w:tc>
      </w:tr>
      <w:tr>
        <w:tblPrEx>
          <w:tblCellMar>
            <w:top w:w="15" w:type="dxa"/>
            <w:left w:w="15" w:type="dxa"/>
            <w:bottom w:w="15" w:type="dxa"/>
            <w:right w:w="15" w:type="dxa"/>
          </w:tblCellMar>
        </w:tblPrEx>
        <w:trPr>
          <w:trHeight w:val="502" w:hRule="atLeast"/>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c>
          <w:tcPr>
            <w:tcW w:w="52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5</w:t>
            </w:r>
          </w:p>
        </w:tc>
        <w:tc>
          <w:tcPr>
            <w:tcW w:w="665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rPr>
            </w:pPr>
            <w:r>
              <w:rPr>
                <w:rFonts w:hint="eastAsia" w:ascii="宋体" w:hAnsi="宋体" w:cs="宋体"/>
                <w:color w:val="000000"/>
                <w:kern w:val="0"/>
                <w:sz w:val="20"/>
              </w:rPr>
              <w:t>未按规定公示管理、服务、收费信息，乱收费，经核实的</w:t>
            </w:r>
          </w:p>
        </w:tc>
        <w:tc>
          <w:tcPr>
            <w:tcW w:w="95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-3分</w:t>
            </w:r>
          </w:p>
        </w:tc>
      </w:tr>
      <w:tr>
        <w:tblPrEx>
          <w:tblCellMar>
            <w:top w:w="15" w:type="dxa"/>
            <w:left w:w="15" w:type="dxa"/>
            <w:bottom w:w="15" w:type="dxa"/>
            <w:right w:w="15" w:type="dxa"/>
          </w:tblCellMar>
        </w:tblPrEx>
        <w:trPr>
          <w:trHeight w:val="690" w:hRule="atLeast"/>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6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在日常经营中发生违规行为，被物业主管部门或其他行政主管部门、街道办事处书面通报、查处并发出整改通知，拒不整改或整改不到位的</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-3分</w:t>
            </w:r>
          </w:p>
        </w:tc>
      </w:tr>
      <w:tr>
        <w:tblPrEx>
          <w:tblCellMar>
            <w:top w:w="15" w:type="dxa"/>
            <w:left w:w="15" w:type="dxa"/>
            <w:bottom w:w="15" w:type="dxa"/>
            <w:right w:w="15" w:type="dxa"/>
          </w:tblCellMar>
        </w:tblPrEx>
        <w:trPr>
          <w:trHeight w:val="690" w:hRule="atLeast"/>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7</w:t>
            </w:r>
          </w:p>
        </w:tc>
        <w:tc>
          <w:tcPr>
            <w:tcW w:w="6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在物业服务质量检查、评价活动中，对物业主管部门、街道办事处指出的物业服务合同履行等物业问题，拒不整改或整改不到位的</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-3分</w:t>
            </w:r>
          </w:p>
        </w:tc>
      </w:tr>
      <w:tr>
        <w:tblPrEx>
          <w:tblCellMar>
            <w:top w:w="15" w:type="dxa"/>
            <w:left w:w="15" w:type="dxa"/>
            <w:bottom w:w="15" w:type="dxa"/>
            <w:right w:w="15" w:type="dxa"/>
          </w:tblCellMar>
        </w:tblPrEx>
        <w:trPr>
          <w:trHeight w:val="560" w:hRule="atLeast"/>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6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物业服务企业承担主要责任的法院判决、仲裁的生效裁决</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-3分</w:t>
            </w:r>
          </w:p>
        </w:tc>
      </w:tr>
      <w:tr>
        <w:tblPrEx>
          <w:tblCellMar>
            <w:top w:w="15" w:type="dxa"/>
            <w:left w:w="15" w:type="dxa"/>
            <w:bottom w:w="15" w:type="dxa"/>
            <w:right w:w="15" w:type="dxa"/>
          </w:tblCellMar>
        </w:tblPrEx>
        <w:trPr>
          <w:trHeight w:val="690" w:hRule="atLeast"/>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9</w:t>
            </w:r>
          </w:p>
        </w:tc>
        <w:tc>
          <w:tcPr>
            <w:tcW w:w="6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经物业主管部门、街道办事处、社区居民委员会查实属物业服务企业责任的问题投诉，拒不整改或整改不到位的</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-3分</w:t>
            </w:r>
          </w:p>
        </w:tc>
      </w:tr>
      <w:tr>
        <w:tblPrEx>
          <w:tblCellMar>
            <w:top w:w="15" w:type="dxa"/>
            <w:left w:w="15" w:type="dxa"/>
            <w:bottom w:w="15" w:type="dxa"/>
            <w:right w:w="15" w:type="dxa"/>
          </w:tblCellMar>
        </w:tblPrEx>
        <w:trPr>
          <w:trHeight w:val="690" w:hRule="atLeast"/>
        </w:trPr>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严重不良信用信息</w:t>
            </w: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6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经司法机关或行政机关确认因物业服务企业全部责任或主要责任，发生较大、一般生产安全事故的</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-5分</w:t>
            </w:r>
          </w:p>
        </w:tc>
      </w:tr>
      <w:tr>
        <w:tblPrEx>
          <w:tblCellMar>
            <w:top w:w="15" w:type="dxa"/>
            <w:left w:w="15" w:type="dxa"/>
            <w:bottom w:w="15" w:type="dxa"/>
            <w:right w:w="15" w:type="dxa"/>
          </w:tblCellMar>
        </w:tblPrEx>
        <w:trPr>
          <w:trHeight w:val="690" w:hRule="atLeast"/>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11</w:t>
            </w:r>
          </w:p>
        </w:tc>
        <w:tc>
          <w:tcPr>
            <w:tcW w:w="6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在物业服务招投标活动中有围标、串标等行为，严重破坏市场公平及竞争秩序和社会正常秩序的</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-5分</w:t>
            </w:r>
          </w:p>
        </w:tc>
      </w:tr>
      <w:tr>
        <w:tblPrEx>
          <w:tblCellMar>
            <w:top w:w="15" w:type="dxa"/>
            <w:left w:w="15" w:type="dxa"/>
            <w:bottom w:w="15" w:type="dxa"/>
            <w:right w:w="15" w:type="dxa"/>
          </w:tblCellMar>
        </w:tblPrEx>
        <w:trPr>
          <w:trHeight w:val="990" w:hRule="atLeast"/>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6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物业物业企业拒不履行法定义务，严重影响司法机关、行政机关公信力的，包括在司法机关、行政机关作出判决或决定后，有履行能力但拒不履行、逃避执行的</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-5分</w:t>
            </w:r>
          </w:p>
        </w:tc>
      </w:tr>
      <w:tr>
        <w:tblPrEx>
          <w:tblCellMar>
            <w:top w:w="15" w:type="dxa"/>
            <w:left w:w="15" w:type="dxa"/>
            <w:bottom w:w="15" w:type="dxa"/>
            <w:right w:w="15" w:type="dxa"/>
          </w:tblCellMar>
        </w:tblPrEx>
        <w:trPr>
          <w:trHeight w:val="557" w:hRule="atLeast"/>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c>
          <w:tcPr>
            <w:tcW w:w="52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13</w:t>
            </w:r>
          </w:p>
        </w:tc>
        <w:tc>
          <w:tcPr>
            <w:tcW w:w="665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因企业责任引发群体上访事件的</w:t>
            </w:r>
          </w:p>
        </w:tc>
        <w:tc>
          <w:tcPr>
            <w:tcW w:w="95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-5分</w:t>
            </w:r>
          </w:p>
        </w:tc>
      </w:tr>
      <w:tr>
        <w:tblPrEx>
          <w:tblCellMar>
            <w:top w:w="15" w:type="dxa"/>
            <w:left w:w="15" w:type="dxa"/>
            <w:bottom w:w="15" w:type="dxa"/>
            <w:right w:w="15" w:type="dxa"/>
          </w:tblCellMar>
        </w:tblPrEx>
        <w:trPr>
          <w:trHeight w:val="457" w:hRule="atLeast"/>
        </w:trPr>
        <w:tc>
          <w:tcPr>
            <w:tcW w:w="95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c>
          <w:tcPr>
            <w:tcW w:w="52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14</w:t>
            </w:r>
          </w:p>
        </w:tc>
        <w:tc>
          <w:tcPr>
            <w:tcW w:w="665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rPr>
            </w:pPr>
            <w:r>
              <w:rPr>
                <w:rFonts w:hint="eastAsia" w:ascii="宋体" w:hAnsi="宋体" w:cs="宋体"/>
                <w:color w:val="000000"/>
                <w:kern w:val="0"/>
                <w:sz w:val="20"/>
              </w:rPr>
              <w:t>实名举报较多，整改率较低的</w:t>
            </w:r>
          </w:p>
        </w:tc>
        <w:tc>
          <w:tcPr>
            <w:tcW w:w="95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-5分</w:t>
            </w:r>
          </w:p>
        </w:tc>
      </w:tr>
      <w:tr>
        <w:tblPrEx>
          <w:tblCellMar>
            <w:top w:w="15" w:type="dxa"/>
            <w:left w:w="15" w:type="dxa"/>
            <w:bottom w:w="15" w:type="dxa"/>
            <w:right w:w="15" w:type="dxa"/>
          </w:tblCellMar>
        </w:tblPrEx>
        <w:trPr>
          <w:trHeight w:val="745"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评价说明</w:t>
            </w:r>
          </w:p>
        </w:tc>
        <w:tc>
          <w:tcPr>
            <w:tcW w:w="81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bl>
    <w:p>
      <w:pPr>
        <w:rPr>
          <w:rFonts w:ascii="仿宋_GB2312" w:hAnsi="仿宋" w:eastAsia="仿宋_GB2312" w:cs="仿宋"/>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95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2020-09-25T07:11:55Z</dcterms:created>
  <dc:creator>Administrator</dc:creator>
  <cp:lastModifiedBy>〰</cp:lastModifiedBy>
  <dcterms:modified xsi:type="dcterms:W3CDTF">2020-09-25T07:15:26Z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