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11"/>
          <w:w w:val="100"/>
          <w:sz w:val="44"/>
          <w:szCs w:val="44"/>
          <w:lang w:val="en-US" w:eastAsia="zh-CN"/>
        </w:rPr>
      </w:pPr>
      <w:r>
        <w:rPr>
          <w:rFonts w:hint="eastAsia" w:ascii="方正小标宋简体" w:hAnsi="方正小标宋简体" w:eastAsia="方正小标宋简体" w:cs="方正小标宋简体"/>
          <w:spacing w:val="-11"/>
          <w:w w:val="100"/>
          <w:sz w:val="44"/>
          <w:szCs w:val="44"/>
          <w:lang w:val="en-US" w:eastAsia="zh-CN"/>
        </w:rPr>
        <w:t>眉县城市管理执法局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眉县2023年黄河流域生态环境警示片披露问题整改完成情况</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公示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11"/>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2"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eastAsia="zh-CN"/>
        </w:rPr>
        <w:t>《关于印发</w:t>
      </w:r>
      <w:r>
        <w:rPr>
          <w:rFonts w:hint="eastAsia" w:ascii="仿宋_GB2312" w:hAnsi="仿宋_GB2312" w:eastAsia="仿宋_GB2312" w:cs="仿宋_GB2312"/>
          <w:sz w:val="32"/>
          <w:szCs w:val="32"/>
          <w:lang w:val="en-US" w:eastAsia="zh-CN"/>
        </w:rPr>
        <w:t>宝鸡市2023</w:t>
      </w:r>
      <w:r>
        <w:rPr>
          <w:rFonts w:hint="eastAsia" w:ascii="仿宋_GB2312" w:hAnsi="仿宋_GB2312" w:eastAsia="仿宋_GB2312" w:cs="仿宋_GB2312"/>
          <w:sz w:val="32"/>
          <w:szCs w:val="32"/>
          <w:lang w:eastAsia="zh-CN"/>
        </w:rPr>
        <w:t>年黄河流域生态环境警示片披露问题整改方案的通知》（宝</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2024〕72号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文件要求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现拟对涉及</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县营头镇人民政府负责整改，我局牵头验收的1个问题申请市级销号，现予公示。公示期自公示日起7个工作日，公示期如有对公示问题整改情况有异议的，可通过来信、来电、来访等形式反映。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2" w:firstLineChars="0"/>
        <w:jc w:val="both"/>
        <w:textAlignment w:val="auto"/>
        <w:outlineLvl w:val="9"/>
        <w:rPr>
          <w:rFonts w:hint="eastAsia" w:ascii="仿宋_GB2312" w:eastAsia="仿宋_GB2312"/>
          <w:spacing w:val="-11"/>
          <w:w w:val="100"/>
          <w:sz w:val="32"/>
          <w:szCs w:val="32"/>
          <w:lang w:val="en-US" w:eastAsia="zh-CN"/>
        </w:rPr>
      </w:pPr>
      <w:r>
        <w:rPr>
          <w:rFonts w:hint="eastAsia" w:ascii="仿宋_GB2312" w:eastAsia="仿宋_GB2312"/>
          <w:spacing w:val="-11"/>
          <w:w w:val="100"/>
          <w:sz w:val="32"/>
          <w:szCs w:val="32"/>
          <w:lang w:val="en-US" w:eastAsia="zh-CN"/>
        </w:rPr>
        <w:t xml:space="preserve">电话/传真：0917-5542620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2" w:firstLineChars="0"/>
        <w:jc w:val="both"/>
        <w:textAlignment w:val="auto"/>
        <w:outlineLvl w:val="9"/>
        <w:rPr>
          <w:rFonts w:hint="eastAsia" w:ascii="仿宋_GB2312" w:eastAsia="仿宋_GB2312"/>
          <w:spacing w:val="-11"/>
          <w:w w:val="100"/>
          <w:sz w:val="32"/>
          <w:szCs w:val="32"/>
          <w:lang w:val="en-US" w:eastAsia="zh-CN"/>
        </w:rPr>
      </w:pPr>
      <w:r>
        <w:rPr>
          <w:rFonts w:hint="eastAsia" w:ascii="仿宋_GB2312" w:eastAsia="仿宋_GB2312"/>
          <w:spacing w:val="-11"/>
          <w:w w:val="100"/>
          <w:sz w:val="32"/>
          <w:szCs w:val="32"/>
          <w:lang w:val="en-US" w:eastAsia="zh-CN"/>
        </w:rPr>
        <w:t>邮箱：</w:t>
      </w:r>
      <w:r>
        <w:rPr>
          <w:rFonts w:hint="eastAsia" w:ascii="仿宋_GB2312" w:eastAsia="仿宋_GB2312"/>
          <w:spacing w:val="-11"/>
          <w:w w:val="100"/>
          <w:sz w:val="32"/>
          <w:szCs w:val="32"/>
          <w:lang w:val="en-US" w:eastAsia="zh-CN"/>
        </w:rPr>
        <w:fldChar w:fldCharType="begin"/>
      </w:r>
      <w:r>
        <w:rPr>
          <w:rFonts w:hint="eastAsia" w:ascii="仿宋_GB2312" w:eastAsia="仿宋_GB2312"/>
          <w:spacing w:val="-11"/>
          <w:w w:val="100"/>
          <w:sz w:val="32"/>
          <w:szCs w:val="32"/>
          <w:lang w:val="en-US" w:eastAsia="zh-CN"/>
        </w:rPr>
        <w:instrText xml:space="preserve"> HYPERLINK "mailto:mxhbj2257@163.com" </w:instrText>
      </w:r>
      <w:r>
        <w:rPr>
          <w:rFonts w:hint="eastAsia" w:ascii="仿宋_GB2312" w:eastAsia="仿宋_GB2312"/>
          <w:spacing w:val="-11"/>
          <w:w w:val="100"/>
          <w:sz w:val="32"/>
          <w:szCs w:val="32"/>
          <w:lang w:val="en-US" w:eastAsia="zh-CN"/>
        </w:rPr>
        <w:fldChar w:fldCharType="separate"/>
      </w:r>
      <w:r>
        <w:rPr>
          <w:rFonts w:hint="eastAsia" w:ascii="仿宋_GB2312" w:eastAsia="仿宋_GB2312"/>
          <w:spacing w:val="-11"/>
          <w:w w:val="100"/>
          <w:sz w:val="32"/>
          <w:szCs w:val="32"/>
          <w:lang w:val="en-US" w:eastAsia="zh-CN"/>
        </w:rPr>
        <w:t>mxcsglzfdd@163.com</w:t>
      </w:r>
      <w:r>
        <w:rPr>
          <w:rFonts w:hint="eastAsia" w:ascii="仿宋_GB2312" w:eastAsia="仿宋_GB2312"/>
          <w:spacing w:val="-11"/>
          <w:w w:val="100"/>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2" w:firstLineChars="0"/>
        <w:jc w:val="both"/>
        <w:textAlignment w:val="auto"/>
        <w:outlineLvl w:val="9"/>
        <w:rPr>
          <w:rFonts w:hint="eastAsia" w:ascii="仿宋_GB2312" w:eastAsia="仿宋_GB2312"/>
          <w:spacing w:val="-11"/>
          <w:w w:val="100"/>
          <w:sz w:val="32"/>
          <w:szCs w:val="32"/>
          <w:lang w:val="en-US" w:eastAsia="zh-CN"/>
        </w:rPr>
      </w:pPr>
      <w:r>
        <w:rPr>
          <w:rFonts w:hint="eastAsia" w:ascii="仿宋_GB2312" w:eastAsia="仿宋_GB2312"/>
          <w:spacing w:val="-11"/>
          <w:w w:val="100"/>
          <w:sz w:val="32"/>
          <w:szCs w:val="32"/>
          <w:lang w:val="en-US" w:eastAsia="zh-CN"/>
        </w:rPr>
        <w:t>地址：眉县城市管理执法局3楼办公室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52" w:firstLine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532" w:leftChars="304" w:right="0" w:rightChars="0" w:hanging="894" w:hangingChars="300"/>
        <w:jc w:val="both"/>
        <w:textAlignment w:val="auto"/>
        <w:outlineLvl w:val="9"/>
        <w:rPr>
          <w:rFonts w:hint="eastAsia" w:ascii="仿宋_GB2312" w:eastAsia="仿宋_GB2312"/>
          <w:spacing w:val="-11"/>
          <w:w w:val="100"/>
          <w:sz w:val="32"/>
          <w:szCs w:val="32"/>
          <w:lang w:val="en-US" w:eastAsia="zh-CN"/>
        </w:rPr>
      </w:pPr>
      <w:r>
        <w:rPr>
          <w:rFonts w:hint="eastAsia" w:ascii="仿宋_GB2312" w:eastAsia="仿宋_GB2312"/>
          <w:spacing w:val="-11"/>
          <w:w w:val="100"/>
          <w:sz w:val="32"/>
          <w:szCs w:val="32"/>
          <w:lang w:val="en-US" w:eastAsia="zh-CN"/>
        </w:rPr>
        <w:t>附件：眉县</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年黄河流域生态环境警示片披露问题整改</w:t>
      </w:r>
      <w:r>
        <w:rPr>
          <w:rFonts w:hint="eastAsia" w:ascii="仿宋_GB2312" w:eastAsia="仿宋_GB2312"/>
          <w:spacing w:val="-11"/>
          <w:w w:val="100"/>
          <w:sz w:val="32"/>
          <w:szCs w:val="32"/>
          <w:lang w:val="en-US" w:eastAsia="zh-CN"/>
        </w:rPr>
        <w:t>完成情况公示表</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eastAsia="仿宋_GB2312"/>
          <w:spacing w:val="-11"/>
          <w:w w:val="1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pacing w:val="-11"/>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pacing w:val="-11"/>
          <w:w w:val="100"/>
          <w:sz w:val="44"/>
          <w:szCs w:val="44"/>
          <w:lang w:val="en-US" w:eastAsia="zh-CN"/>
        </w:rPr>
      </w:pPr>
      <w:r>
        <w:rPr>
          <w:rFonts w:hint="eastAsia" w:ascii="方正小标宋简体" w:hAnsi="方正小标宋简体" w:eastAsia="方正小标宋简体" w:cs="方正小标宋简体"/>
          <w:spacing w:val="-11"/>
          <w:w w:val="100"/>
          <w:sz w:val="44"/>
          <w:szCs w:val="44"/>
          <w:lang w:val="en-US" w:eastAsia="zh-CN"/>
        </w:rPr>
        <w:t>眉县2023年黄河流域生态环境警示片披露问题整改完成情况的公示</w:t>
      </w:r>
    </w:p>
    <w:p>
      <w:pPr>
        <w:spacing w:line="600" w:lineRule="exact"/>
        <w:jc w:val="both"/>
        <w:rPr>
          <w:rFonts w:hint="default" w:ascii="仿宋_GB2312" w:hAnsi="仿宋_GB2312" w:eastAsia="仿宋_GB2312" w:cs="仿宋_GB2312"/>
          <w:sz w:val="24"/>
          <w:szCs w:val="24"/>
          <w:lang w:val="en-US" w:eastAsia="zh-CN"/>
        </w:rPr>
      </w:pPr>
    </w:p>
    <w:tbl>
      <w:tblPr>
        <w:tblStyle w:val="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6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9" w:hRule="atLeast"/>
        </w:trPr>
        <w:tc>
          <w:tcPr>
            <w:tcW w:w="1951" w:type="dxa"/>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lang w:val="en-US" w:eastAsia="zh-CN"/>
              </w:rPr>
              <w:t>反馈</w:t>
            </w:r>
            <w:r>
              <w:rPr>
                <w:rFonts w:hint="eastAsia" w:ascii="黑体" w:hAnsi="黑体" w:eastAsia="黑体"/>
                <w:sz w:val="28"/>
                <w:szCs w:val="28"/>
              </w:rPr>
              <w:t>问题</w:t>
            </w:r>
          </w:p>
        </w:tc>
        <w:tc>
          <w:tcPr>
            <w:tcW w:w="6571" w:type="dxa"/>
            <w:noWrap w:val="0"/>
            <w:vAlign w:val="center"/>
          </w:tcPr>
          <w:p>
            <w:pPr>
              <w:spacing w:line="420" w:lineRule="exact"/>
              <w:jc w:val="both"/>
              <w:rPr>
                <w:rFonts w:hint="default" w:ascii="仿宋_GB2312" w:eastAsia="仿宋_GB2312"/>
                <w:sz w:val="24"/>
                <w:szCs w:val="24"/>
                <w:lang w:val="en-US" w:eastAsia="zh-CN"/>
              </w:rPr>
            </w:pPr>
            <w:r>
              <w:rPr>
                <w:rFonts w:hint="eastAsia" w:ascii="仿宋_GB2312" w:eastAsia="仿宋_GB2312"/>
                <w:sz w:val="24"/>
                <w:szCs w:val="24"/>
                <w:lang w:val="en-US" w:eastAsia="zh-CN"/>
              </w:rPr>
              <w:t>2023年9月现场调查发现，宝鸡市眉县营头镇在秦岭山区违规倾倒大量生活垃圾。问题指出后，宝鸡市人民政府提供材料称现场仅有垃圾17立方米且已全部清理完成，但实际仍有大量生活垃圾未清理，且被就地覆土掩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1951" w:type="dxa"/>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整改目标</w:t>
            </w:r>
          </w:p>
        </w:tc>
        <w:tc>
          <w:tcPr>
            <w:tcW w:w="6571" w:type="dxa"/>
            <w:noWrap w:val="0"/>
            <w:vAlign w:val="center"/>
          </w:tcPr>
          <w:p>
            <w:pPr>
              <w:spacing w:line="420" w:lineRule="exact"/>
              <w:jc w:val="both"/>
              <w:rPr>
                <w:rFonts w:hint="default" w:ascii="仿宋_GB2312" w:eastAsia="仿宋_GB2312"/>
                <w:sz w:val="24"/>
                <w:szCs w:val="24"/>
                <w:lang w:val="en-US" w:eastAsia="zh-CN"/>
              </w:rPr>
            </w:pPr>
            <w:r>
              <w:rPr>
                <w:rFonts w:hint="eastAsia" w:ascii="仿宋_GB2312" w:eastAsia="仿宋_GB2312"/>
                <w:sz w:val="24"/>
                <w:szCs w:val="24"/>
                <w:lang w:val="en-US" w:eastAsia="zh-CN"/>
              </w:rPr>
              <w:t>完成违规倾倒农村生活垃圾的清理，规范农村生活垃圾收集处置。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2" w:hRule="atLeast"/>
        </w:trPr>
        <w:tc>
          <w:tcPr>
            <w:tcW w:w="1951" w:type="dxa"/>
            <w:noWrap w:val="0"/>
            <w:vAlign w:val="center"/>
          </w:tcPr>
          <w:p>
            <w:pPr>
              <w:spacing w:line="400" w:lineRule="exact"/>
              <w:jc w:val="center"/>
              <w:rPr>
                <w:rFonts w:hint="eastAsia" w:ascii="黑体" w:hAnsi="黑体" w:eastAsia="黑体"/>
                <w:sz w:val="28"/>
                <w:szCs w:val="28"/>
              </w:rPr>
            </w:pPr>
            <w:r>
              <w:rPr>
                <w:rFonts w:hint="eastAsia" w:ascii="黑体" w:hAnsi="黑体" w:eastAsia="黑体"/>
                <w:sz w:val="28"/>
                <w:szCs w:val="28"/>
              </w:rPr>
              <w:t>整改措施</w:t>
            </w:r>
          </w:p>
        </w:tc>
        <w:tc>
          <w:tcPr>
            <w:tcW w:w="6571" w:type="dxa"/>
            <w:noWrap w:val="0"/>
            <w:vAlign w:val="center"/>
          </w:tcPr>
          <w:p>
            <w:pPr>
              <w:spacing w:line="42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2024年11月底前，将眉县营头镇倾倒填埋的约4000方生活垃圾全部清理转运至眉县生活垃圾填埋场规范处置，并覆土复绿进行生态修复。开展整治区域土壤、地下水监测。</w:t>
            </w:r>
          </w:p>
          <w:p>
            <w:pPr>
              <w:spacing w:line="42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眉县开展秦岭区域违规倾倒生活垃圾专项排查整治，全面开展秦岭“五乱”专项整治，建立问题台账，实行销号管理。完成3处生活垃圾处理设施建设，实现“收集、转运、处置”闭环管理。</w:t>
            </w:r>
          </w:p>
          <w:p>
            <w:pPr>
              <w:spacing w:line="420" w:lineRule="exact"/>
              <w:ind w:firstLine="480" w:firstLineChars="200"/>
              <w:jc w:val="left"/>
              <w:rPr>
                <w:rFonts w:hint="eastAsia" w:ascii="仿宋_GB2312" w:eastAsia="仿宋_GB2312"/>
                <w:sz w:val="24"/>
                <w:szCs w:val="24"/>
                <w:lang w:eastAsia="zh-CN"/>
              </w:rPr>
            </w:pPr>
            <w:r>
              <w:rPr>
                <w:rFonts w:hint="eastAsia" w:ascii="仿宋_GB2312" w:eastAsia="仿宋_GB2312"/>
                <w:sz w:val="24"/>
                <w:szCs w:val="24"/>
                <w:lang w:val="en-US" w:eastAsia="zh-CN"/>
              </w:rPr>
              <w:t>3.</w:t>
            </w:r>
            <w:r>
              <w:rPr>
                <w:rFonts w:hint="eastAsia" w:ascii="仿宋_GB2312" w:eastAsia="仿宋_GB2312"/>
                <w:sz w:val="24"/>
                <w:szCs w:val="24"/>
              </w:rPr>
              <w:t>对“仍有大量生活垃圾未清理，且被就地覆土掩埋”</w:t>
            </w:r>
            <w:r>
              <w:rPr>
                <w:rFonts w:hint="eastAsia" w:ascii="仿宋_GB2312" w:eastAsia="仿宋_GB2312"/>
                <w:sz w:val="24"/>
                <w:szCs w:val="24"/>
                <w:lang w:eastAsia="zh-CN"/>
              </w:rPr>
              <w:t>问题展开调查，依据相关调查结果进行责任追究。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5" w:hRule="atLeast"/>
        </w:trPr>
        <w:tc>
          <w:tcPr>
            <w:tcW w:w="1951" w:type="dxa"/>
            <w:noWrap w:val="0"/>
            <w:vAlign w:val="center"/>
          </w:tcPr>
          <w:p>
            <w:pPr>
              <w:spacing w:line="400" w:lineRule="exact"/>
              <w:jc w:val="center"/>
              <w:rPr>
                <w:rFonts w:hint="default" w:ascii="黑体" w:hAnsi="黑体" w:eastAsia="黑体"/>
                <w:sz w:val="28"/>
                <w:szCs w:val="28"/>
                <w:lang w:val="en-US" w:eastAsia="zh-CN"/>
              </w:rPr>
            </w:pPr>
            <w:r>
              <w:rPr>
                <w:rFonts w:hint="eastAsia" w:ascii="黑体" w:hAnsi="黑体" w:eastAsia="黑体"/>
                <w:sz w:val="28"/>
                <w:szCs w:val="28"/>
              </w:rPr>
              <w:t>整改</w:t>
            </w:r>
            <w:r>
              <w:rPr>
                <w:rFonts w:hint="eastAsia" w:ascii="黑体" w:hAnsi="黑体" w:eastAsia="黑体"/>
                <w:sz w:val="28"/>
                <w:szCs w:val="28"/>
                <w:lang w:val="en-US" w:eastAsia="zh-CN"/>
              </w:rPr>
              <w:t>完成情况</w:t>
            </w:r>
          </w:p>
        </w:tc>
        <w:tc>
          <w:tcPr>
            <w:tcW w:w="6571" w:type="dxa"/>
            <w:noWrap w:val="0"/>
            <w:vAlign w:val="center"/>
          </w:tcPr>
          <w:p>
            <w:pPr>
              <w:spacing w:line="420" w:lineRule="exact"/>
              <w:ind w:firstLine="480" w:firstLineChars="200"/>
              <w:jc w:val="left"/>
              <w:rPr>
                <w:rFonts w:hint="eastAsia" w:ascii="仿宋_GB2312" w:eastAsia="仿宋_GB2312"/>
                <w:sz w:val="24"/>
                <w:szCs w:val="24"/>
              </w:rPr>
            </w:pPr>
            <w:r>
              <w:rPr>
                <w:rFonts w:hint="eastAsia" w:ascii="仿宋_GB2312" w:eastAsia="仿宋_GB2312"/>
                <w:sz w:val="24"/>
                <w:szCs w:val="24"/>
              </w:rPr>
              <w:t>1.</w:t>
            </w:r>
            <w:r>
              <w:rPr>
                <w:rFonts w:hint="eastAsia" w:ascii="仿宋_GB2312" w:hAnsi="仿宋_GB2312" w:eastAsia="仿宋_GB2312" w:cs="仿宋_GB2312"/>
                <w:sz w:val="24"/>
                <w:szCs w:val="24"/>
                <w:lang w:val="en-US" w:eastAsia="zh-CN"/>
              </w:rPr>
              <w:t>眉县已将营头镇违规倾倒的生活垃圾彻底清运至生活垃圾填埋场规范处置，累计清运处置垃圾4300余立方。制定生态修复方案，对该区域进行覆土、植绿等，并开展土壤、地下水监测工作。生态修复后，委托专业单位开展了土壤与地下水环境状况调查，调查报告认定生态修复达到相关规定要求，土壤、地下水指标正常。</w:t>
            </w:r>
          </w:p>
          <w:p>
            <w:pPr>
              <w:spacing w:line="420" w:lineRule="exact"/>
              <w:ind w:firstLine="480" w:firstLineChars="200"/>
              <w:jc w:val="left"/>
              <w:rPr>
                <w:rFonts w:hint="default" w:ascii="仿宋_GB2312" w:eastAsia="仿宋_GB2312"/>
                <w:sz w:val="24"/>
                <w:szCs w:val="24"/>
                <w:lang w:val="en-US"/>
              </w:rPr>
            </w:pPr>
            <w:r>
              <w:rPr>
                <w:rFonts w:hint="eastAsia" w:ascii="仿宋_GB2312" w:eastAsia="仿宋_GB2312"/>
                <w:sz w:val="24"/>
                <w:szCs w:val="24"/>
              </w:rPr>
              <w:t>2.</w:t>
            </w:r>
            <w:r>
              <w:rPr>
                <w:rFonts w:hint="eastAsia" w:ascii="仿宋_GB2312" w:hAnsi="仿宋_GB2312" w:eastAsia="仿宋_GB2312" w:cs="仿宋_GB2312"/>
                <w:sz w:val="24"/>
                <w:szCs w:val="24"/>
                <w:lang w:val="en-US" w:eastAsia="zh-CN"/>
              </w:rPr>
              <w:t>制定了垃圾乱堆乱倒排查整治工作方案，围绕“秦岭”五乱进行立体式、拉网式排查，共排查整治垃圾乱堆乱倒点位34个。加强营头镇、常头镇（马家社区）、汤峪镇（太白山旅游区）等3处生活垃圾处理设施维护管理，做好生活垃圾处理工作。同时根据县域实际情况，制定了《眉县城乡生活垃圾收集清运处置工作实施方案》，配备垃圾桶7216个、垃圾压缩车12辆、自卸式牵引车2辆，实行“定点收集+直接运输+末端处理”管理模式，实现“收集、转运、处置”闭环管理。</w:t>
            </w:r>
          </w:p>
          <w:p>
            <w:pPr>
              <w:spacing w:line="420" w:lineRule="exact"/>
              <w:ind w:firstLine="480" w:firstLineChars="200"/>
              <w:jc w:val="left"/>
              <w:rPr>
                <w:rFonts w:hint="default" w:ascii="仿宋_GB2312" w:hAnsi="仿宋_GB2312" w:eastAsia="仿宋_GB2312" w:cs="仿宋_GB2312"/>
                <w:sz w:val="24"/>
                <w:szCs w:val="24"/>
                <w:lang w:val="en-US" w:eastAsia="zh-CN"/>
              </w:rPr>
            </w:pPr>
            <w:r>
              <w:rPr>
                <w:rFonts w:hint="eastAsia" w:ascii="仿宋_GB2312" w:eastAsia="仿宋_GB2312"/>
                <w:sz w:val="24"/>
                <w:szCs w:val="24"/>
              </w:rPr>
              <w:t>3.</w:t>
            </w:r>
            <w:r>
              <w:rPr>
                <w:rFonts w:hint="eastAsia" w:ascii="仿宋_GB2312" w:hAnsi="仿宋_GB2312" w:eastAsia="仿宋_GB2312" w:cs="仿宋_GB2312"/>
                <w:sz w:val="24"/>
                <w:szCs w:val="24"/>
                <w:lang w:val="en-US" w:eastAsia="zh-CN"/>
              </w:rPr>
              <w:t>严格按照“既处理事、又处理人”的原则。根据核查结果，分级分层严肃追责问责，对营头镇原党委书记和镇长给予党内严重警告处分，对镇武装部部长给予政务警告处分，对红河谷村村委会主任给予诫勉谈话，对红河谷片秦岭保护网格员给予党内警告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951" w:type="dxa"/>
            <w:noWrap w:val="0"/>
            <w:vAlign w:val="center"/>
          </w:tcPr>
          <w:p>
            <w:pPr>
              <w:spacing w:line="400" w:lineRule="exact"/>
              <w:jc w:val="center"/>
              <w:rPr>
                <w:rFonts w:hint="default" w:ascii="黑体" w:hAnsi="黑体" w:eastAsia="黑体"/>
                <w:sz w:val="28"/>
                <w:szCs w:val="28"/>
                <w:lang w:val="en-US"/>
              </w:rPr>
            </w:pPr>
            <w:r>
              <w:rPr>
                <w:rFonts w:hint="eastAsia" w:ascii="黑体" w:hAnsi="黑体" w:eastAsia="黑体"/>
                <w:sz w:val="28"/>
                <w:szCs w:val="28"/>
                <w:lang w:val="en-US" w:eastAsia="zh-CN"/>
              </w:rPr>
              <w:t>责任单位</w:t>
            </w:r>
          </w:p>
        </w:tc>
        <w:tc>
          <w:tcPr>
            <w:tcW w:w="6571" w:type="dxa"/>
            <w:noWrap w:val="0"/>
            <w:vAlign w:val="center"/>
          </w:tcPr>
          <w:p>
            <w:pPr>
              <w:numPr>
                <w:ilvl w:val="0"/>
                <w:numId w:val="0"/>
              </w:numPr>
              <w:spacing w:line="420" w:lineRule="exact"/>
              <w:ind w:leftChars="0" w:firstLine="2160" w:firstLineChars="900"/>
              <w:jc w:val="both"/>
              <w:rPr>
                <w:rFonts w:hint="default" w:ascii="仿宋_GB2312" w:eastAsia="仿宋_GB2312"/>
                <w:sz w:val="24"/>
                <w:szCs w:val="24"/>
                <w:lang w:val="en-US" w:eastAsia="zh-CN"/>
              </w:rPr>
            </w:pPr>
            <w:r>
              <w:rPr>
                <w:rFonts w:hint="eastAsia" w:ascii="仿宋_GB2312" w:eastAsia="仿宋_GB2312"/>
                <w:sz w:val="24"/>
                <w:szCs w:val="24"/>
                <w:lang w:val="en-US" w:eastAsia="zh-CN"/>
              </w:rPr>
              <w:t>营头镇人民政府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1951" w:type="dxa"/>
            <w:noWrap w:val="0"/>
            <w:vAlign w:val="center"/>
          </w:tcPr>
          <w:p>
            <w:pPr>
              <w:spacing w:line="400" w:lineRule="exact"/>
              <w:jc w:val="center"/>
              <w:rPr>
                <w:rFonts w:hint="default" w:ascii="黑体" w:hAnsi="黑体" w:eastAsia="黑体"/>
                <w:sz w:val="28"/>
                <w:szCs w:val="28"/>
                <w:lang w:val="en-US" w:eastAsia="zh-CN"/>
              </w:rPr>
            </w:pPr>
            <w:r>
              <w:rPr>
                <w:rFonts w:hint="eastAsia" w:ascii="黑体" w:hAnsi="黑体" w:eastAsia="黑体"/>
                <w:sz w:val="28"/>
                <w:szCs w:val="28"/>
                <w:lang w:val="en-US" w:eastAsia="zh-CN"/>
              </w:rPr>
              <w:t>备  注</w:t>
            </w:r>
          </w:p>
        </w:tc>
        <w:tc>
          <w:tcPr>
            <w:tcW w:w="6571" w:type="dxa"/>
            <w:noWrap w:val="0"/>
            <w:vAlign w:val="top"/>
          </w:tcPr>
          <w:p>
            <w:pPr>
              <w:spacing w:line="420" w:lineRule="exact"/>
              <w:rPr>
                <w:rFonts w:hint="eastAsia" w:ascii="仿宋_GB2312" w:eastAsia="仿宋_GB2312"/>
                <w:sz w:val="24"/>
                <w:szCs w:val="24"/>
              </w:rPr>
            </w:pPr>
          </w:p>
          <w:p>
            <w:pPr>
              <w:spacing w:line="420" w:lineRule="exact"/>
              <w:rPr>
                <w:rFonts w:hint="eastAsia" w:ascii="仿宋_GB2312" w:eastAsia="仿宋_GB2312"/>
                <w:sz w:val="24"/>
                <w:szCs w:val="24"/>
              </w:rPr>
            </w:pPr>
          </w:p>
          <w:p>
            <w:pPr>
              <w:spacing w:line="420" w:lineRule="exact"/>
              <w:rPr>
                <w:rFonts w:hint="eastAsia" w:ascii="仿宋_GB2312" w:eastAsia="仿宋_GB2312"/>
                <w:sz w:val="24"/>
                <w:szCs w:val="24"/>
              </w:rPr>
            </w:pPr>
          </w:p>
          <w:p>
            <w:pPr>
              <w:spacing w:line="420" w:lineRule="exact"/>
              <w:rPr>
                <w:rFonts w:hint="eastAsia" w:ascii="仿宋_GB2312" w:eastAsia="仿宋_GB2312"/>
                <w:sz w:val="24"/>
                <w:szCs w:val="24"/>
              </w:rPr>
            </w:pPr>
          </w:p>
          <w:p>
            <w:pPr>
              <w:spacing w:line="420" w:lineRule="exact"/>
              <w:rPr>
                <w:rFonts w:hint="eastAsia" w:ascii="仿宋_GB2312" w:eastAsia="仿宋_GB2312"/>
                <w:sz w:val="24"/>
                <w:szCs w:val="24"/>
              </w:rPr>
            </w:pPr>
          </w:p>
          <w:p>
            <w:pPr>
              <w:spacing w:line="420" w:lineRule="exact"/>
              <w:rPr>
                <w:rFonts w:hint="default" w:ascii="仿宋_GB2312" w:eastAsia="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spacing w:val="-11"/>
          <w:w w:val="100"/>
          <w:sz w:val="44"/>
          <w:szCs w:val="44"/>
          <w:lang w:val="en-US" w:eastAsia="zh-CN"/>
        </w:rPr>
      </w:pP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zAxNzYyMzY2YmVlNWE5NjQxYjRkMTc5YzY3MTcifQ=="/>
  </w:docVars>
  <w:rsids>
    <w:rsidRoot w:val="660C5F4E"/>
    <w:rsid w:val="01673594"/>
    <w:rsid w:val="04B75BB9"/>
    <w:rsid w:val="084E7652"/>
    <w:rsid w:val="0902794B"/>
    <w:rsid w:val="0BB00A75"/>
    <w:rsid w:val="0F490B74"/>
    <w:rsid w:val="10BB784F"/>
    <w:rsid w:val="129849D0"/>
    <w:rsid w:val="14795A57"/>
    <w:rsid w:val="14D50DB0"/>
    <w:rsid w:val="161812A0"/>
    <w:rsid w:val="175E7186"/>
    <w:rsid w:val="184E2787"/>
    <w:rsid w:val="1ADC74F5"/>
    <w:rsid w:val="1B3B7C83"/>
    <w:rsid w:val="1CF81210"/>
    <w:rsid w:val="204F1D62"/>
    <w:rsid w:val="215D04AF"/>
    <w:rsid w:val="22AA212B"/>
    <w:rsid w:val="22B57274"/>
    <w:rsid w:val="23E32EED"/>
    <w:rsid w:val="24C34ACD"/>
    <w:rsid w:val="26D22DA5"/>
    <w:rsid w:val="2750021D"/>
    <w:rsid w:val="277B168E"/>
    <w:rsid w:val="27CD0E71"/>
    <w:rsid w:val="29B21877"/>
    <w:rsid w:val="2DDB7743"/>
    <w:rsid w:val="2EA96267"/>
    <w:rsid w:val="2F935A08"/>
    <w:rsid w:val="31235140"/>
    <w:rsid w:val="33220CEA"/>
    <w:rsid w:val="33430B85"/>
    <w:rsid w:val="33CF6FEA"/>
    <w:rsid w:val="357F2847"/>
    <w:rsid w:val="36933FEC"/>
    <w:rsid w:val="38F35529"/>
    <w:rsid w:val="41BE41FA"/>
    <w:rsid w:val="42F029B9"/>
    <w:rsid w:val="43087CE0"/>
    <w:rsid w:val="44444DE5"/>
    <w:rsid w:val="44D02BC2"/>
    <w:rsid w:val="45603F46"/>
    <w:rsid w:val="45A05608"/>
    <w:rsid w:val="45EB361D"/>
    <w:rsid w:val="480F5FAA"/>
    <w:rsid w:val="4AB60715"/>
    <w:rsid w:val="4B400FB4"/>
    <w:rsid w:val="4C70549F"/>
    <w:rsid w:val="4DC74245"/>
    <w:rsid w:val="4E564138"/>
    <w:rsid w:val="52415F80"/>
    <w:rsid w:val="52FE08FA"/>
    <w:rsid w:val="53FB6D34"/>
    <w:rsid w:val="543D5452"/>
    <w:rsid w:val="553835D7"/>
    <w:rsid w:val="57187BCE"/>
    <w:rsid w:val="5A336609"/>
    <w:rsid w:val="5D0758B1"/>
    <w:rsid w:val="62C80587"/>
    <w:rsid w:val="63B11F7A"/>
    <w:rsid w:val="64F3130E"/>
    <w:rsid w:val="65F623FF"/>
    <w:rsid w:val="660C5F4E"/>
    <w:rsid w:val="69005211"/>
    <w:rsid w:val="6DCC7B1B"/>
    <w:rsid w:val="6FA16511"/>
    <w:rsid w:val="70512559"/>
    <w:rsid w:val="711401ED"/>
    <w:rsid w:val="73E30CC7"/>
    <w:rsid w:val="742D0FF7"/>
    <w:rsid w:val="78D83818"/>
    <w:rsid w:val="7993774A"/>
    <w:rsid w:val="7B3B1DAC"/>
    <w:rsid w:val="7E7A3F37"/>
    <w:rsid w:val="7ED20D09"/>
    <w:rsid w:val="CD831CAE"/>
    <w:rsid w:val="DF61AD3C"/>
    <w:rsid w:val="DFE68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1108</Words>
  <Characters>1181</Characters>
  <Lines>0</Lines>
  <Paragraphs>0</Paragraphs>
  <TotalTime>10</TotalTime>
  <ScaleCrop>false</ScaleCrop>
  <LinksUpToDate>false</LinksUpToDate>
  <CharactersWithSpaces>1191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2023-11-22T14:14:00Z</dcterms:created>
  <dc:creator>lenovo</dc:creator>
  <cp:lastModifiedBy>guest</cp:lastModifiedBy>
  <cp:lastPrinted>2024-03-23T08:49:00Z</cp:lastPrinted>
  <dcterms:modified xsi:type="dcterms:W3CDTF">2025-04-10T17:55:50Z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C8563D623009441FBD2C3FD476232815_13</vt:lpwstr>
  </property>
  <property fmtid="{D5CDD505-2E9C-101B-9397-08002B2CF9AE}" pid="4" name="KSOTemplateDocerSaveRecord">
    <vt:lpwstr>eyJoZGlkIjoiOGQ2ZGQyZWY5MTY3MzE4YmMzYzBkYzA4NDFjM2UyZWIiLCJ1c2VySWQiOiI0NTM1NjEyMTQifQ==</vt:lpwstr>
  </property>
</Properties>
</file>