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DE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 w14:paraId="110BC12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A7E343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 w14:paraId="2594F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眉环函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〔2025〕25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号</w:t>
      </w:r>
    </w:p>
    <w:p w14:paraId="7EE3F7FA">
      <w:pPr>
        <w:pStyle w:val="3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 w14:paraId="31A64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  <w:lang w:val="en-US" w:eastAsia="zh-CN"/>
        </w:rPr>
        <w:t>关于鄠周眉高速公路陕西路桥集团HZM-C06项目经理部综合拌合站项目</w:t>
      </w:r>
    </w:p>
    <w:p w14:paraId="4239C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z w:val="44"/>
          <w:szCs w:val="44"/>
          <w:lang w:val="en-US" w:eastAsia="zh-CN"/>
        </w:rPr>
        <w:t>环境影响报告表的批复</w:t>
      </w:r>
    </w:p>
    <w:p w14:paraId="6147BAE4">
      <w:pPr>
        <w:pStyle w:val="2"/>
        <w:rPr>
          <w:rFonts w:hint="eastAsia"/>
        </w:rPr>
      </w:pPr>
    </w:p>
    <w:p w14:paraId="2BD34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陕西路桥集团有限公司：</w:t>
      </w:r>
    </w:p>
    <w:p w14:paraId="02DB3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你单位报来的《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鄠周眉高速公路陕西路桥集团HZM-C06项目经理部综合拌合站项目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环境影响报告表》收悉。经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局务会研究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，现批复如下：</w:t>
      </w:r>
    </w:p>
    <w:p w14:paraId="2947BE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该项目位于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眉县横渠镇横渠村东沙河刘家滩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新建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项目。项目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为临时工程，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占地面积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约30687m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为鄠周眉高速公路配套工程。项目主要设置1条水稳拌合料生产线和1条沥青混凝土生产线，建设安装1台全密闭搅拌缸，配套安装水泥筒仓3个，粉煤灰筒仓1个，设置1套沥青加热储存系统及配料计量装置、配料系统、骨料输送系统等辅助工程和相关环保设施。生产规模为水稳拌合料39万t/a，沥青混凝土30万t/a，乳化沥青1000t/a。项目总投资986.7万元，其中环保投资39.3万元,占总投资的4%。</w:t>
      </w:r>
    </w:p>
    <w:p w14:paraId="5B853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经审查，在全面落实环境影响报告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和本批复提出的各项生态环境保护措施后，该项目所产生的不利生态环境影响能够得到一定缓解和控制。我局原则同意环境影响报告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的总体结论和各项生态环境保护措施。</w:t>
      </w:r>
    </w:p>
    <w:p w14:paraId="01D04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项目在建设和运行管理中应重点做好以下工作：</w:t>
      </w:r>
    </w:p>
    <w:p w14:paraId="671D8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加强施工期管理，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施工场所设置围挡、裸露场地采用抑尘网覆盖并及时洒水、车辆进出冲洗，施工扬尘应执行《施工场界扬尘排放限值》（DB61/1078-2017）标准，加强非道路移动机械运行管理和维护保养，减少车辆尾气排放。生活污水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排入临时化粪池后定期清运周边农户肥田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生产废水沉淀后回用；施工噪声通过合理安排施工时间，选用低噪设备，避免和杜绝鸣笛等措施，确保施工场界噪声满足《建筑施工场界环境噪声排放标准》（GB12523-2011）相关限值要求。生活垃圾统一收集送指定地点处置，开挖土方回填，建筑垃圾尽量回收利用，不能利用的按照相关要求送至指定建筑垃圾处理场处置。</w:t>
      </w:r>
    </w:p>
    <w:p w14:paraId="569F8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大气污染防治措施。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》要求，落实并优化各项大气污染防治措施，确保大气污染物排放满足或优于国家和地方相关标准要求。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筒仓呼吸粉尘采取自带的布袋除尘器处理；骨料卸料、输送储存、上料扬尘采取料仓封闭、料棚使用自动喷淋、炮雾机抑尘，输送带密闭等措施；水稳料搅拌粉尘采用全密闭搅拌缸设置炮雾抑尘。以上废气均需满足《水泥工业大气污染物排放标准》（GB4915-2013）表3限值要求。沥青混凝土生产筛分、烘干废气经旋风除尘和袋式除尘器处理后通过15m高排气筒排放，颗粒物、二氧化硫、氮氧化物应符合《工业炉窑大气污染综合治理方案》要求。导热油炉天然气燃烧废气采用低氮燃烧器处理后经15m高排气筒排放，应符合《锅炉大气污染物排放标准》（DB61/1226-2018）排放限值要求。沥青储罐、搅拌、卸料口、改性沥青、乳化沥青生产工序产生的沥青烟、苯并</w:t>
      </w:r>
      <w:r>
        <w:rPr>
          <w:rFonts w:hint="eastAsia" w:ascii="微软雅黑" w:hAnsi="微软雅黑" w:eastAsia="微软雅黑" w:cs="微软雅黑"/>
          <w:snapToGrid w:val="0"/>
          <w:color w:val="000000"/>
          <w:sz w:val="32"/>
          <w:szCs w:val="32"/>
          <w:shd w:val="clear"/>
          <w:lang w:val="en-US" w:eastAsia="zh-CN"/>
        </w:rPr>
        <w:t>［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snapToGrid w:val="0"/>
          <w:color w:val="000000"/>
          <w:sz w:val="32"/>
          <w:szCs w:val="32"/>
          <w:shd w:val="clear"/>
          <w:lang w:val="en-US" w:eastAsia="zh-CN"/>
        </w:rPr>
        <w:t>］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芘、非甲烷总烃采取水喷淋+干式过滤+二级活性炭吸附处理后通过15m高排气筒排放，LNG罐产生的非甲烷总烃经自带的BOG回收系统处理排放，应符合《大气污染物综合排放标准》（GB16297）限值要求。食堂油烟经油烟净化器处理后排放，需满足《饮食业油烟排放标准》（GB18483-2001）小型标准。</w:t>
      </w:r>
    </w:p>
    <w:p w14:paraId="36915C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严格落实水污染防治措施。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初期雨水、冲洗废水，收集至三级沉淀池处理后回用，不外排。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生活污水经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隔油池后进入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化粪池预处理后，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拉运至周边农户肥田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。</w:t>
      </w:r>
    </w:p>
    <w:p w14:paraId="3102A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严格落实噪声污染防治措施。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施工期噪声采取施工时间管控、合理布置施工场地、噪声源头控制等措施减少噪声污染。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运营期噪声主要为设备机械运行过程中产生的。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车间选用隔音效果较好的材料、选用低噪设备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安装减震设施，加强设备维修保养、合理作业时间等措施治理噪声污染。</w:t>
      </w:r>
    </w:p>
    <w:p w14:paraId="4341C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加强固体废物管理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妥善处置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</w:rPr>
        <w:t>生活垃圾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建筑垃圾、废活性炭、导热油等固体废物。</w:t>
      </w:r>
    </w:p>
    <w:p w14:paraId="5446C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（六）严格落实生态环境保护措施。施工结束后，及时对施工场地采取生态修复措施。</w:t>
      </w:r>
    </w:p>
    <w:p w14:paraId="6E94740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32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加强环境风险应急管控。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落实《报告表》提出的风险防范措施，制定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突发环境事件应急预案，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采取切实可行的突发环境事件应急措施，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应急预案通过专家评审后报我局备案，并定期开展应急演练，防范环境风险。</w:t>
      </w:r>
    </w:p>
    <w:p w14:paraId="387D0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shd w:val="clear"/>
          <w:lang w:val="en-US" w:eastAsia="zh-CN"/>
        </w:rPr>
        <w:t>三、建设单位是建设项目选址、建设、运营全过程落实环境保护措施、公开环境信息的主体，应按照信息公开要求，做好信息公开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。</w:t>
      </w:r>
    </w:p>
    <w:p w14:paraId="05EF68F1">
      <w:pPr>
        <w:pStyle w:val="3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32"/>
          <w:szCs w:val="32"/>
          <w:shd w:val="clear"/>
          <w:lang w:val="en-US" w:eastAsia="zh-CN"/>
        </w:rPr>
        <w:t>四、《报告表》经批准后，项目的性质、规模、地点、生产工艺和环境保护措施发生重大变动的,应当重新报批该项目环境影响报告表。自《报告表》批准之日起超过5年，方决定该项目开工建设的，应在开工前将《报告表》报我局重新审核。未经我局重新审核同意的，不得擅自开工建设。</w:t>
      </w:r>
    </w:p>
    <w:p w14:paraId="58A6D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严格项目竣工验收。项目建成后，你单位应当按照《建设项目竣工环境保护验收暂行办法》的有关规定，对配套建设的环境保护设施进行自主验收，同时向我局报送相关信息，并接受监督检查。验收合格后，其主体工程方可投入生产或者使用，未经验收或者验收不合格的，不得投入生产或者使用。</w:t>
      </w:r>
    </w:p>
    <w:p w14:paraId="32456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、该项目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事中事后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环境监管由县生态环境保护综合执法大队负责。</w:t>
      </w:r>
    </w:p>
    <w:p w14:paraId="631A5B5C">
      <w:pPr>
        <w:pStyle w:val="3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 w14:paraId="67B18DE2">
      <w:pPr>
        <w:rPr>
          <w:rFonts w:hint="eastAsia"/>
        </w:rPr>
      </w:pPr>
    </w:p>
    <w:p w14:paraId="080407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宝鸡市生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环境局眉县分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       </w:t>
      </w:r>
    </w:p>
    <w:p w14:paraId="7E72B7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          </w:t>
      </w:r>
    </w:p>
    <w:p w14:paraId="4B497802">
      <w:pP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645E9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3FB7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</w:p>
    <w:p w14:paraId="1636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抄送：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生态环境保护综合执法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大队，县环境监测站。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392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9A2E7F"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9A2E7F"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43554"/>
    <w:multiLevelType w:val="singleLevel"/>
    <w:tmpl w:val="FDE435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ZmFlZWJhMDMxYTkxZGQ4NzNiMjBiODlhZTE1MWIifQ=="/>
  </w:docVars>
  <w:rsids>
    <w:rsidRoot w:val="24AD1217"/>
    <w:rsid w:val="0C3E4FC5"/>
    <w:rsid w:val="124A4542"/>
    <w:rsid w:val="1A4F0CB0"/>
    <w:rsid w:val="24AD1217"/>
    <w:rsid w:val="25A01F47"/>
    <w:rsid w:val="2CCB53C6"/>
    <w:rsid w:val="2CF12D43"/>
    <w:rsid w:val="3E1C28AD"/>
    <w:rsid w:val="48E91C98"/>
    <w:rsid w:val="4CB2397A"/>
    <w:rsid w:val="52427225"/>
    <w:rsid w:val="58C91D32"/>
    <w:rsid w:val="6F505D33"/>
    <w:rsid w:val="7DD8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1942</Words>
  <Characters>2061</Characters>
  <Lines>0</Lines>
  <Paragraphs>0</Paragraphs>
  <TotalTime>18</TotalTime>
  <ScaleCrop>false</ScaleCrop>
  <LinksUpToDate>false</LinksUpToDate>
  <CharactersWithSpaces>2098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2022-06-14T13:05:00Z</dcterms:created>
  <dc:creator>⁶⁶⁶</dc:creator>
  <cp:lastModifiedBy>柠栀</cp:lastModifiedBy>
  <cp:lastPrinted>2025-04-02T09:19:00Z</cp:lastPrinted>
  <dcterms:modified xsi:type="dcterms:W3CDTF">2025-04-03T07:10:24Z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B685DC4821FF43EF9D56C3EFAF10017D</vt:lpwstr>
  </property>
  <property fmtid="{D5CDD505-2E9C-101B-9397-08002B2CF9AE}" pid="4" name="KSOTemplateDocerSaveRecord">
    <vt:lpwstr>eyJoZGlkIjoiNzAwZTM0ZTA5OWJiNDRjNThkMDlmMzNkMjNhNmI2YjgiLCJ1c2VySWQiOiIyODg0NjI3NjEifQ==</vt:lpwstr>
  </property>
</Properties>
</file>