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A38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0E5047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46AA85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2734C1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眉环函〔2025〕5号</w:t>
      </w:r>
    </w:p>
    <w:p w14:paraId="27668A9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14:paraId="7F2CA6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关于陕西汇鑫润德新能源有限公司新能源设备（眉县）研发智造中心建设项目</w:t>
      </w:r>
    </w:p>
    <w:p w14:paraId="0A195C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环境影响报告表的批复</w:t>
      </w:r>
    </w:p>
    <w:p w14:paraId="04E9DD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38A65D0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陕西汇鑫润德新能源有限公司</w:t>
      </w:r>
      <w:r>
        <w:rPr>
          <w:rFonts w:hint="eastAsia" w:ascii="仿宋_GB2312" w:hAnsi="仿宋_GB2312" w:eastAsia="仿宋_GB2312" w:cs="仿宋_GB2312"/>
          <w:sz w:val="32"/>
          <w:szCs w:val="32"/>
        </w:rPr>
        <w:t>：</w:t>
      </w:r>
    </w:p>
    <w:p w14:paraId="59A0749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你公司报来</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新能源设备（眉县）研发智造中心建设项目环境影响报告表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color w:val="000000"/>
          <w:sz w:val="32"/>
          <w:szCs w:val="32"/>
          <w:highlight w:val="none"/>
        </w:rPr>
        <w:t>该项目环境影响报告表技术</w:t>
      </w:r>
      <w:r>
        <w:rPr>
          <w:rFonts w:hint="eastAsia" w:ascii="仿宋_GB2312" w:hAnsi="仿宋_GB2312" w:eastAsia="仿宋_GB2312" w:cs="仿宋_GB2312"/>
          <w:color w:val="000000"/>
          <w:sz w:val="32"/>
          <w:szCs w:val="32"/>
          <w:highlight w:val="none"/>
          <w:lang w:val="en-US" w:eastAsia="zh-CN"/>
        </w:rPr>
        <w:t>评估</w:t>
      </w:r>
      <w:r>
        <w:rPr>
          <w:rFonts w:hint="eastAsia" w:ascii="仿宋_GB2312" w:hAnsi="仿宋_GB2312" w:eastAsia="仿宋_GB2312" w:cs="仿宋_GB2312"/>
          <w:color w:val="000000"/>
          <w:sz w:val="32"/>
          <w:szCs w:val="32"/>
          <w:highlight w:val="none"/>
        </w:rPr>
        <w:t>专家</w:t>
      </w:r>
      <w:r>
        <w:rPr>
          <w:rFonts w:hint="eastAsia" w:ascii="仿宋_GB2312" w:hAnsi="仿宋_GB2312" w:eastAsia="仿宋_GB2312" w:cs="仿宋_GB2312"/>
          <w:color w:val="000000"/>
          <w:sz w:val="32"/>
          <w:szCs w:val="32"/>
          <w:highlight w:val="none"/>
          <w:lang w:val="en-US" w:eastAsia="zh-CN"/>
        </w:rPr>
        <w:t>评审</w:t>
      </w:r>
      <w:r>
        <w:rPr>
          <w:rFonts w:hint="eastAsia" w:ascii="仿宋_GB2312" w:hAnsi="仿宋_GB2312" w:eastAsia="仿宋_GB2312" w:cs="仿宋_GB2312"/>
          <w:color w:val="000000"/>
          <w:sz w:val="32"/>
          <w:szCs w:val="32"/>
          <w:highlight w:val="none"/>
        </w:rPr>
        <w:t>意见收悉</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val="en-US" w:eastAsia="zh-CN"/>
        </w:rPr>
        <w:t>局务会</w:t>
      </w:r>
      <w:r>
        <w:rPr>
          <w:rFonts w:hint="eastAsia" w:ascii="仿宋_GB2312" w:hAnsi="仿宋_GB2312" w:eastAsia="仿宋_GB2312" w:cs="仿宋_GB2312"/>
          <w:sz w:val="32"/>
          <w:szCs w:val="32"/>
        </w:rPr>
        <w:t>研究，现批复如下</w:t>
      </w:r>
      <w:r>
        <w:rPr>
          <w:rFonts w:hint="eastAsia" w:ascii="仿宋_GB2312" w:hAnsi="仿宋_GB2312" w:eastAsia="仿宋_GB2312" w:cs="仿宋_GB2312"/>
          <w:sz w:val="32"/>
          <w:szCs w:val="32"/>
          <w:lang w:eastAsia="zh-CN"/>
        </w:rPr>
        <w:t>：</w:t>
      </w:r>
    </w:p>
    <w:p w14:paraId="62DD9EF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该项目位于</w:t>
      </w:r>
      <w:r>
        <w:rPr>
          <w:rFonts w:hint="eastAsia" w:ascii="仿宋_GB2312" w:hAnsi="仿宋_GB2312" w:eastAsia="仿宋_GB2312" w:cs="仿宋_GB2312"/>
          <w:sz w:val="32"/>
          <w:szCs w:val="32"/>
          <w:lang w:val="en-US" w:eastAsia="zh-CN"/>
        </w:rPr>
        <w:t>眉县霸王河工业园红星路东段北侧，为新建项目，占地面积35000</w:t>
      </w:r>
      <w:r>
        <w:rPr>
          <w:rFonts w:hint="eastAsia" w:ascii="仿宋_GB2312" w:hAnsi="仿宋_GB2312" w:eastAsia="仿宋_GB2312" w:cs="仿宋_GB2312"/>
          <w:sz w:val="36"/>
          <w:szCs w:val="36"/>
          <w:lang w:val="en-US" w:eastAsia="zh-CN"/>
        </w:rPr>
        <w:t>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shd w:val="clear"/>
          <w:lang w:val="en-US" w:eastAsia="zh-CN"/>
        </w:rPr>
        <w:t>项目主要建设内容为：新建2层钢结构厂房，一层设置钣金生产线、机加生产线、喷漆线、装配区，二层设置喷塑线及前处理线，前处理线主要包括尺寸为长3mx宽3mx高2.2m的脱脂槽、水洗槽磷化槽等设备及其他配套设施和环保设施。</w:t>
      </w:r>
      <w:r>
        <w:rPr>
          <w:rFonts w:hint="eastAsia" w:ascii="仿宋_GB2312" w:hAnsi="仿宋_GB2312" w:eastAsia="仿宋_GB2312" w:cs="仿宋_GB2312"/>
          <w:sz w:val="32"/>
          <w:szCs w:val="32"/>
          <w:lang w:val="en-US" w:eastAsia="zh-CN"/>
        </w:rPr>
        <w:t>建成后规模为：机加件、钣金件、风冷散热器、充电模块各20万件/年，电柜、充电桩、储能柜、液冷散热器各10万件/年，钣金壳体30万件/年。</w:t>
      </w:r>
      <w:r>
        <w:rPr>
          <w:rFonts w:hint="eastAsia" w:ascii="仿宋_GB2312" w:hAnsi="仿宋_GB2312" w:eastAsia="仿宋_GB2312" w:cs="仿宋_GB2312"/>
          <w:sz w:val="32"/>
          <w:szCs w:val="32"/>
        </w:rPr>
        <w:t>项目总投资</w:t>
      </w:r>
      <w:r>
        <w:rPr>
          <w:rFonts w:hint="eastAsia" w:ascii="仿宋_GB2312" w:hAnsi="仿宋_GB2312" w:eastAsia="仿宋_GB2312" w:cs="仿宋_GB2312"/>
          <w:sz w:val="32"/>
          <w:szCs w:val="32"/>
          <w:lang w:val="en-US" w:eastAsia="zh-CN"/>
        </w:rPr>
        <w:t>30000</w:t>
      </w:r>
      <w:r>
        <w:rPr>
          <w:rFonts w:hint="eastAsia" w:ascii="仿宋_GB2312" w:hAnsi="仿宋_GB2312" w:eastAsia="仿宋_GB2312" w:cs="仿宋_GB2312"/>
          <w:sz w:val="32"/>
          <w:szCs w:val="32"/>
        </w:rPr>
        <w:t>万元，其中环保投资</w:t>
      </w:r>
      <w:r>
        <w:rPr>
          <w:rFonts w:hint="eastAsia" w:ascii="仿宋_GB2312" w:hAnsi="仿宋_GB2312" w:eastAsia="仿宋_GB2312" w:cs="仿宋_GB2312"/>
          <w:sz w:val="32"/>
          <w:szCs w:val="32"/>
          <w:lang w:val="en-US" w:eastAsia="zh-CN"/>
        </w:rPr>
        <w:t>216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占总投资的</w:t>
      </w:r>
      <w:r>
        <w:rPr>
          <w:rFonts w:hint="eastAsia" w:ascii="仿宋_GB2312" w:hAnsi="仿宋_GB2312" w:eastAsia="仿宋_GB2312" w:cs="仿宋_GB2312"/>
          <w:sz w:val="32"/>
          <w:szCs w:val="32"/>
          <w:lang w:val="en-US" w:eastAsia="zh-CN"/>
        </w:rPr>
        <w:t>0.72</w:t>
      </w:r>
      <w:r>
        <w:rPr>
          <w:rFonts w:hint="eastAsia" w:ascii="仿宋_GB2312" w:hAnsi="仿宋_GB2312" w:eastAsia="仿宋_GB2312" w:cs="仿宋_GB2312"/>
          <w:sz w:val="32"/>
          <w:szCs w:val="32"/>
        </w:rPr>
        <w:t>%。</w:t>
      </w:r>
    </w:p>
    <w:p w14:paraId="22430E1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经审查，在全面落实环境影响报告</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rPr>
        <w:t>和本批复提出的各项生态环境保护措施后，该项目所产生的不利生态环境影响能够得到一定缓解和控制。我局原则同意环境影响报告</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rPr>
        <w:t>的总体结论和各项生态环境保护措施。</w:t>
      </w:r>
    </w:p>
    <w:p w14:paraId="1EDF3BD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二、项目在建设和运行管理中应重点做好以下工作：</w:t>
      </w:r>
    </w:p>
    <w:p w14:paraId="53F868F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加强施工期管理，</w:t>
      </w:r>
      <w:r>
        <w:rPr>
          <w:rFonts w:hint="eastAsia" w:ascii="仿宋_GB2312" w:hAnsi="仿宋_GB2312" w:eastAsia="仿宋_GB2312" w:cs="仿宋_GB2312"/>
          <w:color w:val="000000"/>
          <w:sz w:val="32"/>
          <w:szCs w:val="32"/>
          <w:highlight w:val="none"/>
          <w:lang w:val="en-US" w:eastAsia="zh-CN"/>
        </w:rPr>
        <w:t>施工场所设置围挡、裸露场地采用抑尘网覆盖并及时洒水、车辆进出冲洗，施工扬尘应执行《施工场界扬尘排放限值》（DB61/1078-2017）标准，加强非道路移动机械运行管理和维护保养，减少车辆尾气排放。生活污水依托周边公共卫生间，生产废水沉淀后回用；施工噪声通过合理安排施工时间，选用低噪设备，避免和杜绝鸣笛等措施，确保施工场界噪声满足《建筑施工场界环境噪声排放标准》（GB12523-2011）相关限值要求。生活垃圾统一收集送指定地点处置，开挖土方回填，建筑垃圾尽量回收利用，不能利用的按照相关要求送至指定建筑垃圾处理场处置。</w:t>
      </w:r>
    </w:p>
    <w:p w14:paraId="0FC141FA">
      <w:pPr>
        <w:keepNext w:val="0"/>
        <w:keepLines w:val="0"/>
        <w:pageBreakBefore w:val="0"/>
        <w:widowControl w:val="0"/>
        <w:kinsoku/>
        <w:wordWrap/>
        <w:overflowPunct/>
        <w:topLinePunct w:val="0"/>
        <w:autoSpaceDE/>
        <w:autoSpaceDN/>
        <w:bidi w:val="0"/>
        <w:adjustRightInd/>
        <w:snapToGrid/>
        <w:spacing w:line="500" w:lineRule="exact"/>
        <w:ind w:left="0" w:right="0" w:firstLine="640" w:firstLineChars="200"/>
        <w:jc w:val="both"/>
        <w:textAlignment w:val="auto"/>
        <w:rPr>
          <w:rFonts w:hint="eastAsia" w:ascii="仿宋_GB2312" w:hAnsi="仿宋_GB2312" w:eastAsia="仿宋_GB2312" w:cs="仿宋_GB2312"/>
          <w:sz w:val="32"/>
          <w:szCs w:val="32"/>
          <w:shd w:val="clear"/>
          <w:lang w:val="en-US" w:eastAsia="zh-CN"/>
        </w:rPr>
      </w:pPr>
      <w:r>
        <w:rPr>
          <w:rFonts w:hint="eastAsia" w:ascii="仿宋_GB2312" w:hAnsi="仿宋_GB2312" w:eastAsia="仿宋_GB2312" w:cs="仿宋_GB2312"/>
          <w:sz w:val="32"/>
          <w:szCs w:val="32"/>
          <w:lang w:val="en-US" w:eastAsia="zh-CN"/>
        </w:rPr>
        <w:t>（二）严格落实大气污染防治措施。</w:t>
      </w:r>
      <w:r>
        <w:rPr>
          <w:rFonts w:hint="eastAsia" w:ascii="仿宋_GB2312" w:hAnsi="仿宋_GB2312" w:eastAsia="仿宋_GB2312" w:cs="仿宋_GB2312"/>
          <w:sz w:val="32"/>
          <w:szCs w:val="32"/>
        </w:rPr>
        <w:t>严格按照《报告</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rPr>
        <w:t>》要求，落实并优化各项大气污染防治措施，确保大气污染物排放满足或优于国家和地方相关标准要求。</w:t>
      </w:r>
      <w:r>
        <w:rPr>
          <w:rFonts w:hint="eastAsia" w:ascii="仿宋_GB2312" w:hAnsi="仿宋_GB2312" w:eastAsia="仿宋_GB2312" w:cs="仿宋_GB2312"/>
          <w:sz w:val="32"/>
          <w:szCs w:val="32"/>
          <w:shd w:val="clear"/>
          <w:lang w:val="en-US" w:eastAsia="zh-CN"/>
        </w:rPr>
        <w:t>本项目切割、焊接、抛光、打磨工序产生的颗粒物经收集装置收集后通过高效脉冲布袋除尘器处理后经15米高排气筒排放，喷塑工序产生的颗粒物经大旋风除尘器+布袋除尘器处理后通过15米高排气筒排放，颗粒物排放应满足《大气污染物综合排放标准》（GB16297—1996）排放限值要求。喷漆工序产生的有机废气经水帘柜处理后和固化、丝印、点胶工序产生的有机废气及燃烧废气经“气旋塔+活性炭吸附、脱附+催化燃烧系统”处理后通过15米高排气筒排放，浸泡池脱水热风炉、前处理生产线脱水热风炉产生的燃烧废气经15米高排气筒排放，燃烧废气应满足《工业炉窑大气污染物综合治理方案》和《大气污染物综合排放标准》（GB16297—1996）排放限值要求，非甲烷总烃应满足《挥发性有机物排放控制标准》（DB61/T 1061-2017）和《挥发性有机物无组织排放</w:t>
      </w:r>
      <w:bookmarkStart w:id="0" w:name="_GoBack"/>
      <w:bookmarkEnd w:id="0"/>
      <w:r>
        <w:rPr>
          <w:rFonts w:hint="eastAsia" w:ascii="仿宋_GB2312" w:hAnsi="仿宋_GB2312" w:eastAsia="仿宋_GB2312" w:cs="仿宋_GB2312"/>
          <w:sz w:val="32"/>
          <w:szCs w:val="32"/>
          <w:shd w:val="clear"/>
          <w:lang w:val="en-US" w:eastAsia="zh-CN"/>
        </w:rPr>
        <w:t>控制标准》（GB37822-2019）限值要求。食堂油烟由静电式油烟净化器处理后排放，应满足《饮食业油烟排放标准（试行）》（GB18483-2001）中型标准。</w:t>
      </w:r>
      <w:r>
        <w:rPr>
          <w:rFonts w:hint="eastAsia" w:ascii="仿宋_GB2312" w:hAnsi="仿宋_GB2312" w:eastAsia="仿宋_GB2312" w:cs="仿宋_GB2312"/>
          <w:sz w:val="32"/>
          <w:szCs w:val="32"/>
          <w:lang w:val="en-US" w:eastAsia="zh-CN"/>
        </w:rPr>
        <w:t>同时，按照《眉县大气污染治理专项行动方案（2023- 2027）》和关中地区涉气重点行业项目环评管理要求开展绩效升级工作。</w:t>
      </w:r>
    </w:p>
    <w:p w14:paraId="12D23B6F">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highlight w:val="none"/>
        </w:rPr>
        <w:t>严格落实水污染防治措施。</w:t>
      </w:r>
      <w:r>
        <w:rPr>
          <w:rFonts w:hint="eastAsia" w:ascii="仿宋_GB2312" w:hAnsi="仿宋_GB2312" w:eastAsia="仿宋_GB2312" w:cs="仿宋_GB2312"/>
          <w:color w:val="000000"/>
          <w:sz w:val="32"/>
          <w:szCs w:val="32"/>
          <w:highlight w:val="none"/>
          <w:lang w:val="en-US" w:eastAsia="zh-CN"/>
        </w:rPr>
        <w:t>按照“雨污分流，清污分流”的原则，合理规划和建设雨水、污水管网。项目产生的废表调溶液按照危废标准处置；清洗废水经污水处理站处理后和经隔油池、化粪池预处理的生活污水经市政管网进入霸王河工业园区污水处理厂处理。应符合《污水综合排放标准》（GB8978-1996)表4三级标准和《污水排入城镇下水道水质标准》（GB/T31962-2015）B级标准限值要求。</w:t>
      </w:r>
    </w:p>
    <w:p w14:paraId="5D8ADC7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）严格落实隔声降噪措施。</w:t>
      </w:r>
      <w:r>
        <w:rPr>
          <w:rFonts w:hint="eastAsia" w:ascii="仿宋_GB2312" w:hAnsi="仿宋_GB2312" w:eastAsia="仿宋_GB2312" w:cs="仿宋_GB2312"/>
          <w:color w:val="000000"/>
          <w:sz w:val="32"/>
          <w:szCs w:val="32"/>
          <w:highlight w:val="none"/>
          <w:lang w:val="en-US" w:eastAsia="zh-CN"/>
        </w:rPr>
        <w:t>优化工艺、合理布局，选用低噪设备，采取厂房隔声、高噪设备做好基础减振等有效的降噪措施</w:t>
      </w:r>
      <w:r>
        <w:rPr>
          <w:rFonts w:hint="eastAsia" w:ascii="仿宋_GB2312" w:hAnsi="仿宋_GB2312" w:eastAsia="仿宋_GB2312" w:cs="仿宋_GB2312"/>
          <w:sz w:val="32"/>
          <w:szCs w:val="32"/>
          <w:highlight w:val="none"/>
        </w:rPr>
        <w:t>，确保厂界噪声符合《工业企业厂界环境噪声排放标准》（GB12348-2008）中</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类标准要求</w:t>
      </w:r>
      <w:r>
        <w:rPr>
          <w:rFonts w:hint="eastAsia" w:ascii="仿宋_GB2312" w:hAnsi="仿宋_GB2312" w:eastAsia="仿宋_GB2312" w:cs="仿宋_GB2312"/>
          <w:sz w:val="32"/>
          <w:szCs w:val="32"/>
          <w:highlight w:val="none"/>
          <w:lang w:eastAsia="zh-CN"/>
        </w:rPr>
        <w:t>。</w:t>
      </w:r>
    </w:p>
    <w:p w14:paraId="4AD9308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sz w:val="32"/>
          <w:szCs w:val="32"/>
          <w:highlight w:val="none"/>
        </w:rPr>
        <w:t>严格落实固体废物污染防治措施</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sz w:val="32"/>
          <w:szCs w:val="32"/>
          <w:highlight w:val="none"/>
        </w:rPr>
        <w:t>按照“减量化、资源化、无害化”原则，</w:t>
      </w:r>
      <w:r>
        <w:rPr>
          <w:rFonts w:hint="eastAsia" w:ascii="仿宋_GB2312" w:hAnsi="仿宋_GB2312" w:eastAsia="仿宋_GB2312" w:cs="仿宋_GB2312"/>
          <w:color w:val="000000"/>
          <w:sz w:val="32"/>
          <w:szCs w:val="32"/>
          <w:highlight w:val="none"/>
        </w:rPr>
        <w:t>对固体废物进行分类收集、处理和处置，确保不造成二次污染。按照《一般工业固体废物贮存和填埋污染控制标准》(GB18599-2020)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《危险废物贮存污染控制标准》(GB18597-2023)要求，建设固体废物</w:t>
      </w:r>
      <w:r>
        <w:rPr>
          <w:rFonts w:hint="eastAsia" w:ascii="仿宋_GB2312" w:hAnsi="仿宋_GB2312" w:eastAsia="仿宋_GB2312" w:cs="仿宋_GB2312"/>
          <w:color w:val="000000"/>
          <w:sz w:val="32"/>
          <w:szCs w:val="32"/>
          <w:highlight w:val="none"/>
          <w:lang w:val="en-US" w:eastAsia="zh-CN"/>
        </w:rPr>
        <w:t>贮存设施</w:t>
      </w:r>
      <w:r>
        <w:rPr>
          <w:rFonts w:hint="eastAsia" w:ascii="仿宋_GB2312" w:hAnsi="仿宋_GB2312" w:eastAsia="仿宋_GB2312" w:cs="仿宋_GB2312"/>
          <w:color w:val="000000"/>
          <w:sz w:val="32"/>
          <w:szCs w:val="32"/>
          <w:highlight w:val="none"/>
        </w:rPr>
        <w:t>。危险废物须交</w:t>
      </w:r>
      <w:r>
        <w:rPr>
          <w:rFonts w:hint="eastAsia" w:ascii="仿宋_GB2312" w:hAnsi="仿宋_GB2312" w:eastAsia="仿宋_GB2312" w:cs="仿宋_GB2312"/>
          <w:color w:val="000000"/>
          <w:sz w:val="32"/>
          <w:szCs w:val="32"/>
          <w:highlight w:val="none"/>
          <w:lang w:val="en-US" w:eastAsia="zh-CN"/>
        </w:rPr>
        <w:t>由有资质单位处置，严格执行危险废物转移管理制度。生活垃圾交环卫部门统一处置。</w:t>
      </w:r>
    </w:p>
    <w:p w14:paraId="3CF3955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highlight w:val="none"/>
        </w:rPr>
        <w:t>加强环境风险应急管控。</w:t>
      </w:r>
      <w:r>
        <w:rPr>
          <w:rFonts w:hint="eastAsia" w:ascii="仿宋_GB2312" w:hAnsi="仿宋_GB2312" w:eastAsia="仿宋_GB2312" w:cs="仿宋_GB2312"/>
          <w:color w:val="000000"/>
          <w:sz w:val="32"/>
          <w:szCs w:val="32"/>
          <w:highlight w:val="none"/>
          <w:lang w:val="en-US" w:eastAsia="zh-CN"/>
        </w:rPr>
        <w:t>落实《报告表》提出的风险防范措施，制定</w:t>
      </w:r>
      <w:r>
        <w:rPr>
          <w:rFonts w:hint="eastAsia" w:ascii="仿宋_GB2312" w:hAnsi="仿宋_GB2312" w:eastAsia="仿宋_GB2312" w:cs="仿宋_GB2312"/>
          <w:color w:val="000000"/>
          <w:sz w:val="32"/>
          <w:szCs w:val="32"/>
          <w:highlight w:val="none"/>
        </w:rPr>
        <w:t>突发环境事件应急预案，</w:t>
      </w:r>
      <w:r>
        <w:rPr>
          <w:rFonts w:hint="eastAsia" w:ascii="仿宋_GB2312" w:hAnsi="仿宋_GB2312" w:eastAsia="仿宋_GB2312" w:cs="仿宋_GB2312"/>
          <w:color w:val="000000"/>
          <w:sz w:val="32"/>
          <w:szCs w:val="32"/>
          <w:highlight w:val="none"/>
          <w:lang w:val="en-US" w:eastAsia="zh-CN"/>
        </w:rPr>
        <w:t>采取切实可行的突发环境事件应急措施，</w:t>
      </w:r>
      <w:r>
        <w:rPr>
          <w:rFonts w:hint="eastAsia" w:ascii="仿宋_GB2312" w:hAnsi="仿宋_GB2312" w:eastAsia="仿宋_GB2312" w:cs="仿宋_GB2312"/>
          <w:color w:val="000000"/>
          <w:sz w:val="32"/>
          <w:szCs w:val="32"/>
          <w:highlight w:val="none"/>
        </w:rPr>
        <w:t>应急预案通过专家评审后报我局备案，并定期开展应急演练，防范环境风险。</w:t>
      </w:r>
    </w:p>
    <w:p w14:paraId="71C7DA0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七）落实环保管理与环境监测要求。做好各类生产设备、环保设施的运行管理和日常检修维护，完善内部环境管理机构和制度，明确人员责任，加强人员培训。按照国家有关规定设置规范的污染物排放口和采样平台，按照监测指南要求开展监测，并建立污染源监测台账制度，建立健全污染物产生、排放台账制度。</w:t>
      </w:r>
    </w:p>
    <w:p w14:paraId="1180C3F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三、项目建设应严格执行环境保护设施与主体工程同时设计、同时施工、同时投产使用的环境保护“三同时”制度。项目建成后，须按规定程序和时间实施竣工环境保护验收。</w:t>
      </w:r>
    </w:p>
    <w:p w14:paraId="6DEBA17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四、你公司应当按照国家规定时限在投入生产或使用并产生实际排污行为之前完成排污许可相关手续,并严格按照信息公开要求，做好信息公开。</w:t>
      </w:r>
    </w:p>
    <w:p w14:paraId="7AB26E9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五、《报告表》经批准后，项目的性质、规模、地点、生产工艺和环境保护措施发生重大变动的,应当重新报批该项目环境影响报告表。自《报告表》批准之日起超过5年，方决定该项目开工建设的，应在开工前将《报告表》报我局重新审核。未经我局重新审核同意的，不得擅自开工建设。</w:t>
      </w:r>
    </w:p>
    <w:p w14:paraId="649FB948">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jc w:val="left"/>
        <w:textAlignment w:val="auto"/>
        <w:rPr>
          <w:rFonts w:hint="eastAsia"/>
          <w:lang w:val="en-US" w:eastAsia="zh-CN"/>
        </w:rPr>
      </w:pPr>
      <w:r>
        <w:rPr>
          <w:rFonts w:hint="eastAsia" w:ascii="仿宋_GB2312" w:hAnsi="仿宋_GB2312" w:eastAsia="仿宋_GB2312" w:cs="仿宋_GB2312"/>
          <w:color w:val="000000"/>
          <w:sz w:val="32"/>
          <w:szCs w:val="32"/>
          <w:highlight w:val="none"/>
          <w:lang w:val="en-US" w:eastAsia="zh-CN"/>
        </w:rPr>
        <w:t>六、县生态环境保护综合执法大队负责</w:t>
      </w:r>
      <w:r>
        <w:rPr>
          <w:rFonts w:hint="eastAsia" w:ascii="仿宋_GB2312" w:hAnsi="仿宋_GB2312" w:eastAsia="仿宋_GB2312" w:cs="仿宋_GB2312"/>
          <w:sz w:val="32"/>
          <w:szCs w:val="32"/>
          <w:lang w:val="en-US" w:eastAsia="zh-CN"/>
        </w:rPr>
        <w:t>陕西汇鑫润德新能源有限公司新能源设备（眉县）研发智造中心建设项目</w:t>
      </w:r>
      <w:r>
        <w:rPr>
          <w:rFonts w:hint="eastAsia" w:ascii="仿宋_GB2312" w:hAnsi="仿宋_GB2312" w:eastAsia="仿宋_GB2312" w:cs="仿宋_GB2312"/>
          <w:color w:val="000000"/>
          <w:sz w:val="32"/>
          <w:szCs w:val="32"/>
          <w:highlight w:val="none"/>
          <w:lang w:val="en-US" w:eastAsia="zh-CN"/>
        </w:rPr>
        <w:t>的事中事后监督管理。</w:t>
      </w:r>
    </w:p>
    <w:p w14:paraId="1A1329E6">
      <w:pPr>
        <w:keepNext w:val="0"/>
        <w:keepLines w:val="0"/>
        <w:pageBreakBefore w:val="0"/>
        <w:widowControl w:val="0"/>
        <w:kinsoku/>
        <w:overflowPunct/>
        <w:topLinePunct w:val="0"/>
        <w:autoSpaceDE/>
        <w:autoSpaceDN/>
        <w:bidi w:val="0"/>
        <w:adjustRightInd/>
        <w:snapToGrid/>
        <w:spacing w:line="500" w:lineRule="exact"/>
        <w:textAlignment w:val="auto"/>
        <w:rPr>
          <w:rFonts w:hint="eastAsia"/>
          <w:lang w:val="en-US" w:eastAsia="zh-CN"/>
        </w:rPr>
      </w:pPr>
    </w:p>
    <w:p w14:paraId="16701772">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jc w:val="right"/>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宝鸡市生</w:t>
      </w:r>
      <w:r>
        <w:rPr>
          <w:rFonts w:hint="eastAsia" w:ascii="仿宋_GB2312" w:hAnsi="仿宋_GB2312" w:eastAsia="仿宋_GB2312" w:cs="仿宋_GB2312"/>
          <w:color w:val="000000"/>
          <w:sz w:val="32"/>
          <w:szCs w:val="32"/>
          <w:highlight w:val="none"/>
          <w:lang w:eastAsia="zh-CN"/>
        </w:rPr>
        <w:t>态</w:t>
      </w:r>
      <w:r>
        <w:rPr>
          <w:rFonts w:hint="eastAsia" w:ascii="仿宋_GB2312" w:hAnsi="仿宋_GB2312" w:eastAsia="仿宋_GB2312" w:cs="仿宋_GB2312"/>
          <w:color w:val="000000"/>
          <w:sz w:val="32"/>
          <w:szCs w:val="32"/>
          <w:highlight w:val="none"/>
        </w:rPr>
        <w:t>环境局眉县分</w:t>
      </w:r>
      <w:r>
        <w:rPr>
          <w:rFonts w:hint="eastAsia" w:ascii="仿宋_GB2312" w:hAnsi="仿宋_GB2312" w:eastAsia="仿宋_GB2312" w:cs="仿宋_GB2312"/>
          <w:color w:val="000000"/>
          <w:sz w:val="32"/>
          <w:szCs w:val="32"/>
          <w:highlight w:val="none"/>
          <w:lang w:eastAsia="zh-CN"/>
        </w:rPr>
        <w:t>局</w:t>
      </w:r>
      <w:r>
        <w:rPr>
          <w:rFonts w:hint="eastAsia" w:ascii="仿宋_GB2312" w:hAnsi="仿宋_GB2312" w:eastAsia="仿宋_GB2312" w:cs="仿宋_GB2312"/>
          <w:color w:val="000000"/>
          <w:sz w:val="32"/>
          <w:szCs w:val="32"/>
          <w:highlight w:val="none"/>
          <w:lang w:val="en-US" w:eastAsia="zh-CN"/>
        </w:rPr>
        <w:t xml:space="preserve">        </w:t>
      </w:r>
    </w:p>
    <w:p w14:paraId="7EBB5025">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jc w:val="righ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 xml:space="preserve">13日        </w:t>
      </w:r>
    </w:p>
    <w:p w14:paraId="7B8705D7">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000000"/>
          <w:sz w:val="28"/>
          <w:szCs w:val="28"/>
          <w:highlight w:val="none"/>
          <w:u w:val="single"/>
        </w:rPr>
      </w:pPr>
      <w:r>
        <w:rPr>
          <w:rFonts w:hint="eastAsia"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p>
    <w:p w14:paraId="3A3A0F29">
      <w:pPr>
        <w:keepNext w:val="0"/>
        <w:keepLines w:val="0"/>
        <w:pageBreakBefore w:val="0"/>
        <w:widowControl w:val="0"/>
        <w:kinsoku/>
        <w:wordWrap/>
        <w:overflowPunct/>
        <w:topLinePunct w:val="0"/>
        <w:autoSpaceDE/>
        <w:autoSpaceDN/>
        <w:bidi w:val="0"/>
        <w:adjustRightInd/>
        <w:snapToGrid/>
        <w:spacing w:line="520" w:lineRule="exact"/>
        <w:ind w:left="280" w:right="-11" w:hanging="280" w:hangingChars="100"/>
        <w:jc w:val="left"/>
        <w:textAlignment w:val="auto"/>
        <w:rPr>
          <w:rFonts w:hint="eastAsia"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000000"/>
          <w:sz w:val="28"/>
          <w:szCs w:val="28"/>
          <w:highlight w:val="none"/>
          <w:u w:val="single"/>
        </w:rPr>
        <w:t xml:space="preserve"> 抄送：县</w:t>
      </w:r>
      <w:r>
        <w:rPr>
          <w:rFonts w:hint="eastAsia" w:ascii="仿宋_GB2312" w:hAnsi="仿宋_GB2312" w:eastAsia="仿宋_GB2312" w:cs="仿宋_GB2312"/>
          <w:color w:val="000000"/>
          <w:sz w:val="28"/>
          <w:szCs w:val="28"/>
          <w:highlight w:val="none"/>
          <w:u w:val="single"/>
          <w:lang w:eastAsia="zh-CN"/>
        </w:rPr>
        <w:t>生态环境保护综合执法</w:t>
      </w:r>
      <w:r>
        <w:rPr>
          <w:rFonts w:hint="eastAsia" w:ascii="仿宋_GB2312" w:hAnsi="仿宋_GB2312" w:eastAsia="仿宋_GB2312" w:cs="仿宋_GB2312"/>
          <w:color w:val="000000"/>
          <w:sz w:val="28"/>
          <w:szCs w:val="28"/>
          <w:highlight w:val="none"/>
          <w:u w:val="single"/>
        </w:rPr>
        <w:t xml:space="preserve">大队，县环境监测站。       </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p>
    <w:p w14:paraId="4AB5B0A9">
      <w:pPr>
        <w:keepNext w:val="0"/>
        <w:keepLines w:val="0"/>
        <w:pageBreakBefore w:val="0"/>
        <w:widowControl w:val="0"/>
        <w:kinsoku/>
        <w:wordWrap/>
        <w:overflowPunct/>
        <w:topLinePunct w:val="0"/>
        <w:autoSpaceDE/>
        <w:autoSpaceDN/>
        <w:bidi w:val="0"/>
        <w:adjustRightInd/>
        <w:snapToGrid/>
        <w:spacing w:line="520" w:lineRule="exact"/>
        <w:ind w:left="7280" w:hanging="7280" w:hangingChars="2600"/>
        <w:jc w:val="left"/>
        <w:textAlignment w:val="auto"/>
      </w:pPr>
      <w:r>
        <w:rPr>
          <w:rFonts w:hint="eastAsia" w:ascii="仿宋_GB2312" w:hAnsi="仿宋_GB2312" w:eastAsia="仿宋_GB2312" w:cs="仿宋_GB2312"/>
          <w:color w:val="000000"/>
          <w:sz w:val="28"/>
          <w:szCs w:val="28"/>
          <w:highlight w:val="none"/>
          <w:u w:val="single"/>
        </w:rPr>
        <w:t xml:space="preserve"> 宝鸡市</w:t>
      </w:r>
      <w:r>
        <w:rPr>
          <w:rFonts w:hint="eastAsia" w:ascii="仿宋_GB2312" w:hAnsi="仿宋_GB2312" w:eastAsia="仿宋_GB2312" w:cs="仿宋_GB2312"/>
          <w:color w:val="000000"/>
          <w:sz w:val="28"/>
          <w:szCs w:val="28"/>
          <w:highlight w:val="none"/>
          <w:u w:val="single"/>
          <w:lang w:eastAsia="zh-CN"/>
        </w:rPr>
        <w:t>生态</w:t>
      </w:r>
      <w:r>
        <w:rPr>
          <w:rFonts w:hint="eastAsia" w:ascii="仿宋_GB2312" w:hAnsi="仿宋_GB2312" w:eastAsia="仿宋_GB2312" w:cs="仿宋_GB2312"/>
          <w:color w:val="000000"/>
          <w:sz w:val="28"/>
          <w:szCs w:val="28"/>
          <w:highlight w:val="none"/>
          <w:u w:val="single"/>
        </w:rPr>
        <w:t xml:space="preserve">环境局眉县分局            </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single"/>
        </w:rPr>
        <w:t>20</w:t>
      </w:r>
      <w:r>
        <w:rPr>
          <w:rFonts w:hint="eastAsia" w:ascii="仿宋_GB2312" w:hAnsi="仿宋_GB2312" w:eastAsia="仿宋_GB2312" w:cs="仿宋_GB2312"/>
          <w:color w:val="000000"/>
          <w:sz w:val="28"/>
          <w:szCs w:val="28"/>
          <w:highlight w:val="none"/>
          <w:u w:val="single"/>
          <w:lang w:val="en-US" w:eastAsia="zh-CN"/>
        </w:rPr>
        <w:t>25</w:t>
      </w:r>
      <w:r>
        <w:rPr>
          <w:rFonts w:hint="eastAsia" w:ascii="仿宋_GB2312" w:hAnsi="仿宋_GB2312" w:eastAsia="仿宋_GB2312" w:cs="仿宋_GB2312"/>
          <w:color w:val="000000"/>
          <w:sz w:val="28"/>
          <w:szCs w:val="28"/>
          <w:highlight w:val="none"/>
          <w:u w:val="single"/>
        </w:rPr>
        <w:t>年</w:t>
      </w:r>
      <w:r>
        <w:rPr>
          <w:rFonts w:hint="eastAsia" w:ascii="仿宋_GB2312" w:hAnsi="仿宋_GB2312" w:eastAsia="仿宋_GB2312" w:cs="仿宋_GB2312"/>
          <w:color w:val="000000"/>
          <w:sz w:val="28"/>
          <w:szCs w:val="28"/>
          <w:highlight w:val="none"/>
          <w:u w:val="single"/>
          <w:lang w:val="en-US" w:eastAsia="zh-CN"/>
        </w:rPr>
        <w:t>1</w:t>
      </w:r>
      <w:r>
        <w:rPr>
          <w:rFonts w:hint="eastAsia" w:ascii="仿宋_GB2312" w:hAnsi="仿宋_GB2312" w:eastAsia="仿宋_GB2312" w:cs="仿宋_GB2312"/>
          <w:color w:val="000000"/>
          <w:sz w:val="28"/>
          <w:szCs w:val="28"/>
          <w:highlight w:val="none"/>
          <w:u w:val="single"/>
        </w:rPr>
        <w:t>月</w:t>
      </w:r>
      <w:r>
        <w:rPr>
          <w:rFonts w:hint="eastAsia" w:ascii="仿宋_GB2312" w:hAnsi="仿宋_GB2312" w:eastAsia="仿宋_GB2312" w:cs="仿宋_GB2312"/>
          <w:color w:val="000000"/>
          <w:sz w:val="28"/>
          <w:szCs w:val="28"/>
          <w:highlight w:val="none"/>
          <w:u w:val="single"/>
          <w:lang w:val="en-US" w:eastAsia="zh-CN"/>
        </w:rPr>
        <w:t>13</w:t>
      </w:r>
      <w:r>
        <w:rPr>
          <w:rFonts w:hint="eastAsia" w:ascii="仿宋_GB2312" w:hAnsi="仿宋_GB2312" w:eastAsia="仿宋_GB2312" w:cs="仿宋_GB2312"/>
          <w:color w:val="000000"/>
          <w:sz w:val="28"/>
          <w:szCs w:val="28"/>
          <w:highlight w:val="none"/>
          <w:u w:val="single"/>
        </w:rPr>
        <w:t xml:space="preserve">日印发 </w:t>
      </w:r>
      <w:r>
        <w:rPr>
          <w:rFonts w:hint="eastAsia" w:ascii="仿宋_GB2312" w:hAnsi="仿宋_GB2312" w:eastAsia="仿宋_GB2312" w:cs="仿宋_GB2312"/>
          <w:color w:val="000000"/>
          <w:sz w:val="28"/>
          <w:szCs w:val="28"/>
          <w:highlight w:val="none"/>
          <w:u w:val="single"/>
          <w:lang w:val="en-US" w:eastAsia="zh-CN"/>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398A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C3585">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9C3585">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842DBC"/>
    <w:rsid w:val="1560441B"/>
    <w:rsid w:val="48936C4B"/>
    <w:rsid w:val="554E4651"/>
    <w:rsid w:val="5692084A"/>
    <w:rsid w:val="5A8F363C"/>
    <w:rsid w:val="60842DBC"/>
    <w:rsid w:val="75F82994"/>
    <w:rsid w:val="7F850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table of figures"/>
    <w:basedOn w:val="1"/>
    <w:next w:val="1"/>
    <w:qFormat/>
    <w:uiPriority w:val="0"/>
    <w:pPr>
      <w:ind w:left="200" w:leftChars="200" w:hanging="200" w:hanging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2284</Words>
  <Characters>2470</Characters>
  <Lines>0</Lines>
  <Paragraphs>0</Paragraphs>
  <TotalTime>4</TotalTime>
  <ScaleCrop>false</ScaleCrop>
  <LinksUpToDate>false</LinksUpToDate>
  <CharactersWithSpaces>2592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2025-01-12T23:59:00Z</dcterms:created>
  <dc:creator>柠栀</dc:creator>
  <cp:lastModifiedBy>NTKO</cp:lastModifiedBy>
  <cp:lastPrinted>2025-01-13T07:31:00Z</cp:lastPrinted>
  <dcterms:modified xsi:type="dcterms:W3CDTF">2025-04-23T03:14:16Z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EBEABFB3B4F04B98827D413B3CA16838_11</vt:lpwstr>
  </property>
  <property fmtid="{D5CDD505-2E9C-101B-9397-08002B2CF9AE}" pid="4" name="KSOTemplateDocerSaveRecord">
    <vt:lpwstr>eyJoZGlkIjoiZjVhODJjNzZiM2I0ZmVkODEwMGEzYTA3Y2QxNGZlNGUifQ==</vt:lpwstr>
  </property>
</Properties>
</file>