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Helvetica"/>
          <w:color w:val="333333"/>
          <w:sz w:val="32"/>
          <w:szCs w:val="32"/>
        </w:rPr>
      </w:pPr>
      <w:r>
        <w:rPr>
          <w:rFonts w:hint="eastAsia" w:ascii="黑体" w:hAnsi="黑体" w:eastAsia="黑体" w:cs="Helvetica"/>
          <w:color w:val="333333"/>
          <w:sz w:val="32"/>
          <w:szCs w:val="32"/>
        </w:rPr>
        <w:t>眉县自然资源局关于秦岭生态环境保护突出问题销号任务的公示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701"/>
        <w:gridCol w:w="1741"/>
        <w:gridCol w:w="750"/>
        <w:gridCol w:w="2850"/>
        <w:gridCol w:w="735"/>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序号</w:t>
            </w:r>
          </w:p>
        </w:tc>
        <w:tc>
          <w:tcPr>
            <w:tcW w:w="701"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问题来源</w:t>
            </w:r>
          </w:p>
        </w:tc>
        <w:tc>
          <w:tcPr>
            <w:tcW w:w="1741"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反馈问题</w:t>
            </w:r>
          </w:p>
        </w:tc>
        <w:tc>
          <w:tcPr>
            <w:tcW w:w="750"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整改目标</w:t>
            </w:r>
          </w:p>
        </w:tc>
        <w:tc>
          <w:tcPr>
            <w:tcW w:w="2850"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整改措施</w:t>
            </w:r>
          </w:p>
        </w:tc>
        <w:tc>
          <w:tcPr>
            <w:tcW w:w="735"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整改</w:t>
            </w:r>
          </w:p>
          <w:p>
            <w:pPr>
              <w:spacing w:line="320" w:lineRule="exact"/>
              <w:jc w:val="center"/>
              <w:rPr>
                <w:rFonts w:ascii="黑体" w:hAnsi="黑体" w:eastAsia="黑体"/>
                <w:sz w:val="24"/>
                <w:szCs w:val="24"/>
              </w:rPr>
            </w:pPr>
            <w:r>
              <w:rPr>
                <w:rFonts w:hint="eastAsia" w:ascii="黑体" w:hAnsi="黑体" w:eastAsia="黑体"/>
                <w:sz w:val="24"/>
                <w:szCs w:val="24"/>
              </w:rPr>
              <w:t>时限</w:t>
            </w:r>
          </w:p>
        </w:tc>
        <w:tc>
          <w:tcPr>
            <w:tcW w:w="6719"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1</w:t>
            </w:r>
          </w:p>
        </w:tc>
        <w:tc>
          <w:tcPr>
            <w:tcW w:w="701" w:type="dxa"/>
            <w:vMerge w:val="restart"/>
            <w:tcBorders>
              <w:top w:val="nil"/>
              <w:left w:val="nil"/>
              <w:bottom w:val="single" w:color="auto" w:sz="4" w:space="0"/>
              <w:right w:val="single" w:color="auto" w:sz="4" w:space="0"/>
            </w:tcBorders>
          </w:tcPr>
          <w:p>
            <w:pPr>
              <w:spacing w:line="320" w:lineRule="exact"/>
              <w:jc w:val="center"/>
              <w:rPr>
                <w:rFonts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r>
              <w:rPr>
                <w:rFonts w:hint="eastAsia" w:ascii="仿宋" w:hAnsi="仿宋" w:eastAsia="仿宋"/>
                <w:sz w:val="24"/>
                <w:szCs w:val="24"/>
              </w:rPr>
              <w:t>2019年省专项审计</w:t>
            </w:r>
          </w:p>
          <w:p>
            <w:pPr>
              <w:spacing w:line="320" w:lineRule="exact"/>
              <w:jc w:val="center"/>
              <w:rPr>
                <w:rFonts w:ascii="仿宋" w:hAnsi="仿宋" w:eastAsia="仿宋"/>
                <w:sz w:val="24"/>
                <w:szCs w:val="24"/>
              </w:rPr>
            </w:pPr>
          </w:p>
        </w:tc>
        <w:tc>
          <w:tcPr>
            <w:tcW w:w="1741"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土地违法案件执法不到位1起。</w:t>
            </w:r>
          </w:p>
        </w:tc>
        <w:tc>
          <w:tcPr>
            <w:tcW w:w="750" w:type="dxa"/>
            <w:tcBorders>
              <w:top w:val="single" w:color="auto" w:sz="4" w:space="0"/>
              <w:left w:val="nil"/>
              <w:bottom w:val="single" w:color="auto" w:sz="4" w:space="0"/>
              <w:right w:val="single" w:color="auto" w:sz="4" w:space="0"/>
            </w:tcBorders>
            <w:vAlign w:val="center"/>
          </w:tcPr>
          <w:p>
            <w:pPr>
              <w:spacing w:line="320" w:lineRule="exact"/>
              <w:rPr>
                <w:rFonts w:hint="eastAsia" w:ascii="仿宋" w:hAnsi="仿宋" w:eastAsia="仿宋"/>
                <w:sz w:val="24"/>
                <w:szCs w:val="24"/>
                <w:lang w:eastAsia="zh-CN"/>
              </w:rPr>
            </w:pPr>
            <w:r>
              <w:rPr>
                <w:rFonts w:hint="eastAsia" w:ascii="仿宋" w:hAnsi="仿宋" w:eastAsia="仿宋"/>
                <w:sz w:val="24"/>
                <w:szCs w:val="24"/>
                <w:lang w:eastAsia="zh-CN"/>
              </w:rPr>
              <w:t>依法依规推进执法案件的执行</w:t>
            </w:r>
          </w:p>
        </w:tc>
        <w:tc>
          <w:tcPr>
            <w:tcW w:w="2850"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进一步加大力度，强化措施，依法依规推进执法案件的执行，按照国有资产管理规定，完成后续相关工作。</w:t>
            </w:r>
          </w:p>
        </w:tc>
        <w:tc>
          <w:tcPr>
            <w:tcW w:w="735" w:type="dxa"/>
            <w:vMerge w:val="restart"/>
            <w:tcBorders>
              <w:top w:val="nil"/>
              <w:left w:val="nil"/>
              <w:bottom w:val="single" w:color="auto" w:sz="4" w:space="0"/>
              <w:right w:val="single" w:color="auto" w:sz="4" w:space="0"/>
            </w:tcBorders>
          </w:tcPr>
          <w:p>
            <w:pPr>
              <w:spacing w:line="320" w:lineRule="exact"/>
              <w:jc w:val="center"/>
              <w:rPr>
                <w:rFonts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jc w:val="center"/>
              <w:rPr>
                <w:rFonts w:hint="eastAsia" w:ascii="仿宋" w:hAnsi="仿宋" w:eastAsia="仿宋"/>
                <w:sz w:val="24"/>
                <w:szCs w:val="24"/>
              </w:rPr>
            </w:pPr>
          </w:p>
          <w:p>
            <w:pPr>
              <w:spacing w:line="320" w:lineRule="exact"/>
              <w:rPr>
                <w:rFonts w:hint="eastAsia" w:ascii="仿宋" w:hAnsi="仿宋" w:eastAsia="仿宋"/>
                <w:sz w:val="24"/>
                <w:szCs w:val="24"/>
              </w:rPr>
            </w:pPr>
            <w:r>
              <w:rPr>
                <w:rFonts w:hint="eastAsia" w:ascii="仿宋" w:hAnsi="仿宋" w:eastAsia="仿宋"/>
                <w:sz w:val="24"/>
                <w:szCs w:val="24"/>
              </w:rPr>
              <w:t>2019年9月30日</w:t>
            </w:r>
          </w:p>
          <w:p>
            <w:pPr>
              <w:spacing w:line="320" w:lineRule="exact"/>
              <w:jc w:val="center"/>
              <w:rPr>
                <w:rFonts w:ascii="仿宋" w:hAnsi="仿宋" w:eastAsia="仿宋"/>
                <w:sz w:val="24"/>
                <w:szCs w:val="24"/>
              </w:rPr>
            </w:pPr>
          </w:p>
        </w:tc>
        <w:tc>
          <w:tcPr>
            <w:tcW w:w="6719" w:type="dxa"/>
            <w:tcBorders>
              <w:top w:val="single" w:color="auto" w:sz="4" w:space="0"/>
              <w:left w:val="nil"/>
              <w:bottom w:val="single" w:color="auto" w:sz="4" w:space="0"/>
              <w:right w:val="single" w:color="auto" w:sz="4" w:space="0"/>
            </w:tcBorders>
          </w:tcPr>
          <w:p>
            <w:pPr>
              <w:spacing w:line="320" w:lineRule="exact"/>
              <w:rPr>
                <w:rFonts w:hint="eastAsia" w:ascii="仿宋" w:hAnsi="仿宋" w:eastAsia="仿宋"/>
                <w:sz w:val="24"/>
                <w:szCs w:val="24"/>
              </w:rPr>
            </w:pPr>
          </w:p>
          <w:p>
            <w:pPr>
              <w:spacing w:line="320" w:lineRule="exact"/>
              <w:ind w:firstLine="480" w:firstLineChars="200"/>
              <w:rPr>
                <w:rFonts w:ascii="仿宋" w:hAnsi="仿宋" w:eastAsia="仿宋"/>
                <w:sz w:val="24"/>
                <w:szCs w:val="24"/>
              </w:rPr>
            </w:pPr>
            <w:r>
              <w:rPr>
                <w:rFonts w:hint="eastAsia" w:ascii="仿宋" w:hAnsi="仿宋" w:eastAsia="仿宋"/>
                <w:sz w:val="24"/>
                <w:szCs w:val="24"/>
              </w:rPr>
              <w:t>县国有太白风景林场非法占地建护林站，该宗地占地面积为1.62亩，符合《汤峪镇土地利用总体规划》，我局于2019年2月16日立案查处，于3月27日下发行政处罚决定书，内容：1、没收在非法占地内新建的建筑物及其他设施；2、处以罚款5400.00元；4月11日没收移交县财政局，5月13日财政局予以接收国有资产，5月28日罚款5400.00元已全部交清，该案件于2019年5月28日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2</w:t>
            </w: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741"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铁炉沟白云石矿废弃矿渣堆积较多，环境治理较慢。</w:t>
            </w:r>
          </w:p>
        </w:tc>
        <w:tc>
          <w:tcPr>
            <w:tcW w:w="750"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开展矿区生态恢复治理</w:t>
            </w:r>
          </w:p>
        </w:tc>
        <w:tc>
          <w:tcPr>
            <w:tcW w:w="2850"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按照矿山地质环境恢复治理方案和规划要求，进一步加大工作力量，全面处理沿山倾倒的废渣，对树木枯死的场地实施补植增绿，加强后期管护，开展地质环境治理，抓紧修复生态环境。</w:t>
            </w:r>
          </w:p>
        </w:tc>
        <w:tc>
          <w:tcPr>
            <w:tcW w:w="73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6719" w:type="dxa"/>
            <w:tcBorders>
              <w:top w:val="single" w:color="auto" w:sz="4" w:space="0"/>
              <w:left w:val="nil"/>
              <w:bottom w:val="single" w:color="auto" w:sz="4" w:space="0"/>
              <w:right w:val="single" w:color="auto" w:sz="4" w:space="0"/>
            </w:tcBorders>
          </w:tcPr>
          <w:p>
            <w:pPr>
              <w:spacing w:line="320" w:lineRule="exact"/>
              <w:ind w:firstLine="480" w:firstLineChars="200"/>
              <w:jc w:val="left"/>
              <w:rPr>
                <w:rFonts w:ascii="仿宋" w:hAnsi="仿宋" w:eastAsia="仿宋"/>
                <w:sz w:val="24"/>
                <w:szCs w:val="24"/>
              </w:rPr>
            </w:pPr>
            <w:r>
              <w:rPr>
                <w:rFonts w:hint="eastAsia" w:ascii="仿宋" w:hAnsi="仿宋" w:eastAsia="仿宋"/>
                <w:sz w:val="24"/>
                <w:szCs w:val="24"/>
              </w:rPr>
              <w:t>该矿山2018年编制了《眉县铁炉沟白云石矿矿山地质环境保护与恢复治理工程施工图设计》，自筹资金171万元开始实施矿山地质环境恢复治理工程，清运废渣1200多方，完成砌石400多立方米，修建拦渣坝40米，拦渣挡墙2处50米，宾格石笼挡墙80米，截排水渠500多米，沉淀池4个，栽树1500棵，撒播草籽500多斤，完成了阶段性治理任务。2019年9月眉县自然资源局组织专家对其治理工程验收通过。该矿山关闭后，为了切实做好矿山闭坑后的地质环境保护与土地</w:t>
            </w:r>
            <w:r>
              <w:rPr>
                <w:rFonts w:hint="eastAsia" w:ascii="仿宋" w:hAnsi="仿宋" w:eastAsia="仿宋"/>
                <w:sz w:val="24"/>
                <w:szCs w:val="24"/>
                <w:lang w:eastAsia="zh-CN"/>
              </w:rPr>
              <w:t>复垦</w:t>
            </w:r>
            <w:r>
              <w:rPr>
                <w:rFonts w:hint="eastAsia" w:ascii="仿宋" w:hAnsi="仿宋" w:eastAsia="仿宋"/>
                <w:sz w:val="24"/>
                <w:szCs w:val="24"/>
              </w:rPr>
              <w:t>，2021年4月16日该矿山编制了《陕西眉山矿业有限公司眉县铁炉沟白云石矿矿山地质环境闭坑治理设计方案》，按照各相关部门意见修改完善后，经专家评审通过。目前已召开了技术交底会，开始进行治理。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3</w:t>
            </w: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741"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清凉山矿山平整场地内种植树木成活率不高，双桃山矿区平整场地中所植部分树木、草地被人为损毁。</w:t>
            </w:r>
          </w:p>
        </w:tc>
        <w:tc>
          <w:tcPr>
            <w:tcW w:w="750" w:type="dxa"/>
            <w:tcBorders>
              <w:top w:val="single" w:color="auto" w:sz="4" w:space="0"/>
              <w:left w:val="nil"/>
              <w:bottom w:val="single" w:color="auto" w:sz="4" w:space="0"/>
              <w:right w:val="single" w:color="auto" w:sz="4" w:space="0"/>
            </w:tcBorders>
            <w:vAlign w:val="center"/>
          </w:tcPr>
          <w:p>
            <w:pPr>
              <w:spacing w:line="320" w:lineRule="exact"/>
            </w:pPr>
            <w:r>
              <w:rPr>
                <w:rFonts w:hint="eastAsia" w:ascii="仿宋" w:hAnsi="仿宋" w:eastAsia="仿宋"/>
                <w:sz w:val="24"/>
                <w:szCs w:val="24"/>
              </w:rPr>
              <w:t>开展矿区生态恢复治理</w:t>
            </w:r>
          </w:p>
        </w:tc>
        <w:tc>
          <w:tcPr>
            <w:tcW w:w="2850" w:type="dxa"/>
            <w:tcBorders>
              <w:top w:val="single" w:color="auto" w:sz="4" w:space="0"/>
              <w:left w:val="nil"/>
              <w:bottom w:val="single" w:color="auto" w:sz="4" w:space="0"/>
              <w:right w:val="single" w:color="auto" w:sz="4" w:space="0"/>
            </w:tcBorders>
            <w:vAlign w:val="center"/>
          </w:tcPr>
          <w:p>
            <w:pPr>
              <w:spacing w:line="320" w:lineRule="exact"/>
            </w:pPr>
            <w:r>
              <w:rPr>
                <w:rFonts w:hint="eastAsia" w:ascii="仿宋" w:hAnsi="仿宋" w:eastAsia="仿宋"/>
                <w:sz w:val="24"/>
                <w:szCs w:val="24"/>
              </w:rPr>
              <w:t>按照矿山地质环境恢复治理方案和规划要求，进一步加大工作力量，采取覆土植绿等方法，开展地质环境治理；对树木枯死的场地实施补植增绿，加强后期管护，提升治理成效，抓紧修复生态环境</w:t>
            </w:r>
            <w:r>
              <w:rPr>
                <w:rFonts w:hint="eastAsia"/>
              </w:rPr>
              <w:t>。</w:t>
            </w:r>
          </w:p>
        </w:tc>
        <w:tc>
          <w:tcPr>
            <w:tcW w:w="73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6719" w:type="dxa"/>
            <w:tcBorders>
              <w:top w:val="single" w:color="auto" w:sz="4" w:space="0"/>
              <w:left w:val="nil"/>
              <w:bottom w:val="single" w:color="auto" w:sz="4" w:space="0"/>
              <w:right w:val="single" w:color="auto" w:sz="4" w:space="0"/>
            </w:tcBorders>
            <w:vAlign w:val="center"/>
          </w:tcPr>
          <w:p>
            <w:pPr>
              <w:spacing w:line="320" w:lineRule="exact"/>
              <w:ind w:firstLine="480" w:firstLineChars="200"/>
              <w:jc w:val="left"/>
              <w:rPr>
                <w:rFonts w:hint="eastAsia" w:ascii="仿宋" w:hAnsi="仿宋" w:eastAsia="仿宋"/>
                <w:sz w:val="24"/>
                <w:szCs w:val="24"/>
              </w:rPr>
            </w:pPr>
            <w:r>
              <w:rPr>
                <w:rFonts w:hint="eastAsia" w:ascii="仿宋" w:hAnsi="仿宋" w:eastAsia="仿宋"/>
                <w:sz w:val="24"/>
                <w:szCs w:val="24"/>
              </w:rPr>
              <w:t>1.2016年我局投入资金150万元对清凉山矿山实施了一期治理工程，并于2017年4月通过了市局组织的专家组验收。2020年县自然资源局争取上级资金420万元，县级配套资金525.63万元，共计945.63万元，对该矿山实施治理工程（二期），现工程正在实施中。工程完工后，将严格按照设计进行验收，树苗成活率问题也将全部解决。</w:t>
            </w:r>
          </w:p>
          <w:p>
            <w:pPr>
              <w:spacing w:line="320" w:lineRule="exact"/>
              <w:jc w:val="left"/>
              <w:rPr>
                <w:rFonts w:hint="eastAsia" w:ascii="仿宋" w:hAnsi="仿宋" w:eastAsia="仿宋"/>
                <w:sz w:val="24"/>
                <w:szCs w:val="24"/>
              </w:rPr>
            </w:pPr>
            <w:r>
              <w:rPr>
                <w:rFonts w:hint="eastAsia" w:ascii="仿宋" w:hAnsi="仿宋" w:eastAsia="仿宋"/>
                <w:sz w:val="24"/>
                <w:szCs w:val="24"/>
              </w:rPr>
              <w:t>2.2016年我局投入资金140万元对双桃山矿山实施了一期治理工程，并于2017年4月通过了市局组织的专家组验收。2018年6月县水利局申请上级水利发展资金675万元在实施</w:t>
            </w:r>
            <w:r>
              <w:rPr>
                <w:rFonts w:hint="eastAsia" w:ascii="仿宋" w:hAnsi="仿宋" w:eastAsia="仿宋"/>
                <w:sz w:val="24"/>
                <w:szCs w:val="24"/>
                <w:lang w:eastAsia="zh-CN"/>
              </w:rPr>
              <w:t>矿山水土保持生态环境恢复</w:t>
            </w:r>
            <w:bookmarkStart w:id="0" w:name="_GoBack"/>
            <w:bookmarkEnd w:id="0"/>
            <w:r>
              <w:rPr>
                <w:rFonts w:hint="eastAsia" w:ascii="仿宋" w:hAnsi="仿宋" w:eastAsia="仿宋"/>
                <w:sz w:val="24"/>
                <w:szCs w:val="24"/>
              </w:rPr>
              <w:t>治理工程时，造成场地上的部分树木和草地损毁。现治理工程已完工，损毁的树木、草地已全部恢复。</w:t>
            </w:r>
          </w:p>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4</w:t>
            </w: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741"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4个矿山地质环境治理不彻底</w:t>
            </w:r>
          </w:p>
        </w:tc>
        <w:tc>
          <w:tcPr>
            <w:tcW w:w="750" w:type="dxa"/>
            <w:tcBorders>
              <w:top w:val="single" w:color="auto" w:sz="4" w:space="0"/>
              <w:left w:val="nil"/>
              <w:bottom w:val="single" w:color="auto" w:sz="4" w:space="0"/>
              <w:right w:val="single" w:color="auto" w:sz="4" w:space="0"/>
            </w:tcBorders>
            <w:vAlign w:val="center"/>
          </w:tcPr>
          <w:p>
            <w:pPr>
              <w:spacing w:line="320" w:lineRule="exact"/>
            </w:pPr>
            <w:r>
              <w:rPr>
                <w:rFonts w:hint="eastAsia" w:ascii="仿宋" w:hAnsi="仿宋" w:eastAsia="仿宋"/>
                <w:sz w:val="24"/>
                <w:szCs w:val="24"/>
              </w:rPr>
              <w:t>开展矿区生态恢复治理</w:t>
            </w:r>
          </w:p>
        </w:tc>
        <w:tc>
          <w:tcPr>
            <w:tcW w:w="2850" w:type="dxa"/>
            <w:tcBorders>
              <w:top w:val="single" w:color="auto" w:sz="4" w:space="0"/>
              <w:left w:val="nil"/>
              <w:bottom w:val="single" w:color="auto" w:sz="4" w:space="0"/>
              <w:right w:val="single" w:color="auto" w:sz="4" w:space="0"/>
            </w:tcBorders>
            <w:vAlign w:val="center"/>
          </w:tcPr>
          <w:p>
            <w:pPr>
              <w:spacing w:line="320" w:lineRule="exact"/>
            </w:pPr>
            <w:r>
              <w:rPr>
                <w:rFonts w:hint="eastAsia" w:ascii="仿宋" w:hAnsi="仿宋" w:eastAsia="仿宋"/>
                <w:sz w:val="24"/>
                <w:szCs w:val="24"/>
              </w:rPr>
              <w:t>按照矿山地质环境恢复治理方案和规划要求，进一步加大工作力量，采取覆土植绿等方法，开展地质环境治理，抓紧修复生态环境。</w:t>
            </w:r>
          </w:p>
        </w:tc>
        <w:tc>
          <w:tcPr>
            <w:tcW w:w="735" w:type="dxa"/>
            <w:tcBorders>
              <w:top w:val="single" w:color="auto" w:sz="4" w:space="0"/>
              <w:left w:val="nil"/>
              <w:bottom w:val="single" w:color="auto" w:sz="4" w:space="0"/>
              <w:right w:val="single" w:color="auto" w:sz="4" w:space="0"/>
            </w:tcBorders>
            <w:vAlign w:val="center"/>
          </w:tcPr>
          <w:p>
            <w:pPr>
              <w:spacing w:line="320" w:lineRule="exact"/>
              <w:rPr>
                <w:rFonts w:hint="default" w:eastAsia="宋体"/>
                <w:lang w:val="en-US" w:eastAsia="zh-CN"/>
              </w:rPr>
            </w:pPr>
            <w:r>
              <w:rPr>
                <w:rFonts w:hint="eastAsia" w:ascii="仿宋" w:hAnsi="仿宋" w:eastAsia="仿宋"/>
                <w:sz w:val="24"/>
                <w:szCs w:val="24"/>
                <w:lang w:val="en-US" w:eastAsia="zh-CN"/>
              </w:rPr>
              <w:t>2019年12月31日</w:t>
            </w:r>
          </w:p>
        </w:tc>
        <w:tc>
          <w:tcPr>
            <w:tcW w:w="6719" w:type="dxa"/>
            <w:tcBorders>
              <w:top w:val="single" w:color="auto" w:sz="4" w:space="0"/>
              <w:left w:val="nil"/>
              <w:bottom w:val="single" w:color="auto" w:sz="4" w:space="0"/>
              <w:right w:val="single" w:color="auto" w:sz="4" w:space="0"/>
            </w:tcBorders>
            <w:vAlign w:val="center"/>
          </w:tcPr>
          <w:p>
            <w:pPr>
              <w:spacing w:line="320" w:lineRule="exact"/>
              <w:ind w:firstLine="480" w:firstLineChars="200"/>
              <w:rPr>
                <w:rFonts w:ascii="仿宋" w:hAnsi="仿宋" w:eastAsia="仿宋"/>
                <w:sz w:val="24"/>
                <w:szCs w:val="24"/>
              </w:rPr>
            </w:pPr>
            <w:r>
              <w:rPr>
                <w:rFonts w:hint="eastAsia" w:ascii="仿宋" w:hAnsi="仿宋" w:eastAsia="仿宋"/>
                <w:sz w:val="24"/>
                <w:szCs w:val="24"/>
              </w:rPr>
              <w:t>陇秦公司四沟红柱石矿、沙坡寺石英矿、社会水泥有限公司银洞沟水泥灰岩矿山和县水泥厂钻天峰水泥灰岩矿4个矿山经过工程治理，并通过了市自然资源和规划局组织的验收</w:t>
            </w:r>
            <w:r>
              <w:rPr>
                <w:rFonts w:hint="eastAsia" w:ascii="仿宋" w:hAnsi="仿宋" w:eastAsia="仿宋"/>
                <w:sz w:val="24"/>
                <w:szCs w:val="24"/>
                <w:lang w:eastAsia="zh-CN"/>
              </w:rPr>
              <w:t>。</w:t>
            </w:r>
            <w:r>
              <w:rPr>
                <w:rFonts w:hint="eastAsia" w:ascii="仿宋" w:hAnsi="仿宋" w:eastAsia="仿宋"/>
                <w:sz w:val="24"/>
                <w:szCs w:val="24"/>
              </w:rPr>
              <w:t>2019年7月1日</w:t>
            </w:r>
            <w:r>
              <w:rPr>
                <w:rFonts w:hint="eastAsia" w:ascii="仿宋" w:hAnsi="仿宋" w:eastAsia="仿宋"/>
                <w:sz w:val="24"/>
                <w:szCs w:val="24"/>
                <w:lang w:eastAsia="zh-CN"/>
              </w:rPr>
              <w:t>通过了市自然资源和规划局、市生态环境局等部门的联合验收。</w:t>
            </w:r>
          </w:p>
        </w:tc>
      </w:tr>
    </w:tbl>
    <w:p>
      <w:pPr>
        <w:spacing w:line="320" w:lineRule="exact"/>
        <w:rPr>
          <w:rFonts w:hint="eastAsia"/>
        </w:rPr>
      </w:pPr>
      <w:r>
        <w:rPr>
          <w:rFonts w:hint="eastAsia"/>
        </w:rPr>
        <w:t xml:space="preserve"> </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3D6"/>
    <w:rsid w:val="00397D54"/>
    <w:rsid w:val="005B63D6"/>
    <w:rsid w:val="0693186B"/>
    <w:rsid w:val="142833E3"/>
    <w:rsid w:val="14F41780"/>
    <w:rsid w:val="160D5B1D"/>
    <w:rsid w:val="3CE27957"/>
    <w:rsid w:val="4FC4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rPr>
      <w:rFonts w:ascii="Calibri" w:hAnsi="Calibri" w:eastAsia="Times New Roman"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1072</Characters>
  <Lines>8</Lines>
  <Paragraphs>2</Paragraphs>
  <TotalTime>1</TotalTime>
  <ScaleCrop>false</ScaleCrop>
  <LinksUpToDate>false</LinksUpToDate>
  <CharactersWithSpaces>1257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2021-07-20T09:43:00Z</dcterms:created>
  <dc:creator>Administrator</dc:creator>
  <cp:lastModifiedBy>Administrator</cp:lastModifiedBy>
  <cp:lastPrinted>2021-07-21T07:23:00Z</cp:lastPrinted>
  <dcterms:modified xsi:type="dcterms:W3CDTF">2021-07-21T07:39:39Z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A689966360254691BFC14C24EE975374</vt:lpwstr>
  </property>
</Properties>
</file>