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</w:rPr>
        <w:t>眉县自然资源局关于秦岭生态环境保护突出问题销号任务的公示</w:t>
      </w:r>
    </w:p>
    <w:p>
      <w:pPr>
        <w:rPr>
          <w:rFonts w:hint="eastAsia" w:ascii="黑体" w:hAnsi="黑体" w:eastAsia="黑体" w:cs="Helvetica"/>
          <w:color w:val="333333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 w:cs="Helvetica"/>
          <w:color w:val="333333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08"/>
        <w:gridCol w:w="3172"/>
        <w:gridCol w:w="810"/>
        <w:gridCol w:w="2940"/>
        <w:gridCol w:w="825"/>
        <w:gridCol w:w="5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问题来源</w:t>
            </w:r>
          </w:p>
        </w:tc>
        <w:tc>
          <w:tcPr>
            <w:tcW w:w="31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反馈问题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整改目标</w:t>
            </w:r>
          </w:p>
        </w:tc>
        <w:tc>
          <w:tcPr>
            <w:tcW w:w="29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整改措施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整改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时限</w:t>
            </w:r>
          </w:p>
        </w:tc>
        <w:tc>
          <w:tcPr>
            <w:tcW w:w="51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整改完成情况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2021年联合交叉检查</w:t>
            </w:r>
          </w:p>
        </w:tc>
        <w:tc>
          <w:tcPr>
            <w:tcW w:w="31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清凉山矿山平整场地内种植树木成活率不高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开展矿区生态恢复治理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严格按照专家评审通过的《清凉山矿山治理工程（二期）》设计方案进行施工。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对枯死的树苗更换补栽。</w:t>
            </w:r>
            <w:r>
              <w:rPr>
                <w:rFonts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加强管护，确保栽植的树苗成活率。</w:t>
            </w:r>
            <w:r>
              <w:rPr>
                <w:rFonts w:ascii="仿宋" w:hAnsi="仿宋" w:eastAsia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加大矿山巡查力度，杜绝矿山植被人为破坏。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2022.7.31</w:t>
            </w:r>
          </w:p>
        </w:tc>
        <w:tc>
          <w:tcPr>
            <w:tcW w:w="5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、2020年县自然资源局争取上级资金420万元，县级配套资金525.63万元，共计945.63万元，对该矿山实施治理工程（二期）。按照专家评审通过的设计，已完成废渣回填9600m³，覆土2450m³，对枯死的树苗进行了更换，现已栽植侧柏3280棵，刺槐650棵，播撒草籽6200㎡，修建挡墙63米，削方平台护脚583m，工程正在实施中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2.加大巡查力度，彻底杜绝乱采乱挖行为。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3.工程完工后，将严格按照设计进行验收。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2021年省办暗访</w:t>
            </w:r>
          </w:p>
        </w:tc>
        <w:tc>
          <w:tcPr>
            <w:tcW w:w="31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眉县陇秦矿业有限公司四沟红柱石矿矿山，属秦岭重点保护区，暗访发现，该矿区</w:t>
            </w:r>
            <w:r>
              <w:rPr>
                <w:rFonts w:ascii="仿宋" w:hAnsi="仿宋" w:eastAsia="仿宋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以生态修复之名，行违法开采之实</w:t>
            </w:r>
            <w:r>
              <w:rPr>
                <w:rFonts w:ascii="仿宋" w:hAnsi="仿宋" w:eastAsia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，现场数台大型机械正在挖山采石，无明显恢复治理迹象。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按照设计实施矿山环境治理</w:t>
            </w:r>
          </w:p>
        </w:tc>
        <w:tc>
          <w:tcPr>
            <w:tcW w:w="29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督促企业，开展覆土植绿、栽植苗木、撒播草籽。</w:t>
            </w: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聘请有资质的权威设计单位，对矿山修复治理工程设计方案再审查、再优化，报市级人民政府备案后，按照优化后的方案组织实施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2022.7.31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1、2021年11月份，陇秦公司聘请西安市信息产业部电子综合勘察研究院，严格按照“山体不开挖，渣石不外运” 的原则，对原设计方案进行了再审查、再优化。2021年12月6日在西安市信息产业部电子综合勘察研究院，组织召开县自然资源局、秦岭办、生态环境局、林业局、水利局、营头镇及三名专家参加的评审会，对优化后的方案进行了评审，经过修改完善，专家组出具了审查通过的意见。2021年12月9日县政府组织相关部门进行了论证，并报市政府备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2、截至目前，四沟红柱石矿完成了格宾笼挡墙砌筑449m；碎石回填压实876m³；种植刺槐2250株，侧柏18000余株；覆土4449立方，播撒草籽160余斤。治理工程已全部完工。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2021年省办暗访</w:t>
            </w:r>
          </w:p>
        </w:tc>
        <w:tc>
          <w:tcPr>
            <w:tcW w:w="31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恒达公司采矿场</w:t>
            </w:r>
            <w:r>
              <w:rPr>
                <w:rFonts w:ascii="仿宋" w:hAnsi="仿宋" w:eastAsia="仿宋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以生态修复之名，行违法开采之实</w:t>
            </w:r>
            <w:r>
              <w:rPr>
                <w:rFonts w:ascii="仿宋" w:hAnsi="仿宋" w:eastAsia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，有数台大型机械正在挖山采石，作业区域无防尘措施。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按照设计实施矿山环境治理</w:t>
            </w:r>
          </w:p>
        </w:tc>
        <w:tc>
          <w:tcPr>
            <w:tcW w:w="29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督促企业，开展覆土植绿、栽植苗木、撒播草籽等。</w:t>
            </w: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聘请有资质的权威设计单位，对矿山修复治理工程设计方案再审查、再优化，报市级人民政府备案后，按照优化后的方案组织实施。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2022. 7.31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1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1.2021年11月份，该企业聘请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/>
              </w:rPr>
              <w:t>西安市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信息产业部电子综合勘察研究院，严格按照“山体不开挖，渣石不外运” 的原则，对原设计方案进行了再审查、再优化。2021年12月6日在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/>
              </w:rPr>
              <w:t>西安市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信息产业部电子综合勘察研究院，组织召开县自然资源局、秦岭办、生态环境局、林业局、水利局、营头镇及三名专家参加的评审会，对优化后的方案进行了评审，经过修改完善，专家组出具了审查通过的意见。2021年12月9日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  <w:t>县政府组织相关部门进行了论证，并报市政府备案。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kern w:val="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截至目前，恒达公司采矿场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完成了A型格宾笼挡墙 (64m)，B型格宾笼挡墙(200m)，平整工程削坡量削方 5000 m³，碎石回填压实5000m³ 绿化：侧柏34137株。削坡量2500立方、覆土10200立方的工程量。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播撒草籽</w:t>
            </w:r>
            <w:r>
              <w:rPr>
                <w:rFonts w:ascii="仿宋" w:hAnsi="仿宋" w:eastAsia="仿宋"/>
                <w:kern w:val="2"/>
                <w:sz w:val="24"/>
                <w:szCs w:val="24"/>
              </w:rPr>
              <w:t>400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斤、面积</w:t>
            </w:r>
            <w:r>
              <w:rPr>
                <w:rFonts w:ascii="仿宋" w:hAnsi="仿宋" w:eastAsia="仿宋"/>
                <w:kern w:val="2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余亩。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eastAsia="zh-CN"/>
              </w:rPr>
              <w:t>治理工程已全部完工。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YjEyMmJiMGE2NjcwODJlYTBhMzM0MzAyNWY4MzMifQ=="/>
  </w:docVars>
  <w:rsids>
    <w:rsidRoot w:val="00864720"/>
    <w:rsid w:val="00323C2B"/>
    <w:rsid w:val="006D36F2"/>
    <w:rsid w:val="00864720"/>
    <w:rsid w:val="009813C2"/>
    <w:rsid w:val="00C434D2"/>
    <w:rsid w:val="00C638BC"/>
    <w:rsid w:val="00D8417F"/>
    <w:rsid w:val="00D92599"/>
    <w:rsid w:val="181B688A"/>
    <w:rsid w:val="51C5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unhideWhenUsed/>
    <w:qFormat/>
    <w:uiPriority w:val="99"/>
    <w:rPr>
      <w:rFonts w:ascii="Calibri" w:hAnsi="Calibri" w:eastAsia="Times New Roman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1257</Words>
  <Characters>1413</Characters>
  <Lines>6</Lines>
  <Paragraphs>1</Paragraphs>
  <TotalTime>3</TotalTime>
  <ScaleCrop>false</ScaleCrop>
  <LinksUpToDate>false</LinksUpToDate>
  <CharactersWithSpaces>1424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2022-07-18T01:37:00Z</dcterms:created>
  <dc:creator>Administrator</dc:creator>
  <cp:lastModifiedBy>Administrator</cp:lastModifiedBy>
  <dcterms:modified xsi:type="dcterms:W3CDTF">2022-07-25T00:40:28Z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438C158942A34622ABB819354FCDAA76</vt:lpwstr>
  </property>
</Properties>
</file>