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099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6"/>
        <w:gridCol w:w="1338"/>
        <w:gridCol w:w="1353"/>
        <w:gridCol w:w="1060"/>
        <w:gridCol w:w="2060"/>
        <w:gridCol w:w="7071"/>
        <w:gridCol w:w="1206"/>
        <w:gridCol w:w="1162"/>
        <w:gridCol w:w="1176"/>
        <w:gridCol w:w="1162"/>
        <w:gridCol w:w="1338"/>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5" w:hRule="atLeast"/>
        </w:trPr>
        <w:tc>
          <w:tcPr>
            <w:tcW w:w="20994" w:type="dxa"/>
            <w:gridSpan w:val="12"/>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眉县生态环境局生态环境领域群众信访投诉处理结果公示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696"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序号</w:t>
            </w:r>
          </w:p>
        </w:tc>
        <w:tc>
          <w:tcPr>
            <w:tcW w:w="1338" w:type="dxa"/>
            <w:tcBorders>
              <w:top w:val="single" w:color="000000" w:sz="4" w:space="0"/>
              <w:left w:val="single" w:color="000000"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4E5463"/>
                <w:sz w:val="21"/>
                <w:szCs w:val="21"/>
                <w:u w:val="none"/>
                <w:lang w:eastAsia="zh-CN"/>
              </w:rPr>
            </w:pPr>
            <w:r>
              <w:rPr>
                <w:rFonts w:hint="eastAsia" w:ascii="宋体" w:hAnsi="宋体" w:eastAsia="宋体" w:cs="宋体"/>
                <w:i w:val="0"/>
                <w:iCs w:val="0"/>
                <w:color w:val="4E5463"/>
                <w:sz w:val="21"/>
                <w:szCs w:val="21"/>
                <w:u w:val="none"/>
                <w:lang w:eastAsia="zh-CN"/>
              </w:rPr>
              <w:t>投诉日期</w:t>
            </w:r>
          </w:p>
        </w:tc>
        <w:tc>
          <w:tcPr>
            <w:tcW w:w="1353"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4E5463"/>
                <w:sz w:val="21"/>
                <w:szCs w:val="21"/>
                <w:u w:val="none"/>
                <w:lang w:eastAsia="zh-CN"/>
              </w:rPr>
            </w:pPr>
            <w:r>
              <w:rPr>
                <w:rFonts w:hint="eastAsia" w:ascii="宋体" w:hAnsi="宋体" w:eastAsia="宋体" w:cs="宋体"/>
                <w:i w:val="0"/>
                <w:iCs w:val="0"/>
                <w:color w:val="4E5463"/>
                <w:sz w:val="21"/>
                <w:szCs w:val="21"/>
                <w:u w:val="none"/>
                <w:lang w:eastAsia="zh-CN"/>
              </w:rPr>
              <w:t>投诉电话</w:t>
            </w:r>
          </w:p>
        </w:tc>
        <w:tc>
          <w:tcPr>
            <w:tcW w:w="1060" w:type="dxa"/>
            <w:tcBorders>
              <w:top w:val="single" w:color="000000" w:sz="4" w:space="0"/>
              <w:left w:val="single" w:color="auto"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4E5463"/>
                <w:sz w:val="21"/>
                <w:szCs w:val="21"/>
                <w:u w:val="none"/>
                <w:lang w:eastAsia="zh-CN"/>
              </w:rPr>
            </w:pPr>
            <w:r>
              <w:rPr>
                <w:rFonts w:hint="eastAsia" w:ascii="宋体" w:hAnsi="宋体" w:eastAsia="宋体" w:cs="宋体"/>
                <w:i w:val="0"/>
                <w:iCs w:val="0"/>
                <w:color w:val="4E5463"/>
                <w:sz w:val="21"/>
                <w:szCs w:val="21"/>
                <w:u w:val="none"/>
                <w:lang w:eastAsia="zh-CN"/>
              </w:rPr>
              <w:t>投诉人</w:t>
            </w:r>
          </w:p>
        </w:tc>
        <w:tc>
          <w:tcPr>
            <w:tcW w:w="206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4E5463"/>
                <w:sz w:val="21"/>
                <w:szCs w:val="21"/>
                <w:u w:val="none"/>
                <w:lang w:eastAsia="zh-CN"/>
              </w:rPr>
            </w:pPr>
            <w:r>
              <w:rPr>
                <w:rFonts w:hint="eastAsia" w:ascii="宋体" w:hAnsi="宋体" w:eastAsia="宋体" w:cs="宋体"/>
                <w:i w:val="0"/>
                <w:iCs w:val="0"/>
                <w:color w:val="4E5463"/>
                <w:sz w:val="21"/>
                <w:szCs w:val="21"/>
                <w:u w:val="none"/>
                <w:lang w:eastAsia="zh-CN"/>
              </w:rPr>
              <w:t>投诉内容</w:t>
            </w:r>
          </w:p>
        </w:tc>
        <w:tc>
          <w:tcPr>
            <w:tcW w:w="7071"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调查处理情况</w:t>
            </w:r>
          </w:p>
        </w:tc>
        <w:tc>
          <w:tcPr>
            <w:tcW w:w="1206"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负责人</w:t>
            </w:r>
          </w:p>
        </w:tc>
        <w:tc>
          <w:tcPr>
            <w:tcW w:w="1162"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调查人员</w:t>
            </w:r>
          </w:p>
        </w:tc>
        <w:tc>
          <w:tcPr>
            <w:tcW w:w="1176"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满意程度</w:t>
            </w:r>
          </w:p>
        </w:tc>
        <w:tc>
          <w:tcPr>
            <w:tcW w:w="1162"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办结时间</w:t>
            </w:r>
          </w:p>
        </w:tc>
        <w:tc>
          <w:tcPr>
            <w:tcW w:w="1338"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办理结果</w:t>
            </w:r>
          </w:p>
        </w:tc>
        <w:tc>
          <w:tcPr>
            <w:tcW w:w="1372"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1"/>
                <w:szCs w:val="21"/>
                <w:u w:val="none"/>
                <w:lang w:eastAsia="zh-CN"/>
              </w:rPr>
              <w:t>污染分类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4" w:hRule="atLeast"/>
        </w:trPr>
        <w:tc>
          <w:tcPr>
            <w:tcW w:w="696"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338" w:type="dxa"/>
            <w:tcBorders>
              <w:top w:val="single" w:color="auto"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4E5463"/>
                <w:sz w:val="21"/>
                <w:szCs w:val="21"/>
                <w:u w:val="none"/>
                <w:lang w:val="en-US" w:eastAsia="zh-CN"/>
              </w:rPr>
            </w:pPr>
            <w:r>
              <w:rPr>
                <w:rFonts w:hint="eastAsia" w:ascii="宋体" w:hAnsi="宋体" w:eastAsia="宋体" w:cs="宋体"/>
                <w:b/>
                <w:bCs/>
                <w:i w:val="0"/>
                <w:iCs w:val="0"/>
                <w:color w:val="4E5463"/>
                <w:sz w:val="21"/>
                <w:szCs w:val="21"/>
                <w:u w:val="none"/>
                <w:lang w:val="en-US" w:eastAsia="zh-CN"/>
              </w:rPr>
              <w:t>2024.05.05</w:t>
            </w:r>
          </w:p>
        </w:tc>
        <w:tc>
          <w:tcPr>
            <w:tcW w:w="1353"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4E5463"/>
                <w:sz w:val="21"/>
                <w:szCs w:val="21"/>
                <w:u w:val="none"/>
                <w:lang w:val="en-US" w:eastAsia="zh-CN"/>
              </w:rPr>
            </w:pPr>
            <w:r>
              <w:rPr>
                <w:rFonts w:hint="eastAsia" w:ascii="宋体" w:hAnsi="宋体" w:eastAsia="宋体" w:cs="宋体"/>
                <w:b/>
                <w:bCs/>
                <w:i w:val="0"/>
                <w:iCs w:val="0"/>
                <w:color w:val="4E5463"/>
                <w:sz w:val="21"/>
                <w:szCs w:val="21"/>
                <w:u w:val="none"/>
                <w:lang w:val="en-US" w:eastAsia="zh-CN"/>
              </w:rPr>
              <w:t>17319902234</w:t>
            </w:r>
          </w:p>
        </w:tc>
        <w:tc>
          <w:tcPr>
            <w:tcW w:w="1060" w:type="dxa"/>
            <w:tcBorders>
              <w:top w:val="single" w:color="auto" w:sz="4" w:space="0"/>
              <w:left w:val="single" w:color="auto"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4E5463"/>
                <w:sz w:val="21"/>
                <w:szCs w:val="21"/>
                <w:u w:val="none"/>
                <w:lang w:val="en-US" w:eastAsia="zh-CN"/>
              </w:rPr>
            </w:pPr>
            <w:r>
              <w:rPr>
                <w:rFonts w:hint="eastAsia" w:ascii="宋体" w:hAnsi="宋体" w:eastAsia="宋体" w:cs="宋体"/>
                <w:b/>
                <w:bCs/>
                <w:i w:val="0"/>
                <w:iCs w:val="0"/>
                <w:color w:val="4E5463"/>
                <w:sz w:val="21"/>
                <w:szCs w:val="21"/>
                <w:u w:val="none"/>
                <w:lang w:val="en-US" w:eastAsia="zh-CN"/>
              </w:rPr>
              <w:t>苏先生</w:t>
            </w:r>
          </w:p>
        </w:tc>
        <w:tc>
          <w:tcPr>
            <w:tcW w:w="2060"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420" w:firstLineChars="200"/>
              <w:jc w:val="left"/>
              <w:textAlignment w:val="center"/>
              <w:rPr>
                <w:rStyle w:val="4"/>
                <w:rFonts w:hint="eastAsia" w:ascii="仿宋_GB2312" w:hAnsi="仿宋_GB2312" w:eastAsia="仿宋_GB2312" w:cs="仿宋_GB2312"/>
                <w:sz w:val="21"/>
                <w:szCs w:val="21"/>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其为眉县太白山合力西润南山小区业主，小区南侧的麒麟府小区大规模养殖动物（例如：牛、马、鸡、红雀、鹅），存在动物粪便的异味问题。 市民诉求：采取相关措施，避免异味。 望相关部门尽快核实处理。</w:t>
            </w:r>
          </w:p>
        </w:tc>
        <w:tc>
          <w:tcPr>
            <w:tcW w:w="7071"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仿宋_GB2312" w:hAnsi="仿宋_GB2312" w:eastAsia="仿宋_GB2312" w:cs="仿宋_GB2312"/>
                <w:i w:val="0"/>
                <w:iCs w:val="0"/>
                <w:color w:val="000000"/>
                <w:kern w:val="0"/>
                <w:sz w:val="21"/>
                <w:szCs w:val="21"/>
                <w:u w:val="none"/>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关于宝鸡市12345市民热线工单</w:t>
            </w:r>
            <w:r>
              <w:rPr>
                <w:rFonts w:hint="eastAsia" w:ascii="仿宋_GB2312" w:hAnsi="仿宋_GB2312" w:eastAsia="仿宋_GB2312" w:cs="仿宋_GB2312"/>
                <w:i w:val="0"/>
                <w:iCs w:val="0"/>
                <w:color w:val="000000"/>
                <w:kern w:val="0"/>
                <w:sz w:val="21"/>
                <w:szCs w:val="21"/>
                <w:u w:val="none"/>
                <w:lang w:val="en-US" w:eastAsia="zh-CN" w:bidi="ar"/>
              </w:rPr>
              <w:t>DH8961030024050500482查处情况的报告县信息中心：接到宝鸡市12345市民热线（眉县）处置工单（编号：DH8961030024050500482）市民反映其为眉县太白山合力西润南山小区业主，小区南侧的麒麟府小区大规模养殖动物（例如：牛、马、鸡、红雀、鹅），存在动物粪便的异味问题后，我局高度重视，立即对此开展调查处理。现将相关情况报告如下：一、核查情况2024年5月8日，宝鸡市生态环境局眉县分局执法人员对群众反映问题进行了现场核查。经查，群众反映问题属实。经查，该异味来源于太白山麒麟府温泉度假酒店北侧约200米处的空地内圈养的宠物（包括4只鸵鸟、2头小马、2头小鹿及少量小香猪、兔子、红雀、鸡、鸭、鹅等），未严格落实环境保护安全防护距离规定要求，距离居民住户住宅约50米左右，主要异味来源是该酒店圈养的4只鸵鸟产生的粪便，饲养员未及时清理粪便导致产生异味较大，影响周边居民住户正常的生活秩序。二、处理结果针对群众反映问题，宝鸡市生态环境局眉县分局执法人员现场责令该酒店于5月31日之前完成搬迁事宜，并恢复原貌；在未完成搬迁相关事宜之前，要求该酒店及时督促饲养员对宠物粪便进行清理、消杀，消除异味，确保周边环境空气质量，还居民住户一个安静祥和的生活环境。下一步，宝鸡市生态环境局眉县分局将对该宠物养殖小区加大监管力度，开展不定期“回头看”，确保该养殖小区搬迁到位，切实保障周边群众合法环保权益。</w:t>
            </w:r>
          </w:p>
        </w:tc>
        <w:tc>
          <w:tcPr>
            <w:tcW w:w="1206"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张建华</w:t>
            </w:r>
          </w:p>
        </w:tc>
        <w:tc>
          <w:tcPr>
            <w:tcW w:w="1162"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梁晓成</w:t>
            </w:r>
          </w:p>
        </w:tc>
        <w:tc>
          <w:tcPr>
            <w:tcW w:w="1176"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满意</w:t>
            </w:r>
          </w:p>
        </w:tc>
        <w:tc>
          <w:tcPr>
            <w:tcW w:w="1162"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1338"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已办结</w:t>
            </w:r>
          </w:p>
        </w:tc>
        <w:tc>
          <w:tcPr>
            <w:tcW w:w="1372"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4" w:hRule="atLeast"/>
        </w:trPr>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w:t>
            </w:r>
          </w:p>
        </w:tc>
        <w:tc>
          <w:tcPr>
            <w:tcW w:w="13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bdr w:val="none" w:color="auto" w:sz="0" w:space="0"/>
                <w:lang w:val="en-US" w:eastAsia="zh-CN" w:bidi="ar"/>
              </w:rPr>
              <w:t>2024.04.20</w:t>
            </w:r>
          </w:p>
        </w:tc>
        <w:tc>
          <w:tcPr>
            <w:tcW w:w="1353"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bdr w:val="none" w:color="auto" w:sz="0" w:space="0"/>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bdr w:val="none" w:color="auto" w:sz="0" w:space="0"/>
                <w:lang w:val="en-US" w:eastAsia="zh-CN" w:bidi="ar"/>
              </w:rPr>
              <w:t>/</w:t>
            </w:r>
          </w:p>
        </w:tc>
        <w:tc>
          <w:tcPr>
            <w:tcW w:w="2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420" w:firstLineChars="2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none" w:color="auto" w:sz="0" w:space="0"/>
                <w:lang w:val="en-US" w:eastAsia="zh-CN" w:bidi="ar"/>
              </w:rPr>
              <w:t>眉县槐芽镇东柿林村眉县水泥制品厂西南方向100米处，有私人使用窑洞烧制木炭，大气污染严重。</w:t>
            </w:r>
          </w:p>
        </w:tc>
        <w:tc>
          <w:tcPr>
            <w:tcW w:w="7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0" w:leftChars="200" w:firstLine="0" w:firstLineChars="0"/>
              <w:jc w:val="both"/>
              <w:textAlignment w:val="center"/>
              <w:rPr>
                <w:rFonts w:hint="eastAsia" w:ascii="仿宋_GB2312" w:hAnsi="仿宋_GB2312" w:eastAsia="仿宋_GB2312" w:cs="仿宋_GB2312"/>
                <w:i w:val="0"/>
                <w:iCs w:val="0"/>
                <w:color w:val="000000"/>
                <w:kern w:val="0"/>
                <w:sz w:val="21"/>
                <w:szCs w:val="21"/>
                <w:u w:val="none"/>
                <w:bdr w:val="none" w:color="auto" w:sz="0" w:space="0"/>
                <w:lang w:val="en-US" w:eastAsia="zh-CN" w:bidi="ar"/>
              </w:rPr>
            </w:pPr>
            <w:r>
              <w:rPr>
                <w:rFonts w:hint="eastAsia" w:ascii="仿宋_GB2312" w:hAnsi="仿宋_GB2312" w:eastAsia="仿宋_GB2312" w:cs="仿宋_GB2312"/>
                <w:i w:val="0"/>
                <w:iCs w:val="0"/>
                <w:color w:val="000000"/>
                <w:kern w:val="0"/>
                <w:sz w:val="21"/>
                <w:szCs w:val="21"/>
                <w:u w:val="none"/>
                <w:bdr w:val="none" w:color="auto" w:sz="0" w:space="0"/>
                <w:lang w:val="en-US" w:eastAsia="zh-CN" w:bidi="ar"/>
              </w:rPr>
              <w:br w:type="textWrapping"/>
            </w:r>
            <w:r>
              <w:rPr>
                <w:rFonts w:hint="eastAsia" w:ascii="仿宋_GB2312" w:hAnsi="仿宋_GB2312" w:eastAsia="仿宋_GB2312" w:cs="仿宋_GB2312"/>
                <w:i w:val="0"/>
                <w:iCs w:val="0"/>
                <w:color w:val="000000"/>
                <w:kern w:val="0"/>
                <w:sz w:val="21"/>
                <w:szCs w:val="21"/>
                <w:u w:val="none"/>
                <w:bdr w:val="none" w:color="auto" w:sz="0" w:space="0"/>
                <w:lang w:val="en-US" w:eastAsia="zh-CN" w:bidi="ar"/>
              </w:rPr>
              <w:t>宝鸡市生态环境局眉县分局关于宝鸡市12345市民热线工单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z w:val="21"/>
                <w:szCs w:val="21"/>
                <w:u w:val="none"/>
              </w:rPr>
            </w:pPr>
            <w:bookmarkStart w:id="0" w:name="_GoBack"/>
            <w:bookmarkEnd w:id="0"/>
            <w:r>
              <w:rPr>
                <w:rFonts w:hint="eastAsia" w:ascii="仿宋_GB2312" w:hAnsi="仿宋_GB2312" w:eastAsia="仿宋_GB2312" w:cs="仿宋_GB2312"/>
                <w:i w:val="0"/>
                <w:iCs w:val="0"/>
                <w:color w:val="000000"/>
                <w:kern w:val="0"/>
                <w:sz w:val="21"/>
                <w:szCs w:val="21"/>
                <w:u w:val="none"/>
                <w:bdr w:val="none" w:color="auto" w:sz="0" w:space="0"/>
                <w:lang w:val="en-US" w:eastAsia="zh-CN" w:bidi="ar"/>
              </w:rPr>
              <w:t>DH8961030024042000077查处情况的报告县信息中心：接到宝鸡市12345市民热线（眉县）处置工单（编号：DH8961030024042000077）市民反映眉县槐芽镇东柿林村眉县水泥制品厂西南方向100米处，有私人使用窑洞烧制木炭，大气污染严重，影响周边居民正常生活的问题后，眉县生态环境分局高度重视，立即对此开展调查处理。现将相关情况报告如下：一、核查情况2024年4月24日上午，宝鸡市生态环境局眉县分局执法人员对群众反映问题进行了现场核查。经查，群众投诉对象为眉县槐芽镇柿林村9组原知青大楼院内，现为徐书光木炭加工小作坊，群众反映问题属实。现场检查时，该企业未生产。现场院子堆放有少量用于焚烧工业木炭的木材原料，并购置安装了两台简易加工焚烧工业木炭的焚烧炉，库房内存放有少量木炭成品使用包装袋包装后储存堆放，场区院子西侧堆放有焚烧制做好的木炭成品使用防水布覆盖存放。二、处理结果针对群众反映问题，宝鸡市生态环境局眉县分局责令徐书光木炭加小作坊立即停产，停止环境违法行为，禁止向大气排放污染物，影响区域大气空气质量，并恢复原貌，限期30日内全部拆除到位。三、反馈意见因投诉人要求信息保密，故未能与其取得联系告知工单处置结果。</w:t>
            </w:r>
          </w:p>
        </w:tc>
        <w:tc>
          <w:tcPr>
            <w:tcW w:w="12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none" w:color="auto" w:sz="0" w:space="0"/>
                <w:lang w:val="en-US" w:eastAsia="zh-CN" w:bidi="ar"/>
              </w:rPr>
              <w:t>张建华</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none" w:color="auto" w:sz="0" w:space="0"/>
                <w:lang w:val="en-US" w:eastAsia="zh-CN" w:bidi="ar"/>
              </w:rPr>
              <w:t>梁晓成</w:t>
            </w:r>
          </w:p>
        </w:tc>
        <w:tc>
          <w:tcPr>
            <w:tcW w:w="11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none" w:color="auto" w:sz="0" w:space="0"/>
                <w:lang w:val="en-US" w:eastAsia="zh-CN" w:bidi="ar"/>
              </w:rPr>
              <w:t>满意</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none" w:color="auto" w:sz="0" w:space="0"/>
                <w:lang w:val="en-US" w:eastAsia="zh-CN" w:bidi="ar"/>
              </w:rPr>
              <w:t>4.25</w:t>
            </w:r>
          </w:p>
        </w:tc>
        <w:tc>
          <w:tcPr>
            <w:tcW w:w="13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none" w:color="auto" w:sz="0" w:space="0"/>
                <w:lang w:val="en-US" w:eastAsia="zh-CN" w:bidi="ar"/>
              </w:rPr>
              <w:t>已办结</w:t>
            </w:r>
          </w:p>
        </w:tc>
        <w:tc>
          <w:tcPr>
            <w:tcW w:w="13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bdr w:val="none" w:color="auto" w:sz="0" w:space="0"/>
                <w:lang w:val="en-US" w:eastAsia="zh-CN" w:bidi="ar"/>
              </w:rPr>
              <w:t>气</w:t>
            </w: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MWYwNjA0NzBiMGJiYjJjZmMyZjVmM2VhMjBlYjgifQ=="/>
    <w:docVar w:name="KSO_WPS_MARK_KEY" w:val="54acdc1e-6cb4-407c-84ab-04e111483ad6"/>
  </w:docVars>
  <w:rsids>
    <w:rsidRoot w:val="00172A27"/>
    <w:rsid w:val="456E32BA"/>
    <w:rsid w:val="460C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4E5463"/>
      <w:sz w:val="21"/>
      <w:szCs w:val="21"/>
      <w:u w:val="none"/>
    </w:rPr>
  </w:style>
  <w:style w:type="character" w:customStyle="1" w:styleId="5">
    <w:name w:val="font31"/>
    <w:basedOn w:val="3"/>
    <w:uiPriority w:val="0"/>
    <w:rPr>
      <w:rFonts w:ascii="Segoe UI" w:hAnsi="Segoe UI" w:eastAsia="Segoe UI" w:cs="Segoe UI"/>
      <w:color w:val="4E5463"/>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1305</Words>
  <Characters>1450</Characters>
  <Lines>0</Lines>
  <Paragraphs>0</Paragraphs>
  <TotalTime>49</TotalTime>
  <ScaleCrop>false</ScaleCrop>
  <LinksUpToDate>false</LinksUpToDate>
  <CharactersWithSpaces>1452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2024-06-05T02:15:00Z</dcterms:created>
  <dc:creator>海鸟</dc:creator>
  <cp:lastModifiedBy>海鸟</cp:lastModifiedBy>
  <dcterms:modified xsi:type="dcterms:W3CDTF">2024-06-05T03:10:57Z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FE312C34829344E89E8419397E468544</vt:lpwstr>
  </property>
</Properties>
</file>