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</w:t>
      </w:r>
    </w:p>
    <w:p>
      <w:pPr>
        <w:spacing w:line="540" w:lineRule="exact"/>
        <w:rPr>
          <w:rFonts w:hint="eastAsia" w:ascii="仿宋_GB2312" w:hAnsi="仿宋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眉县医保中心医保定点零售药店评审量化打分表</w:t>
      </w:r>
    </w:p>
    <w:p>
      <w:pPr>
        <w:spacing w:line="54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零售药店名称：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评审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 xml:space="preserve">日期：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</w:p>
    <w:tbl>
      <w:tblPr>
        <w:tblStyle w:val="3"/>
        <w:tblW w:w="13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8280"/>
        <w:gridCol w:w="960"/>
        <w:gridCol w:w="135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   照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1、《药品经营许可证》 2、《营业执照》3、《药品经营质量管理规范认证证书》。                           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1、配有注册到本店的执业药师，且注册地在该零售药店所在地，药师需签订1年以上劳动合同，且在合同期内。2、经营中药饮片的还须配有一名以上执业中药师。3、至少有2名专（兼）职医保管理人员。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药品品种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经营《陕西省基本医疗保险工伤保险药品目录》内药品品种县城区达到1000种以上，乡镇（街）达到800种以上，其中基本医疗保险药品目录内应占80%以上。2、药品分类分区管理、医保药品管理制度、医保服务结算制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营业面积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1、主城区营业场所面积县城区到达80平方米、镇街到达60平方米以上。2、营业场所应当为独立区域。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1、经营时间不足三月的不得分。2、具备符合协议管理要求的信息系统技术和接口标准，为参保人员提供直接联网结算，建立医保药品数据库，使用国家统一医保编码。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  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依法与从业人员签订劳动合同，按时足额缴纳城镇职工基本医疗保险。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评审人员签名：</w:t>
      </w:r>
    </w:p>
    <w:sectPr>
      <w:footerReference r:id="rId3" w:type="even"/>
      <w:pgSz w:w="16838" w:h="11906" w:orient="landscape"/>
      <w:pgMar w:top="113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2MxZTljZmI0MjMyMGVhZDlkM2U5Njg0YzNjYTgifQ=="/>
  </w:docVars>
  <w:rsids>
    <w:rsidRoot w:val="40DA30C4"/>
    <w:rsid w:val="40D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2023-02-08T02:19:00Z</dcterms:created>
  <dc:creator>泡芙小姐</dc:creator>
  <cp:lastModifiedBy>泡芙小姐</cp:lastModifiedBy>
  <dcterms:modified xsi:type="dcterms:W3CDTF">2023-02-08T02:20:00Z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722FCB5BA7C8450891327B12254AD9D9</vt:lpwstr>
  </property>
</Properties>
</file>