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5CDEF">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眉县烟草专卖局</w:t>
      </w:r>
    </w:p>
    <w:p w14:paraId="1E640CE5">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关于《眉县烟草制品零售点合理布局规划》修订的公  告</w:t>
      </w:r>
    </w:p>
    <w:p w14:paraId="63F9027B">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sz w:val="32"/>
          <w:szCs w:val="32"/>
          <w:lang w:val="en-US" w:eastAsia="zh-CN"/>
        </w:rPr>
      </w:pPr>
    </w:p>
    <w:p w14:paraId="17A615B3">
      <w:pPr>
        <w:rPr>
          <w:rFonts w:hint="default" w:ascii="仿宋_GB2312" w:hAnsi="仿宋_GB2312" w:eastAsia="仿宋_GB2312" w:cs="仿宋_GB2312"/>
          <w:sz w:val="32"/>
          <w:szCs w:val="32"/>
          <w:lang w:val="en-US" w:eastAsia="zh-CN"/>
        </w:rPr>
      </w:pPr>
    </w:p>
    <w:p w14:paraId="3A0BC12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为贯彻落实《中华人民共和国烟草专卖法》《中华人民共和国未成年人保护法》《烟草专卖许可证管理办法》及其实施细则等法律法规要求，响应国家烟草专卖局关于“动态评估修订零售点布局规划、优化市场资源配置”的工作部署，按照陕西省烟草专卖局保持零售户数量合理稳定维护零售市场良好秩序工作安排，适配“放管服”改革与地方经济社会发展新形势，解决原规划在执行中出现的布局精准度不足、群众关切回应不及时等问题，结合辖区烟草制品零售市场实际，特对《眉县烟草制品零售点合理布局规划》进行修订完善。</w:t>
      </w:r>
    </w:p>
    <w:p w14:paraId="59B9DE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修订坚持依法行政、科学规划、服务社会、均衡发展原则，通过专项调研、数据分析、公开征求意见、座谈研讨等规范程序，聚焦市场秩序维护、未成年人保护、特殊群体扶持、业态结构优化等核心目标，进一步明确市场单元划分标准、合理容量测算方法、间距管控要求及特殊情形处置规则。修订后的规划既保持政策连续性，又增强实践适配性，旨在构建稳定公平、透明可预期的营商环境，实现零售点总量与消费需求相适应、分布与区位特征相协调，切实维护国家利益、消费者利益和零售户合法权益，推动烟草零售行业高质量发展。</w:t>
      </w:r>
    </w:p>
    <w:p w14:paraId="0AA6391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经过召开专题会议讨论，我局对《眉县烟草制品零售点合理</w:t>
      </w:r>
    </w:p>
    <w:p w14:paraId="56B6A7F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p>
    <w:p w14:paraId="7017AC28">
      <w:pPr>
        <w:keepNext w:val="0"/>
        <w:keepLines w:val="0"/>
        <w:pageBreakBefore w:val="0"/>
        <w:widowControl w:val="0"/>
        <w:kinsoku/>
        <w:wordWrap/>
        <w:overflowPunct/>
        <w:topLinePunct w:val="0"/>
        <w:autoSpaceDE/>
        <w:autoSpaceDN/>
        <w:bidi w:val="0"/>
        <w:adjustRightInd/>
        <w:snapToGrid/>
        <w:spacing w:line="560" w:lineRule="exact"/>
        <w:ind w:firstLine="660"/>
        <w:jc w:val="left"/>
        <w:textAlignment w:val="auto"/>
        <w:rPr>
          <w:rFonts w:hint="default" w:ascii="仿宋_GB2312" w:hAnsi="Calibri" w:eastAsia="仿宋_GB2312" w:cs="Times New Roman"/>
          <w:sz w:val="32"/>
          <w:szCs w:val="32"/>
          <w:lang w:val="en-US" w:eastAsia="zh-CN"/>
        </w:rPr>
      </w:pPr>
      <w:r>
        <w:rPr>
          <w:rFonts w:hint="eastAsia" w:ascii="仿宋_GB2312" w:hAnsi="仿宋_GB2312" w:eastAsia="仿宋_GB2312" w:cs="仿宋_GB2312"/>
          <w:sz w:val="32"/>
          <w:szCs w:val="32"/>
          <w:lang w:val="en-US" w:eastAsia="zh-CN"/>
        </w:rPr>
        <w:t>布局规划》第二章第八条、第九条、</w:t>
      </w:r>
      <w:r>
        <w:rPr>
          <w:rFonts w:hint="eastAsia" w:ascii="仿宋_GB2312" w:hAnsi="Calibri" w:eastAsia="仿宋_GB2312" w:cs="Times New Roman"/>
          <w:sz w:val="32"/>
          <w:szCs w:val="32"/>
          <w:lang w:eastAsia="zh-CN"/>
        </w:rPr>
        <w:t>第十条第（四）款</w:t>
      </w:r>
    </w:p>
    <w:p w14:paraId="2D9E917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及附件1的内容进行修订，具体修订内容如下：</w:t>
      </w:r>
    </w:p>
    <w:p w14:paraId="4694DE89">
      <w:pPr>
        <w:keepNext w:val="0"/>
        <w:keepLines w:val="0"/>
        <w:pageBreakBefore w:val="0"/>
        <w:widowControl w:val="0"/>
        <w:kinsoku/>
        <w:wordWrap/>
        <w:overflowPunct/>
        <w:topLinePunct w:val="0"/>
        <w:autoSpaceDE/>
        <w:autoSpaceDN/>
        <w:bidi w:val="0"/>
        <w:adjustRightInd/>
        <w:snapToGrid/>
        <w:spacing w:line="560" w:lineRule="exact"/>
        <w:ind w:firstLine="660"/>
        <w:jc w:val="left"/>
        <w:textAlignment w:val="auto"/>
        <w:rPr>
          <w:rFonts w:ascii="仿宋_GB2312" w:eastAsia="仿宋_GB2312"/>
          <w:sz w:val="32"/>
          <w:szCs w:val="32"/>
        </w:rPr>
      </w:pPr>
      <w:r>
        <w:rPr>
          <w:rFonts w:hint="eastAsia" w:ascii="黑体" w:hAnsi="黑体" w:eastAsia="黑体" w:cs="黑体"/>
          <w:sz w:val="32"/>
          <w:szCs w:val="32"/>
        </w:rPr>
        <w:t xml:space="preserve">第八条  </w:t>
      </w:r>
      <w:r>
        <w:rPr>
          <w:rFonts w:hint="eastAsia" w:ascii="仿宋_GB2312" w:eastAsia="仿宋_GB2312"/>
          <w:sz w:val="32"/>
          <w:szCs w:val="32"/>
        </w:rPr>
        <w:t>城区、镇街道零售点按照“总量+距离”布局，两个零售点间距不低于</w:t>
      </w:r>
      <w:r>
        <w:rPr>
          <w:rFonts w:hint="eastAsia" w:ascii="仿宋_GB2312" w:eastAsia="仿宋_GB2312"/>
          <w:sz w:val="32"/>
          <w:szCs w:val="32"/>
          <w:lang w:val="en-US" w:eastAsia="zh-CN"/>
        </w:rPr>
        <w:t>30</w:t>
      </w:r>
      <w:r>
        <w:rPr>
          <w:rFonts w:hint="eastAsia" w:ascii="仿宋_GB2312" w:eastAsia="仿宋_GB2312"/>
          <w:sz w:val="32"/>
          <w:szCs w:val="32"/>
        </w:rPr>
        <w:t>米。</w:t>
      </w:r>
    </w:p>
    <w:p w14:paraId="37F7F001">
      <w:pPr>
        <w:keepNext w:val="0"/>
        <w:keepLines w:val="0"/>
        <w:pageBreakBefore w:val="0"/>
        <w:widowControl w:val="0"/>
        <w:kinsoku/>
        <w:wordWrap/>
        <w:overflowPunct/>
        <w:topLinePunct w:val="0"/>
        <w:autoSpaceDE/>
        <w:autoSpaceDN/>
        <w:bidi w:val="0"/>
        <w:adjustRightInd/>
        <w:snapToGrid/>
        <w:spacing w:line="560" w:lineRule="exact"/>
        <w:ind w:firstLine="660"/>
        <w:jc w:val="left"/>
        <w:textAlignment w:val="auto"/>
        <w:rPr>
          <w:rFonts w:hint="eastAsia" w:ascii="仿宋_GB2312" w:hAnsi="Calibri" w:eastAsia="仿宋_GB2312" w:cs="Times New Roman"/>
          <w:sz w:val="32"/>
          <w:szCs w:val="32"/>
        </w:rPr>
      </w:pPr>
      <w:r>
        <w:rPr>
          <w:rFonts w:hint="eastAsia" w:ascii="黑体" w:hAnsi="黑体" w:eastAsia="黑体" w:cs="黑体"/>
          <w:sz w:val="32"/>
          <w:szCs w:val="32"/>
        </w:rPr>
        <w:t>第九条</w:t>
      </w:r>
      <w:r>
        <w:rPr>
          <w:rFonts w:hint="eastAsia" w:ascii="仿宋_GB2312" w:hAnsi="Calibri" w:eastAsia="仿宋_GB2312" w:cs="Times New Roman"/>
          <w:sz w:val="32"/>
          <w:szCs w:val="32"/>
        </w:rPr>
        <w:t xml:space="preserve">  农村地区市场单元零售点</w:t>
      </w:r>
      <w:r>
        <w:rPr>
          <w:rFonts w:hint="eastAsia" w:ascii="仿宋_GB2312" w:hAnsi="仿宋" w:eastAsia="仿宋_GB2312" w:cs="仿宋"/>
          <w:sz w:val="32"/>
          <w:szCs w:val="32"/>
        </w:rPr>
        <w:t>按照</w:t>
      </w:r>
      <w:r>
        <w:rPr>
          <w:rFonts w:hint="eastAsia" w:ascii="仿宋_GB2312" w:hAnsi="Calibri" w:eastAsia="仿宋_GB2312" w:cs="Times New Roman"/>
          <w:sz w:val="32"/>
          <w:szCs w:val="32"/>
        </w:rPr>
        <w:t>“总量+距离”布局，500人以下的行政村可以设置1个零售点，500人以上每满500人增设1个零售点，村委会所在地的行政村可以增设1个零售点，且两个零售点间距不得低于</w:t>
      </w:r>
      <w:r>
        <w:rPr>
          <w:rFonts w:hint="eastAsia" w:ascii="仿宋_GB2312" w:hAnsi="Calibri" w:eastAsia="仿宋_GB2312" w:cs="Times New Roman"/>
          <w:sz w:val="32"/>
          <w:szCs w:val="32"/>
          <w:lang w:val="en-US" w:eastAsia="zh-CN"/>
        </w:rPr>
        <w:t>30</w:t>
      </w:r>
      <w:r>
        <w:rPr>
          <w:rFonts w:hint="eastAsia" w:ascii="仿宋_GB2312" w:hAnsi="Calibri" w:eastAsia="仿宋_GB2312" w:cs="Times New Roman"/>
          <w:sz w:val="32"/>
          <w:szCs w:val="32"/>
        </w:rPr>
        <w:t>米。</w:t>
      </w:r>
    </w:p>
    <w:p w14:paraId="46C89FE7">
      <w:pPr>
        <w:keepNext w:val="0"/>
        <w:keepLines w:val="0"/>
        <w:pageBreakBefore w:val="0"/>
        <w:widowControl w:val="0"/>
        <w:kinsoku/>
        <w:wordWrap/>
        <w:overflowPunct/>
        <w:topLinePunct w:val="0"/>
        <w:autoSpaceDE/>
        <w:autoSpaceDN/>
        <w:bidi w:val="0"/>
        <w:adjustRightInd/>
        <w:snapToGrid/>
        <w:spacing w:line="560" w:lineRule="exact"/>
        <w:ind w:firstLine="660"/>
        <w:jc w:val="left"/>
        <w:textAlignment w:val="auto"/>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eastAsia="zh-CN"/>
        </w:rPr>
        <w:t>第十条</w:t>
      </w:r>
      <w:r>
        <w:rPr>
          <w:rFonts w:hint="eastAsia" w:ascii="仿宋_GB2312" w:hAnsi="Calibri" w:eastAsia="仿宋_GB2312" w:cs="Times New Roman"/>
          <w:sz w:val="32"/>
          <w:szCs w:val="32"/>
          <w:lang w:val="en-US" w:eastAsia="zh-CN"/>
        </w:rPr>
        <w:t xml:space="preserve">  特殊区域市场单元设置零售点，按以下标准执行：</w:t>
      </w:r>
    </w:p>
    <w:p w14:paraId="17701080">
      <w:pPr>
        <w:keepNext w:val="0"/>
        <w:keepLines w:val="0"/>
        <w:pageBreakBefore w:val="0"/>
        <w:widowControl w:val="0"/>
        <w:kinsoku/>
        <w:wordWrap/>
        <w:overflowPunct/>
        <w:topLinePunct w:val="0"/>
        <w:autoSpaceDE/>
        <w:autoSpaceDN/>
        <w:bidi w:val="0"/>
        <w:adjustRightInd/>
        <w:snapToGrid/>
        <w:spacing w:line="560" w:lineRule="exact"/>
        <w:ind w:firstLine="660"/>
        <w:jc w:val="left"/>
        <w:textAlignment w:val="auto"/>
        <w:rPr>
          <w:rFonts w:hint="eastAsia" w:ascii="黑体" w:hAnsi="黑体" w:eastAsia="黑体"/>
          <w:color w:val="auto"/>
          <w:sz w:val="32"/>
          <w:szCs w:val="32"/>
          <w:highlight w:val="none"/>
          <w:lang w:val="zh-CN"/>
        </w:rPr>
      </w:pPr>
      <w:r>
        <w:rPr>
          <w:rFonts w:hint="eastAsia" w:ascii="仿宋_GB2312" w:hAnsi="Calibri" w:eastAsia="仿宋_GB2312" w:cs="Times New Roman"/>
          <w:sz w:val="32"/>
          <w:szCs w:val="32"/>
          <w:lang w:val="en-US" w:eastAsia="zh-CN"/>
        </w:rPr>
        <w:t>（四）人口较为集中、相对独立的综合性商(农)贸市场、大型专业市场或商业步行街，根据该区域内固定商铺数量，每50户设置1个零售点，不足50户的可设置1个零售点。超过50户的，每满50户增设1个零售点，200户以上300户以下最多设置5个零售点，300户以上500户以下的最多设置7个零售点，500户以上的设置总数最多不超过10个零售点，且两个零售点间距不得低于30米。</w:t>
      </w:r>
    </w:p>
    <w:p w14:paraId="2B7A8FAF">
      <w:pPr>
        <w:spacing w:line="590" w:lineRule="exact"/>
        <w:rPr>
          <w:rFonts w:hint="eastAsia" w:ascii="黑体" w:hAnsi="黑体" w:eastAsia="黑体"/>
          <w:color w:val="auto"/>
          <w:sz w:val="32"/>
          <w:szCs w:val="32"/>
          <w:highlight w:val="none"/>
          <w:lang w:val="zh-CN"/>
        </w:rPr>
      </w:pPr>
    </w:p>
    <w:p w14:paraId="6EBD1303">
      <w:pPr>
        <w:spacing w:line="590" w:lineRule="exact"/>
        <w:rPr>
          <w:rFonts w:hint="eastAsia" w:ascii="黑体" w:hAnsi="黑体" w:eastAsia="黑体"/>
          <w:color w:val="auto"/>
          <w:sz w:val="32"/>
          <w:szCs w:val="32"/>
          <w:highlight w:val="none"/>
          <w:lang w:val="en-US" w:eastAsia="zh-CN"/>
        </w:rPr>
      </w:pPr>
      <w:r>
        <w:rPr>
          <w:rFonts w:hint="eastAsia" w:ascii="黑体" w:hAnsi="黑体" w:eastAsia="黑体"/>
          <w:color w:val="auto"/>
          <w:sz w:val="32"/>
          <w:szCs w:val="32"/>
          <w:highlight w:val="none"/>
          <w:lang w:val="zh-CN"/>
        </w:rPr>
        <w:t>附件</w:t>
      </w:r>
      <w:r>
        <w:rPr>
          <w:rFonts w:hint="eastAsia" w:ascii="黑体" w:hAnsi="黑体" w:eastAsia="黑体"/>
          <w:color w:val="auto"/>
          <w:sz w:val="32"/>
          <w:szCs w:val="32"/>
          <w:highlight w:val="none"/>
          <w:lang w:val="en-US" w:eastAsia="zh-CN"/>
        </w:rPr>
        <w:t>1</w:t>
      </w:r>
    </w:p>
    <w:p w14:paraId="0BC17082">
      <w:pPr>
        <w:spacing w:line="840" w:lineRule="exact"/>
        <w:jc w:val="center"/>
        <w:rPr>
          <w:rFonts w:hint="eastAsia" w:ascii="华文中宋" w:hAnsi="华文中宋" w:eastAsia="华文中宋" w:cs="华文中宋"/>
          <w:b w:val="0"/>
          <w:bCs w:val="0"/>
          <w:color w:val="000000" w:themeColor="text1"/>
          <w:sz w:val="36"/>
          <w:szCs w:val="36"/>
          <w:highlight w:val="none"/>
          <w:lang w:bidi="ug-CN"/>
          <w14:textFill>
            <w14:solidFill>
              <w14:schemeClr w14:val="tx1"/>
            </w14:solidFill>
          </w14:textFill>
        </w:rPr>
      </w:pPr>
      <w:r>
        <w:rPr>
          <w:rFonts w:hint="eastAsia" w:ascii="华文中宋" w:hAnsi="华文中宋" w:eastAsia="华文中宋" w:cs="华文中宋"/>
          <w:b w:val="0"/>
          <w:bCs w:val="0"/>
          <w:color w:val="000000" w:themeColor="text1"/>
          <w:sz w:val="36"/>
          <w:szCs w:val="36"/>
          <w:highlight w:val="none"/>
          <w:lang w:eastAsia="zh-CN" w:bidi="ug-CN"/>
          <w14:textFill>
            <w14:solidFill>
              <w14:schemeClr w14:val="tx1"/>
            </w14:solidFill>
          </w14:textFill>
        </w:rPr>
        <w:t>眉县</w:t>
      </w:r>
      <w:r>
        <w:rPr>
          <w:rFonts w:hint="eastAsia" w:ascii="华文中宋" w:hAnsi="华文中宋" w:eastAsia="华文中宋" w:cs="华文中宋"/>
          <w:b w:val="0"/>
          <w:bCs w:val="0"/>
          <w:color w:val="000000" w:themeColor="text1"/>
          <w:sz w:val="36"/>
          <w:szCs w:val="36"/>
          <w:highlight w:val="none"/>
          <w:lang w:val="en-US" w:eastAsia="zh-CN" w:bidi="ug-CN"/>
          <w14:textFill>
            <w14:solidFill>
              <w14:schemeClr w14:val="tx1"/>
            </w14:solidFill>
          </w14:textFill>
        </w:rPr>
        <w:t>烟草制品</w:t>
      </w:r>
      <w:r>
        <w:rPr>
          <w:rFonts w:hint="eastAsia" w:ascii="华文中宋" w:hAnsi="华文中宋" w:eastAsia="华文中宋" w:cs="华文中宋"/>
          <w:b w:val="0"/>
          <w:bCs w:val="0"/>
          <w:color w:val="000000" w:themeColor="text1"/>
          <w:sz w:val="36"/>
          <w:szCs w:val="36"/>
          <w:highlight w:val="none"/>
          <w:lang w:eastAsia="zh-CN" w:bidi="ug-CN"/>
          <w14:textFill>
            <w14:solidFill>
              <w14:schemeClr w14:val="tx1"/>
            </w14:solidFill>
          </w14:textFill>
        </w:rPr>
        <w:t>零售点</w:t>
      </w:r>
      <w:r>
        <w:rPr>
          <w:rFonts w:hint="eastAsia" w:ascii="华文中宋" w:hAnsi="华文中宋" w:eastAsia="华文中宋" w:cs="华文中宋"/>
          <w:b w:val="0"/>
          <w:bCs w:val="0"/>
          <w:color w:val="000000" w:themeColor="text1"/>
          <w:sz w:val="36"/>
          <w:szCs w:val="36"/>
          <w:highlight w:val="none"/>
          <w:lang w:bidi="ug-CN"/>
          <w14:textFill>
            <w14:solidFill>
              <w14:schemeClr w14:val="tx1"/>
            </w14:solidFill>
          </w14:textFill>
        </w:rPr>
        <w:t>现场测量标准</w:t>
      </w:r>
    </w:p>
    <w:p w14:paraId="4FD7D515">
      <w:pPr>
        <w:spacing w:line="560" w:lineRule="exact"/>
        <w:ind w:firstLine="640" w:firstLineChars="200"/>
        <w:rPr>
          <w:rFonts w:ascii="仿宋_GB2312" w:hAnsi="微软雅黑" w:eastAsia="仿宋_GB2312" w:cs="宋体"/>
          <w:color w:val="auto"/>
          <w:sz w:val="32"/>
          <w:szCs w:val="32"/>
          <w:highlight w:val="none"/>
          <w:lang w:bidi="ug-CN"/>
        </w:rPr>
      </w:pPr>
    </w:p>
    <w:p w14:paraId="348B9B29">
      <w:pPr>
        <w:spacing w:line="560" w:lineRule="exact"/>
        <w:ind w:firstLine="640" w:firstLineChars="200"/>
        <w:rPr>
          <w:rFonts w:ascii="仿宋_GB2312" w:hAnsi="黑体" w:eastAsia="仿宋_GB2312" w:cs="宋体"/>
          <w:color w:val="auto"/>
          <w:sz w:val="32"/>
          <w:szCs w:val="32"/>
          <w:highlight w:val="none"/>
          <w:lang w:bidi="ug-CN"/>
        </w:rPr>
      </w:pPr>
      <w:r>
        <w:rPr>
          <w:rFonts w:hint="eastAsia" w:ascii="仿宋_GB2312" w:hAnsi="微软雅黑" w:eastAsia="仿宋_GB2312" w:cs="宋体"/>
          <w:color w:val="auto"/>
          <w:sz w:val="32"/>
          <w:szCs w:val="32"/>
          <w:highlight w:val="none"/>
          <w:lang w:bidi="ug-CN"/>
        </w:rPr>
        <w:t>为统一、规范现场测量标准，确保</w:t>
      </w:r>
      <w:r>
        <w:rPr>
          <w:rFonts w:hint="eastAsia" w:ascii="仿宋_GB2312" w:hAnsi="微软雅黑" w:eastAsia="仿宋_GB2312" w:cs="宋体"/>
          <w:color w:val="auto"/>
          <w:sz w:val="32"/>
          <w:szCs w:val="32"/>
          <w:highlight w:val="none"/>
          <w:lang w:eastAsia="zh-CN" w:bidi="ug-CN"/>
        </w:rPr>
        <w:t>零售点</w:t>
      </w:r>
      <w:r>
        <w:rPr>
          <w:rFonts w:hint="eastAsia" w:ascii="仿宋_GB2312" w:hAnsi="微软雅黑" w:eastAsia="仿宋_GB2312" w:cs="宋体"/>
          <w:color w:val="auto"/>
          <w:sz w:val="32"/>
          <w:szCs w:val="32"/>
          <w:highlight w:val="none"/>
          <w:lang w:bidi="ug-CN"/>
        </w:rPr>
        <w:t>勘验公开、公平、公正，依据《</w:t>
      </w:r>
      <w:r>
        <w:rPr>
          <w:rFonts w:hint="eastAsia" w:ascii="仿宋_GB2312" w:hAnsi="微软雅黑" w:eastAsia="仿宋_GB2312" w:cs="宋体"/>
          <w:color w:val="auto"/>
          <w:sz w:val="32"/>
          <w:szCs w:val="32"/>
          <w:highlight w:val="none"/>
          <w:lang w:eastAsia="zh-CN" w:bidi="ug-CN"/>
        </w:rPr>
        <w:t>眉</w:t>
      </w:r>
      <w:r>
        <w:rPr>
          <w:rFonts w:hint="eastAsia" w:ascii="仿宋_GB2312" w:hAnsi="黑体" w:eastAsia="仿宋_GB2312" w:cs="宋体"/>
          <w:color w:val="auto"/>
          <w:sz w:val="32"/>
          <w:szCs w:val="32"/>
          <w:highlight w:val="none"/>
          <w:lang w:eastAsia="zh-CN" w:bidi="ug-CN"/>
        </w:rPr>
        <w:t>县</w:t>
      </w:r>
      <w:r>
        <w:rPr>
          <w:rFonts w:hint="eastAsia" w:ascii="仿宋_GB2312" w:hAnsi="黑体" w:eastAsia="仿宋_GB2312" w:cs="宋体"/>
          <w:color w:val="auto"/>
          <w:sz w:val="32"/>
          <w:szCs w:val="32"/>
          <w:highlight w:val="none"/>
          <w:lang w:val="en-US" w:eastAsia="zh-CN" w:bidi="ug-CN"/>
        </w:rPr>
        <w:t>烟草制品</w:t>
      </w:r>
      <w:r>
        <w:rPr>
          <w:rFonts w:hint="eastAsia" w:ascii="仿宋_GB2312" w:hAnsi="黑体" w:eastAsia="仿宋_GB2312" w:cs="宋体"/>
          <w:color w:val="auto"/>
          <w:sz w:val="32"/>
          <w:szCs w:val="32"/>
          <w:highlight w:val="none"/>
          <w:lang w:eastAsia="zh-CN" w:bidi="ug-CN"/>
        </w:rPr>
        <w:t>零售点</w:t>
      </w:r>
      <w:r>
        <w:rPr>
          <w:rFonts w:hint="eastAsia" w:ascii="仿宋_GB2312" w:hAnsi="黑体" w:eastAsia="仿宋_GB2312" w:cs="宋体"/>
          <w:color w:val="auto"/>
          <w:sz w:val="32"/>
          <w:szCs w:val="32"/>
          <w:highlight w:val="none"/>
          <w:lang w:bidi="ug-CN"/>
        </w:rPr>
        <w:t>合理布局规</w:t>
      </w:r>
      <w:r>
        <w:rPr>
          <w:rFonts w:hint="eastAsia" w:ascii="仿宋_GB2312" w:hAnsi="黑体" w:eastAsia="仿宋_GB2312" w:cs="宋体"/>
          <w:color w:val="auto"/>
          <w:sz w:val="32"/>
          <w:szCs w:val="32"/>
          <w:highlight w:val="none"/>
          <w:lang w:eastAsia="zh-CN" w:bidi="ug-CN"/>
        </w:rPr>
        <w:t>划</w:t>
      </w:r>
      <w:r>
        <w:rPr>
          <w:rFonts w:hint="eastAsia" w:ascii="仿宋_GB2312" w:hAnsi="黑体" w:eastAsia="仿宋_GB2312" w:cs="宋体"/>
          <w:color w:val="auto"/>
          <w:sz w:val="32"/>
          <w:szCs w:val="32"/>
          <w:highlight w:val="none"/>
          <w:lang w:bidi="ug-CN"/>
        </w:rPr>
        <w:t>》（以下简称《合理布局规定》），制定本标准。</w:t>
      </w:r>
    </w:p>
    <w:p w14:paraId="46715E35">
      <w:pPr>
        <w:spacing w:line="560" w:lineRule="exact"/>
        <w:ind w:firstLine="640" w:firstLineChars="200"/>
        <w:rPr>
          <w:rFonts w:ascii="仿宋_GB2312" w:hAnsi="黑体" w:eastAsia="仿宋_GB2312" w:cs="宋体"/>
          <w:color w:val="auto"/>
          <w:sz w:val="32"/>
          <w:szCs w:val="32"/>
          <w:highlight w:val="none"/>
          <w:lang w:bidi="ug-CN"/>
        </w:rPr>
      </w:pPr>
      <w:r>
        <w:rPr>
          <w:rFonts w:hint="eastAsia" w:ascii="仿宋_GB2312" w:hAnsi="黑体" w:eastAsia="仿宋_GB2312" w:cs="宋体"/>
          <w:color w:val="auto"/>
          <w:sz w:val="32"/>
          <w:szCs w:val="32"/>
          <w:highlight w:val="none"/>
          <w:lang w:bidi="ug-CN"/>
        </w:rPr>
        <w:t>第一条  本标准适用于</w:t>
      </w:r>
      <w:r>
        <w:rPr>
          <w:rFonts w:hint="eastAsia" w:ascii="仿宋_GB2312" w:hAnsi="黑体" w:eastAsia="仿宋_GB2312" w:cs="宋体"/>
          <w:color w:val="auto"/>
          <w:sz w:val="32"/>
          <w:szCs w:val="32"/>
          <w:highlight w:val="none"/>
          <w:lang w:eastAsia="zh-CN" w:bidi="ug-CN"/>
        </w:rPr>
        <w:t>眉县</w:t>
      </w:r>
      <w:r>
        <w:rPr>
          <w:rFonts w:hint="eastAsia" w:ascii="仿宋_GB2312" w:hAnsi="黑体" w:eastAsia="仿宋_GB2312" w:cs="宋体"/>
          <w:color w:val="auto"/>
          <w:sz w:val="32"/>
          <w:szCs w:val="32"/>
          <w:highlight w:val="none"/>
          <w:lang w:bidi="ug-CN"/>
        </w:rPr>
        <w:t>烟草专卖局对</w:t>
      </w:r>
      <w:r>
        <w:rPr>
          <w:rFonts w:hint="eastAsia" w:ascii="仿宋_GB2312" w:hAnsi="黑体" w:eastAsia="仿宋_GB2312" w:cs="宋体"/>
          <w:color w:val="auto"/>
          <w:sz w:val="32"/>
          <w:szCs w:val="32"/>
          <w:highlight w:val="none"/>
          <w:lang w:eastAsia="zh-CN" w:bidi="ug-CN"/>
        </w:rPr>
        <w:t>零售点</w:t>
      </w:r>
      <w:r>
        <w:rPr>
          <w:rFonts w:hint="eastAsia" w:ascii="仿宋_GB2312" w:hAnsi="黑体" w:eastAsia="仿宋_GB2312" w:cs="宋体"/>
          <w:color w:val="auto"/>
          <w:sz w:val="32"/>
          <w:szCs w:val="32"/>
          <w:highlight w:val="none"/>
          <w:lang w:bidi="ug-CN"/>
        </w:rPr>
        <w:t>布局的</w:t>
      </w:r>
      <w:r>
        <w:rPr>
          <w:rFonts w:hint="eastAsia" w:ascii="仿宋_GB2312" w:hAnsi="微软雅黑" w:eastAsia="仿宋_GB2312" w:cs="宋体"/>
          <w:color w:val="auto"/>
          <w:sz w:val="32"/>
          <w:szCs w:val="32"/>
          <w:highlight w:val="none"/>
          <w:lang w:bidi="ug-CN"/>
        </w:rPr>
        <w:t>现场测量工作。</w:t>
      </w:r>
    </w:p>
    <w:p w14:paraId="2361379A">
      <w:pPr>
        <w:spacing w:line="560" w:lineRule="exact"/>
        <w:ind w:firstLine="640" w:firstLineChars="200"/>
        <w:rPr>
          <w:rFonts w:ascii="仿宋_GB2312" w:hAnsi="微软雅黑" w:eastAsia="仿宋_GB2312" w:cs="宋体"/>
          <w:color w:val="auto"/>
          <w:sz w:val="32"/>
          <w:szCs w:val="32"/>
          <w:highlight w:val="none"/>
          <w:lang w:bidi="ug-CN"/>
        </w:rPr>
      </w:pPr>
      <w:r>
        <w:rPr>
          <w:rFonts w:hint="eastAsia" w:ascii="仿宋_GB2312" w:hAnsi="宋体" w:eastAsia="仿宋_GB2312" w:cs="宋体"/>
          <w:color w:val="auto"/>
          <w:kern w:val="0"/>
          <w:sz w:val="32"/>
          <w:szCs w:val="32"/>
          <w:highlight w:val="none"/>
          <w:lang w:bidi="ug-CN"/>
        </w:rPr>
        <w:t xml:space="preserve">第二条  </w:t>
      </w:r>
      <w:r>
        <w:rPr>
          <w:rFonts w:hint="eastAsia" w:ascii="仿宋_GB2312" w:hAnsi="黑体" w:eastAsia="仿宋_GB2312" w:cs="宋体"/>
          <w:color w:val="auto"/>
          <w:sz w:val="32"/>
          <w:szCs w:val="32"/>
          <w:highlight w:val="none"/>
          <w:lang w:eastAsia="zh-CN" w:bidi="ug-CN"/>
        </w:rPr>
        <w:t>零售点</w:t>
      </w:r>
      <w:r>
        <w:rPr>
          <w:rFonts w:hint="eastAsia" w:ascii="仿宋_GB2312" w:hAnsi="微软雅黑" w:eastAsia="仿宋_GB2312" w:cs="宋体"/>
          <w:color w:val="auto"/>
          <w:sz w:val="32"/>
          <w:szCs w:val="32"/>
          <w:highlight w:val="none"/>
          <w:lang w:bidi="ug-CN"/>
        </w:rPr>
        <w:t>现场测量主要是指间距距离的测量认定。</w:t>
      </w:r>
    </w:p>
    <w:p w14:paraId="113A00DE">
      <w:pPr>
        <w:spacing w:line="560" w:lineRule="exact"/>
        <w:ind w:firstLine="640" w:firstLineChars="200"/>
        <w:rPr>
          <w:rFonts w:ascii="仿宋_GB2312" w:hAnsi="宋体" w:eastAsia="仿宋_GB2312" w:cs="宋体"/>
          <w:color w:val="auto"/>
          <w:kern w:val="0"/>
          <w:sz w:val="32"/>
          <w:szCs w:val="32"/>
          <w:highlight w:val="none"/>
          <w:lang w:bidi="ug-CN"/>
        </w:rPr>
      </w:pPr>
      <w:r>
        <w:rPr>
          <w:rFonts w:hint="eastAsia" w:ascii="仿宋_GB2312" w:hAnsi="微软雅黑" w:eastAsia="仿宋_GB2312" w:cs="宋体"/>
          <w:color w:val="auto"/>
          <w:sz w:val="32"/>
          <w:szCs w:val="32"/>
          <w:highlight w:val="none"/>
          <w:lang w:bidi="ug-CN"/>
        </w:rPr>
        <w:t>第三条  间距距离测量，是指</w:t>
      </w:r>
      <w:r>
        <w:rPr>
          <w:rFonts w:hint="eastAsia" w:ascii="仿宋_GB2312" w:hAnsi="仿宋_GB2312" w:eastAsia="仿宋_GB2312" w:cs="仿宋_GB2312"/>
          <w:color w:val="auto"/>
          <w:sz w:val="32"/>
          <w:szCs w:val="32"/>
          <w:highlight w:val="none"/>
          <w:lang w:bidi="ug-CN"/>
        </w:rPr>
        <w:t>申请人的经营场所营业</w:t>
      </w:r>
      <w:r>
        <w:rPr>
          <w:rFonts w:ascii="仿宋_GB2312" w:hAnsi="仿宋_GB2312" w:eastAsia="仿宋_GB2312" w:cs="仿宋_GB2312"/>
          <w:color w:val="auto"/>
          <w:sz w:val="32"/>
          <w:szCs w:val="32"/>
          <w:highlight w:val="none"/>
          <w:lang w:bidi="ug-CN"/>
        </w:rPr>
        <w:t>大门</w:t>
      </w:r>
      <w:r>
        <w:rPr>
          <w:rFonts w:hint="eastAsia" w:ascii="仿宋_GB2312" w:hAnsi="仿宋_GB2312" w:eastAsia="仿宋_GB2312" w:cs="仿宋_GB2312"/>
          <w:color w:val="auto"/>
          <w:sz w:val="32"/>
          <w:szCs w:val="32"/>
          <w:highlight w:val="none"/>
          <w:lang w:eastAsia="zh-CN" w:bidi="ug-CN"/>
        </w:rPr>
        <w:t>边框</w:t>
      </w:r>
      <w:r>
        <w:rPr>
          <w:rFonts w:hint="eastAsia" w:ascii="仿宋_GB2312" w:hAnsi="仿宋_GB2312" w:eastAsia="仿宋_GB2312" w:cs="仿宋_GB2312"/>
          <w:color w:val="auto"/>
          <w:sz w:val="32"/>
          <w:szCs w:val="32"/>
          <w:highlight w:val="none"/>
          <w:lang w:bidi="ug-CN"/>
        </w:rPr>
        <w:t>与最近零售点的经营场所营业</w:t>
      </w:r>
      <w:r>
        <w:rPr>
          <w:rFonts w:ascii="仿宋_GB2312" w:hAnsi="仿宋_GB2312" w:eastAsia="仿宋_GB2312" w:cs="仿宋_GB2312"/>
          <w:color w:val="auto"/>
          <w:sz w:val="32"/>
          <w:szCs w:val="32"/>
          <w:highlight w:val="none"/>
          <w:lang w:bidi="ug-CN"/>
        </w:rPr>
        <w:t>大门</w:t>
      </w:r>
      <w:r>
        <w:rPr>
          <w:rFonts w:hint="eastAsia" w:ascii="仿宋_GB2312" w:hAnsi="仿宋_GB2312" w:eastAsia="仿宋_GB2312" w:cs="仿宋_GB2312"/>
          <w:color w:val="auto"/>
          <w:sz w:val="32"/>
          <w:szCs w:val="32"/>
          <w:highlight w:val="none"/>
          <w:lang w:eastAsia="zh-CN" w:bidi="ug-CN"/>
        </w:rPr>
        <w:t>边框最近</w:t>
      </w:r>
      <w:r>
        <w:rPr>
          <w:rFonts w:hint="eastAsia" w:ascii="仿宋_GB2312" w:hAnsi="宋体" w:eastAsia="仿宋_GB2312" w:cs="宋体"/>
          <w:color w:val="auto"/>
          <w:kern w:val="0"/>
          <w:sz w:val="32"/>
          <w:szCs w:val="32"/>
          <w:highlight w:val="none"/>
          <w:lang w:bidi="ug-CN"/>
        </w:rPr>
        <w:t>之间</w:t>
      </w:r>
      <w:r>
        <w:rPr>
          <w:rFonts w:hint="eastAsia" w:ascii="仿宋_GB2312" w:hAnsi="宋体" w:eastAsia="仿宋_GB2312" w:cs="宋体"/>
          <w:color w:val="auto"/>
          <w:kern w:val="0"/>
          <w:sz w:val="32"/>
          <w:szCs w:val="32"/>
          <w:highlight w:val="none"/>
          <w:lang w:eastAsia="zh-CN" w:bidi="ug-CN"/>
        </w:rPr>
        <w:t>合法的</w:t>
      </w:r>
      <w:r>
        <w:rPr>
          <w:rFonts w:hint="eastAsia" w:ascii="仿宋_GB2312" w:hAnsi="宋体" w:eastAsia="仿宋_GB2312" w:cs="宋体"/>
          <w:color w:val="auto"/>
          <w:kern w:val="0"/>
          <w:sz w:val="32"/>
          <w:szCs w:val="32"/>
          <w:highlight w:val="none"/>
          <w:lang w:bidi="ug-CN"/>
        </w:rPr>
        <w:t>行人可正常安全通行的无障碍最短距离。</w:t>
      </w:r>
    </w:p>
    <w:p w14:paraId="51D3A513">
      <w:pPr>
        <w:widowControl/>
        <w:shd w:val="clear" w:color="auto" w:fill="FFFFFF"/>
        <w:spacing w:line="560" w:lineRule="exact"/>
        <w:ind w:firstLine="640"/>
        <w:jc w:val="left"/>
        <w:rPr>
          <w:rFonts w:ascii="仿宋_GB2312" w:hAnsi="宋体" w:eastAsia="仿宋_GB2312" w:cs="宋体"/>
          <w:color w:val="auto"/>
          <w:kern w:val="0"/>
          <w:sz w:val="32"/>
          <w:szCs w:val="32"/>
          <w:highlight w:val="none"/>
          <w:lang w:bidi="ug-CN"/>
        </w:rPr>
      </w:pPr>
      <w:r>
        <w:rPr>
          <w:rFonts w:hint="eastAsia" w:ascii="仿宋_GB2312" w:hAnsi="黑体" w:eastAsia="仿宋_GB2312" w:cs="宋体"/>
          <w:color w:val="auto"/>
          <w:sz w:val="32"/>
          <w:szCs w:val="32"/>
          <w:highlight w:val="none"/>
          <w:lang w:bidi="ug-CN"/>
        </w:rPr>
        <w:t xml:space="preserve">第四条  </w:t>
      </w:r>
      <w:r>
        <w:rPr>
          <w:rFonts w:hint="eastAsia" w:ascii="仿宋_GB2312" w:hAnsi="微软雅黑" w:eastAsia="仿宋_GB2312" w:cs="宋体"/>
          <w:color w:val="auto"/>
          <w:sz w:val="32"/>
          <w:szCs w:val="32"/>
          <w:highlight w:val="none"/>
          <w:lang w:bidi="ug-CN"/>
        </w:rPr>
        <w:t>间距距离</w:t>
      </w:r>
      <w:r>
        <w:rPr>
          <w:rFonts w:hint="eastAsia" w:ascii="仿宋_GB2312" w:hAnsi="宋体" w:eastAsia="仿宋_GB2312" w:cs="宋体"/>
          <w:color w:val="auto"/>
          <w:kern w:val="0"/>
          <w:sz w:val="32"/>
          <w:szCs w:val="32"/>
          <w:highlight w:val="none"/>
          <w:lang w:bidi="ug-CN"/>
        </w:rPr>
        <w:t>使用测量工具进行测量，测量结果在零售点设置合格值正负2%范围以内，申请人或利害关系人提出复核的，由测量单位法制监督部门参与进行二次勘验，并制作现场勘验表和全程视频音频记录。</w:t>
      </w:r>
    </w:p>
    <w:p w14:paraId="530991D9">
      <w:pPr>
        <w:spacing w:line="560" w:lineRule="exact"/>
        <w:ind w:firstLine="640" w:firstLineChars="200"/>
        <w:rPr>
          <w:rFonts w:ascii="仿宋_GB2312" w:hAnsi="仿宋" w:eastAsia="仿宋_GB2312" w:cs="宋体"/>
          <w:color w:val="auto"/>
          <w:sz w:val="32"/>
          <w:szCs w:val="32"/>
          <w:highlight w:val="none"/>
          <w:lang w:bidi="ug-CN"/>
        </w:rPr>
      </w:pPr>
      <w:r>
        <w:rPr>
          <w:rFonts w:hint="eastAsia" w:ascii="仿宋_GB2312" w:hAnsi="宋体" w:eastAsia="仿宋_GB2312" w:cs="宋体"/>
          <w:color w:val="auto"/>
          <w:kern w:val="32"/>
          <w:sz w:val="32"/>
          <w:szCs w:val="32"/>
          <w:highlight w:val="none"/>
          <w:lang w:bidi="ug-CN"/>
        </w:rPr>
        <w:t xml:space="preserve">第五条  </w:t>
      </w:r>
      <w:r>
        <w:rPr>
          <w:rFonts w:hint="eastAsia" w:ascii="仿宋_GB2312" w:hAnsi="仿宋" w:eastAsia="仿宋_GB2312" w:cs="宋体"/>
          <w:color w:val="auto"/>
          <w:sz w:val="32"/>
          <w:szCs w:val="32"/>
          <w:highlight w:val="none"/>
          <w:lang w:bidi="ug-CN"/>
        </w:rPr>
        <w:t>政府有关部门在街道或道路中已经设置的行人隔离带（栏）、绿化带等视为障碍物，认定为不可正常</w:t>
      </w:r>
      <w:r>
        <w:rPr>
          <w:rFonts w:hint="eastAsia" w:ascii="仿宋_GB2312" w:hAnsi="宋体" w:eastAsia="仿宋_GB2312" w:cs="宋体"/>
          <w:color w:val="auto"/>
          <w:kern w:val="0"/>
          <w:sz w:val="32"/>
          <w:szCs w:val="32"/>
          <w:highlight w:val="none"/>
          <w:lang w:bidi="ug-CN"/>
        </w:rPr>
        <w:t>安全</w:t>
      </w:r>
      <w:r>
        <w:rPr>
          <w:rFonts w:hint="eastAsia" w:ascii="仿宋_GB2312" w:hAnsi="仿宋" w:eastAsia="仿宋_GB2312" w:cs="宋体"/>
          <w:color w:val="auto"/>
          <w:sz w:val="32"/>
          <w:szCs w:val="32"/>
          <w:highlight w:val="none"/>
          <w:lang w:bidi="ug-CN"/>
        </w:rPr>
        <w:t>通行。</w:t>
      </w:r>
    </w:p>
    <w:p w14:paraId="2B3BDA9C">
      <w:pPr>
        <w:spacing w:line="540" w:lineRule="exact"/>
        <w:ind w:firstLine="640" w:firstLineChars="200"/>
        <w:rPr>
          <w:rFonts w:ascii="仿宋_GB2312" w:hAnsi="黑体" w:eastAsia="仿宋_GB2312" w:cs="宋体"/>
          <w:color w:val="auto"/>
          <w:sz w:val="32"/>
          <w:szCs w:val="32"/>
          <w:highlight w:val="none"/>
          <w:lang w:bidi="ug-CN"/>
        </w:rPr>
      </w:pPr>
      <w:r>
        <w:rPr>
          <w:rFonts w:hint="eastAsia" w:ascii="仿宋_GB2312" w:hAnsi="宋体" w:eastAsia="仿宋_GB2312" w:cs="宋体"/>
          <w:caps/>
          <w:color w:val="auto"/>
          <w:sz w:val="32"/>
          <w:szCs w:val="32"/>
          <w:highlight w:val="none"/>
          <w:lang w:bidi="ug-CN"/>
        </w:rPr>
        <w:t>第六条  在</w:t>
      </w:r>
      <w:r>
        <w:rPr>
          <w:rFonts w:hint="eastAsia" w:ascii="仿宋_GB2312" w:hAnsi="黑体" w:eastAsia="仿宋_GB2312" w:cs="宋体"/>
          <w:color w:val="auto"/>
          <w:sz w:val="32"/>
          <w:szCs w:val="32"/>
          <w:highlight w:val="none"/>
          <w:lang w:bidi="ug-CN"/>
        </w:rPr>
        <w:t>通行道路上临时设置的安全设施，临时放置的建筑材料、物品，擅自设立、建造的建筑、物体，以及因阶段性施工影响通行等不视为障碍物。</w:t>
      </w:r>
    </w:p>
    <w:p w14:paraId="6FA130BA">
      <w:pPr>
        <w:spacing w:line="540" w:lineRule="exact"/>
        <w:ind w:firstLine="640" w:firstLineChars="200"/>
        <w:rPr>
          <w:rFonts w:hint="eastAsia" w:ascii="仿宋_GB2312" w:hAnsi="宋体" w:eastAsia="仿宋_GB2312" w:cs="宋体"/>
          <w:caps/>
          <w:color w:val="auto"/>
          <w:sz w:val="32"/>
          <w:szCs w:val="32"/>
          <w:highlight w:val="none"/>
          <w:lang w:bidi="ug-CN"/>
        </w:rPr>
      </w:pPr>
      <w:r>
        <w:rPr>
          <w:rFonts w:hint="eastAsia" w:ascii="仿宋_GB2312" w:hAnsi="宋体" w:eastAsia="仿宋_GB2312" w:cs="宋体"/>
          <w:caps/>
          <w:color w:val="auto"/>
          <w:sz w:val="32"/>
          <w:szCs w:val="32"/>
          <w:highlight w:val="none"/>
          <w:lang w:bidi="ug-CN"/>
        </w:rPr>
        <w:t>第七条  测量标准。</w:t>
      </w:r>
    </w:p>
    <w:p w14:paraId="7EDD66C1">
      <w:pPr>
        <w:spacing w:line="540" w:lineRule="exact"/>
        <w:ind w:firstLine="640" w:firstLineChars="200"/>
        <w:rPr>
          <w:rFonts w:hint="eastAsia" w:ascii="仿宋_GB2312" w:hAnsi="宋体" w:eastAsia="仿宋_GB2312" w:cs="宋体"/>
          <w:caps/>
          <w:color w:val="auto"/>
          <w:sz w:val="32"/>
          <w:szCs w:val="32"/>
          <w:highlight w:val="none"/>
          <w:lang w:bidi="ug-CN"/>
        </w:rPr>
      </w:pPr>
      <w:r>
        <w:rPr>
          <w:rFonts w:hint="eastAsia" w:ascii="仿宋_GB2312" w:hAnsi="宋体" w:eastAsia="仿宋_GB2312" w:cs="宋体"/>
          <w:caps/>
          <w:color w:val="auto"/>
          <w:sz w:val="32"/>
          <w:szCs w:val="32"/>
          <w:highlight w:val="none"/>
          <w:lang w:bidi="ug-CN"/>
        </w:rPr>
        <w:t>（一）申请人的经营场所与最近零售点的经营场所同侧无障碍物的,测量最短直线距离。（如图1所示）</w:t>
      </w:r>
    </w:p>
    <w:p w14:paraId="18254C5A">
      <w:pPr>
        <w:jc w:val="center"/>
        <w:rPr>
          <w:rFonts w:ascii="仿宋_GB2312" w:hAnsi="宋体" w:eastAsia="仿宋_GB2312" w:cs="宋体"/>
          <w:kern w:val="0"/>
          <w:szCs w:val="32"/>
        </w:rPr>
      </w:pPr>
      <w:r>
        <w:rPr>
          <w:rFonts w:ascii="仿宋_GB2312" w:hAnsi="宋体" w:eastAsia="仿宋_GB2312" w:cs="宋体"/>
          <w:kern w:val="0"/>
          <w:szCs w:val="32"/>
        </w:rPr>
        <w:drawing>
          <wp:inline distT="0" distB="0" distL="114300" distR="114300">
            <wp:extent cx="5257800" cy="2025650"/>
            <wp:effectExtent l="0" t="0" r="0" b="12700"/>
            <wp:docPr id="18" name="图片 7" descr="a4a1d4dd071fd70d362880324593a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descr="a4a1d4dd071fd70d362880324593a78"/>
                    <pic:cNvPicPr>
                      <a:picLocks noChangeAspect="1"/>
                    </pic:cNvPicPr>
                  </pic:nvPicPr>
                  <pic:blipFill>
                    <a:blip r:embed="rId4"/>
                    <a:stretch>
                      <a:fillRect/>
                    </a:stretch>
                  </pic:blipFill>
                  <pic:spPr>
                    <a:xfrm>
                      <a:off x="0" y="0"/>
                      <a:ext cx="5257800" cy="2025650"/>
                    </a:xfrm>
                    <a:prstGeom prst="rect">
                      <a:avLst/>
                    </a:prstGeom>
                    <a:noFill/>
                    <a:ln>
                      <a:noFill/>
                    </a:ln>
                  </pic:spPr>
                </pic:pic>
              </a:graphicData>
            </a:graphic>
          </wp:inline>
        </w:drawing>
      </w:r>
    </w:p>
    <w:p w14:paraId="66304E52">
      <w:pPr>
        <w:numPr>
          <w:ilvl w:val="0"/>
          <w:numId w:val="0"/>
        </w:numPr>
        <w:adjustRightInd w:val="0"/>
        <w:snapToGrid w:val="0"/>
        <w:spacing w:line="600" w:lineRule="exact"/>
        <w:ind w:firstLine="3520" w:firstLineChars="1100"/>
        <w:rPr>
          <w:rFonts w:hint="eastAsia" w:ascii="仿宋_GB2312" w:hAnsi="黑体" w:eastAsia="仿宋_GB2312" w:cs="宋体"/>
          <w:b w:val="0"/>
          <w:bCs w:val="0"/>
          <w:color w:val="auto"/>
          <w:sz w:val="32"/>
          <w:szCs w:val="32"/>
          <w:highlight w:val="none"/>
          <w:lang w:val="en-US" w:eastAsia="zh-CN" w:bidi="ug-CN"/>
        </w:rPr>
      </w:pPr>
      <w:r>
        <w:rPr>
          <w:rFonts w:hint="eastAsia" w:ascii="仿宋_GB2312" w:hAnsi="黑体" w:eastAsia="仿宋_GB2312" w:cs="宋体"/>
          <w:b w:val="0"/>
          <w:bCs w:val="0"/>
          <w:color w:val="auto"/>
          <w:sz w:val="32"/>
          <w:szCs w:val="32"/>
          <w:highlight w:val="none"/>
          <w:lang w:val="en-US" w:eastAsia="zh-CN" w:bidi="ug-CN"/>
        </w:rPr>
        <w:t>（图1）</w:t>
      </w:r>
    </w:p>
    <w:p w14:paraId="280EDE58">
      <w:pPr>
        <w:spacing w:line="540" w:lineRule="exact"/>
        <w:ind w:firstLine="640" w:firstLineChars="200"/>
        <w:rPr>
          <w:rFonts w:hint="eastAsia" w:ascii="仿宋_GB2312" w:hAnsi="宋体" w:eastAsia="仿宋_GB2312" w:cs="宋体"/>
          <w:caps/>
          <w:color w:val="auto"/>
          <w:sz w:val="32"/>
          <w:szCs w:val="32"/>
          <w:highlight w:val="none"/>
          <w:lang w:bidi="ug-CN"/>
        </w:rPr>
      </w:pPr>
      <w:r>
        <w:rPr>
          <w:rFonts w:hint="eastAsia" w:ascii="仿宋_GB2312" w:hAnsi="宋体" w:eastAsia="仿宋_GB2312" w:cs="宋体"/>
          <w:caps/>
          <w:color w:val="auto"/>
          <w:sz w:val="32"/>
          <w:szCs w:val="32"/>
          <w:highlight w:val="none"/>
          <w:lang w:bidi="ug-CN"/>
        </w:rPr>
        <w:t>（二）申请人的经营场所与最近零售点的经营场所同侧存在障碍物的，测量按直角分段绕过障碍物测量，分段距离之和即为申请人的经营场所与最近零售点的经营场所间的距离。（如图2所示）</w:t>
      </w:r>
    </w:p>
    <w:p w14:paraId="2F98DDDA">
      <w:pPr>
        <w:adjustRightInd w:val="0"/>
        <w:snapToGrid w:val="0"/>
        <w:jc w:val="center"/>
        <w:rPr>
          <w:rFonts w:ascii="方正小标宋简体" w:hAnsi="黑体" w:eastAsia="方正小标宋简体" w:cs="宋体"/>
          <w:szCs w:val="32"/>
          <w:lang w:bidi="ug-CN"/>
        </w:rPr>
      </w:pPr>
      <w:r>
        <w:rPr>
          <w:rFonts w:ascii="方正小标宋简体" w:hAnsi="黑体" w:eastAsia="方正小标宋简体" w:cs="宋体"/>
          <w:szCs w:val="32"/>
          <w:lang w:bidi="ug-CN"/>
        </w:rPr>
        <w:drawing>
          <wp:inline distT="0" distB="0" distL="114300" distR="114300">
            <wp:extent cx="5255260" cy="1898650"/>
            <wp:effectExtent l="0" t="0" r="2540" b="6350"/>
            <wp:docPr id="19" name="图片 8" descr="a10234677569395b1444565ea9f7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descr="a10234677569395b1444565ea9f700d"/>
                    <pic:cNvPicPr>
                      <a:picLocks noChangeAspect="1"/>
                    </pic:cNvPicPr>
                  </pic:nvPicPr>
                  <pic:blipFill>
                    <a:blip r:embed="rId5"/>
                    <a:stretch>
                      <a:fillRect/>
                    </a:stretch>
                  </pic:blipFill>
                  <pic:spPr>
                    <a:xfrm>
                      <a:off x="0" y="0"/>
                      <a:ext cx="5255260" cy="1898650"/>
                    </a:xfrm>
                    <a:prstGeom prst="rect">
                      <a:avLst/>
                    </a:prstGeom>
                    <a:noFill/>
                    <a:ln>
                      <a:noFill/>
                    </a:ln>
                  </pic:spPr>
                </pic:pic>
              </a:graphicData>
            </a:graphic>
          </wp:inline>
        </w:drawing>
      </w:r>
    </w:p>
    <w:p w14:paraId="2A5B3E4C">
      <w:pPr>
        <w:numPr>
          <w:ilvl w:val="0"/>
          <w:numId w:val="0"/>
        </w:numPr>
        <w:adjustRightInd w:val="0"/>
        <w:snapToGrid w:val="0"/>
        <w:spacing w:line="600" w:lineRule="exact"/>
        <w:ind w:firstLine="3520" w:firstLineChars="1100"/>
        <w:rPr>
          <w:rFonts w:hint="eastAsia" w:ascii="仿宋_GB2312" w:hAnsi="黑体" w:eastAsia="仿宋_GB2312" w:cs="宋体"/>
          <w:b w:val="0"/>
          <w:bCs w:val="0"/>
          <w:color w:val="auto"/>
          <w:sz w:val="32"/>
          <w:szCs w:val="32"/>
          <w:highlight w:val="none"/>
          <w:lang w:val="en-US" w:eastAsia="zh-CN" w:bidi="ug-CN"/>
        </w:rPr>
      </w:pPr>
      <w:r>
        <w:rPr>
          <w:rFonts w:hint="eastAsia" w:ascii="仿宋_GB2312" w:hAnsi="黑体" w:eastAsia="仿宋_GB2312" w:cs="宋体"/>
          <w:b w:val="0"/>
          <w:bCs w:val="0"/>
          <w:color w:val="auto"/>
          <w:sz w:val="32"/>
          <w:szCs w:val="32"/>
          <w:highlight w:val="none"/>
          <w:lang w:val="en-US" w:eastAsia="zh-CN" w:bidi="ug-CN"/>
        </w:rPr>
        <w:t>（图2）</w:t>
      </w:r>
    </w:p>
    <w:p w14:paraId="1F95ABBC">
      <w:pPr>
        <w:spacing w:line="540" w:lineRule="exact"/>
        <w:ind w:firstLine="640" w:firstLineChars="200"/>
        <w:rPr>
          <w:rFonts w:hint="eastAsia" w:ascii="仿宋_GB2312" w:hAnsi="宋体" w:eastAsia="仿宋_GB2312" w:cs="宋体"/>
          <w:caps/>
          <w:color w:val="auto"/>
          <w:sz w:val="32"/>
          <w:szCs w:val="32"/>
          <w:highlight w:val="none"/>
          <w:lang w:bidi="ug-CN"/>
        </w:rPr>
      </w:pPr>
      <w:r>
        <w:rPr>
          <w:rFonts w:hint="eastAsia" w:ascii="仿宋_GB2312" w:hAnsi="宋体" w:eastAsia="仿宋_GB2312" w:cs="宋体"/>
          <w:caps/>
          <w:color w:val="auto"/>
          <w:sz w:val="32"/>
          <w:szCs w:val="32"/>
          <w:highlight w:val="none"/>
          <w:lang w:bidi="ug-CN"/>
        </w:rPr>
        <w:t xml:space="preserve">（三）申请人的经营场所与最近零售点的经营场所异侧无障碍物的,测量按直角分段测量，分段距离之和即为申请人的经营场所与最近零售点的经营场所的距离。（如图3所示）  </w:t>
      </w:r>
    </w:p>
    <w:p w14:paraId="13149D47">
      <w:pPr>
        <w:adjustRightInd w:val="0"/>
        <w:snapToGrid w:val="0"/>
        <w:jc w:val="center"/>
        <w:rPr>
          <w:rFonts w:ascii="方正小标宋简体" w:hAnsi="黑体" w:eastAsia="方正小标宋简体" w:cs="宋体"/>
          <w:szCs w:val="21"/>
          <w:lang w:bidi="ug-CN"/>
        </w:rPr>
      </w:pPr>
      <w:r>
        <w:rPr>
          <w:rFonts w:ascii="方正小标宋简体" w:hAnsi="黑体" w:eastAsia="方正小标宋简体" w:cs="宋体"/>
          <w:szCs w:val="21"/>
          <w:lang w:bidi="ug-CN"/>
        </w:rPr>
        <w:drawing>
          <wp:inline distT="0" distB="0" distL="114300" distR="114300">
            <wp:extent cx="5257800" cy="2633345"/>
            <wp:effectExtent l="0" t="0" r="0" b="14605"/>
            <wp:docPr id="20" name="图片 9" descr="95093f88d308a53b7cbcf0aa8b25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descr="95093f88d308a53b7cbcf0aa8b25898"/>
                    <pic:cNvPicPr>
                      <a:picLocks noChangeAspect="1"/>
                    </pic:cNvPicPr>
                  </pic:nvPicPr>
                  <pic:blipFill>
                    <a:blip r:embed="rId6"/>
                    <a:stretch>
                      <a:fillRect/>
                    </a:stretch>
                  </pic:blipFill>
                  <pic:spPr>
                    <a:xfrm>
                      <a:off x="0" y="0"/>
                      <a:ext cx="5257800" cy="2633345"/>
                    </a:xfrm>
                    <a:prstGeom prst="rect">
                      <a:avLst/>
                    </a:prstGeom>
                    <a:noFill/>
                    <a:ln>
                      <a:noFill/>
                    </a:ln>
                  </pic:spPr>
                </pic:pic>
              </a:graphicData>
            </a:graphic>
          </wp:inline>
        </w:drawing>
      </w:r>
      <w:r>
        <w:rPr>
          <w:rFonts w:hint="eastAsia" w:ascii="方正小标宋简体" w:hAnsi="黑体" w:eastAsia="方正小标宋简体" w:cs="宋体"/>
          <w:szCs w:val="21"/>
          <w:lang w:bidi="ug-CN"/>
        </w:rPr>
        <w:t xml:space="preserve"> </w:t>
      </w:r>
    </w:p>
    <w:p w14:paraId="381A6B69">
      <w:pPr>
        <w:numPr>
          <w:ilvl w:val="0"/>
          <w:numId w:val="0"/>
        </w:numPr>
        <w:adjustRightInd w:val="0"/>
        <w:snapToGrid w:val="0"/>
        <w:spacing w:line="600" w:lineRule="exact"/>
        <w:ind w:firstLine="3520" w:firstLineChars="1100"/>
        <w:rPr>
          <w:rFonts w:hint="eastAsia" w:ascii="仿宋_GB2312" w:hAnsi="黑体" w:eastAsia="仿宋_GB2312" w:cs="宋体"/>
          <w:b w:val="0"/>
          <w:bCs w:val="0"/>
          <w:color w:val="auto"/>
          <w:sz w:val="32"/>
          <w:szCs w:val="32"/>
          <w:highlight w:val="none"/>
          <w:lang w:val="en-US" w:eastAsia="zh-CN" w:bidi="ug-CN"/>
        </w:rPr>
      </w:pPr>
      <w:r>
        <w:rPr>
          <w:rFonts w:hint="eastAsia" w:ascii="仿宋_GB2312" w:hAnsi="黑体" w:eastAsia="仿宋_GB2312" w:cs="宋体"/>
          <w:b w:val="0"/>
          <w:bCs w:val="0"/>
          <w:color w:val="auto"/>
          <w:sz w:val="32"/>
          <w:szCs w:val="32"/>
          <w:highlight w:val="none"/>
          <w:lang w:val="en-US" w:eastAsia="zh-CN" w:bidi="ug-CN"/>
        </w:rPr>
        <w:t>（图3）</w:t>
      </w:r>
    </w:p>
    <w:p w14:paraId="285763C0">
      <w:pPr>
        <w:spacing w:line="540" w:lineRule="exact"/>
        <w:ind w:firstLine="640" w:firstLineChars="200"/>
        <w:rPr>
          <w:rFonts w:hint="eastAsia" w:ascii="仿宋_GB2312" w:hAnsi="宋体" w:eastAsia="仿宋_GB2312" w:cs="宋体"/>
          <w:caps/>
          <w:color w:val="auto"/>
          <w:sz w:val="32"/>
          <w:szCs w:val="32"/>
          <w:highlight w:val="none"/>
          <w:lang w:bidi="ug-CN"/>
        </w:rPr>
      </w:pPr>
      <w:r>
        <w:rPr>
          <w:rFonts w:hint="eastAsia" w:ascii="仿宋_GB2312" w:hAnsi="宋体" w:eastAsia="仿宋_GB2312" w:cs="宋体"/>
          <w:caps/>
          <w:color w:val="auto"/>
          <w:sz w:val="32"/>
          <w:szCs w:val="32"/>
          <w:highlight w:val="none"/>
          <w:lang w:bidi="ug-CN"/>
        </w:rPr>
        <w:t>（四）申请人的经营场所与最近零售点的经营场所异侧存在障碍物的，测量按直角分段绕过障碍物测量，分段距离之和即为申请人的经营场所与最近零售点的经营场所间的距离。（如图4所示）</w:t>
      </w:r>
    </w:p>
    <w:p w14:paraId="4B102EB3">
      <w:pPr>
        <w:adjustRightInd w:val="0"/>
        <w:snapToGrid w:val="0"/>
        <w:jc w:val="center"/>
        <w:rPr>
          <w:rFonts w:ascii="仿宋_GB2312" w:hAnsi="仿宋" w:eastAsia="仿宋_GB2312" w:cs="宋体"/>
          <w:szCs w:val="32"/>
          <w:lang w:bidi="ug-CN"/>
        </w:rPr>
      </w:pPr>
      <w:r>
        <w:rPr>
          <w:rFonts w:ascii="仿宋_GB2312" w:hAnsi="仿宋" w:eastAsia="仿宋_GB2312" w:cs="宋体"/>
          <w:szCs w:val="32"/>
          <w:lang w:bidi="ug-CN"/>
        </w:rPr>
        <w:drawing>
          <wp:inline distT="0" distB="0" distL="114300" distR="114300">
            <wp:extent cx="5216525" cy="2541905"/>
            <wp:effectExtent l="0" t="0" r="3175" b="10795"/>
            <wp:docPr id="21" name="图片 10" descr="dd78379a879eff09d01d29da191c6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descr="dd78379a879eff09d01d29da191c60a"/>
                    <pic:cNvPicPr>
                      <a:picLocks noChangeAspect="1"/>
                    </pic:cNvPicPr>
                  </pic:nvPicPr>
                  <pic:blipFill>
                    <a:blip r:embed="rId7"/>
                    <a:stretch>
                      <a:fillRect/>
                    </a:stretch>
                  </pic:blipFill>
                  <pic:spPr>
                    <a:xfrm>
                      <a:off x="0" y="0"/>
                      <a:ext cx="5216525" cy="2541905"/>
                    </a:xfrm>
                    <a:prstGeom prst="rect">
                      <a:avLst/>
                    </a:prstGeom>
                    <a:noFill/>
                    <a:ln>
                      <a:noFill/>
                    </a:ln>
                  </pic:spPr>
                </pic:pic>
              </a:graphicData>
            </a:graphic>
          </wp:inline>
        </w:drawing>
      </w:r>
      <w:r>
        <w:rPr>
          <w:rFonts w:hint="eastAsia" w:ascii="仿宋_GB2312" w:hAnsi="仿宋" w:eastAsia="仿宋_GB2312" w:cs="宋体"/>
          <w:szCs w:val="32"/>
          <w:lang w:bidi="ug-CN"/>
        </w:rPr>
        <w:t xml:space="preserve"> </w:t>
      </w:r>
    </w:p>
    <w:p w14:paraId="5E7CA19B">
      <w:pPr>
        <w:numPr>
          <w:ilvl w:val="0"/>
          <w:numId w:val="0"/>
        </w:numPr>
        <w:adjustRightInd w:val="0"/>
        <w:snapToGrid w:val="0"/>
        <w:spacing w:line="600" w:lineRule="exact"/>
        <w:ind w:firstLine="3520" w:firstLineChars="1100"/>
        <w:rPr>
          <w:rFonts w:hint="eastAsia" w:ascii="仿宋_GB2312" w:hAnsi="黑体" w:eastAsia="仿宋_GB2312" w:cs="宋体"/>
          <w:b w:val="0"/>
          <w:bCs w:val="0"/>
          <w:color w:val="auto"/>
          <w:sz w:val="32"/>
          <w:szCs w:val="32"/>
          <w:highlight w:val="none"/>
          <w:lang w:val="en-US" w:eastAsia="zh-CN" w:bidi="ug-CN"/>
        </w:rPr>
      </w:pPr>
      <w:r>
        <w:rPr>
          <w:rFonts w:hint="eastAsia" w:ascii="仿宋_GB2312" w:hAnsi="黑体" w:eastAsia="仿宋_GB2312" w:cs="宋体"/>
          <w:b w:val="0"/>
          <w:bCs w:val="0"/>
          <w:color w:val="auto"/>
          <w:sz w:val="32"/>
          <w:szCs w:val="32"/>
          <w:highlight w:val="none"/>
          <w:lang w:val="en-US" w:eastAsia="zh-CN" w:bidi="ug-CN"/>
        </w:rPr>
        <w:t>（图4）</w:t>
      </w:r>
    </w:p>
    <w:p w14:paraId="53503803">
      <w:pPr>
        <w:spacing w:line="540" w:lineRule="exact"/>
        <w:ind w:firstLine="640" w:firstLineChars="200"/>
        <w:rPr>
          <w:rFonts w:hint="eastAsia" w:ascii="仿宋_GB2312" w:hAnsi="宋体" w:eastAsia="仿宋_GB2312" w:cs="宋体"/>
          <w:caps/>
          <w:color w:val="auto"/>
          <w:sz w:val="32"/>
          <w:szCs w:val="32"/>
          <w:highlight w:val="none"/>
          <w:lang w:bidi="ug-CN"/>
        </w:rPr>
      </w:pPr>
      <w:r>
        <w:rPr>
          <w:rFonts w:hint="eastAsia" w:ascii="仿宋_GB2312" w:hAnsi="宋体" w:eastAsia="仿宋_GB2312" w:cs="宋体"/>
          <w:caps/>
          <w:color w:val="auto"/>
          <w:sz w:val="32"/>
          <w:szCs w:val="32"/>
          <w:highlight w:val="none"/>
          <w:lang w:bidi="ug-CN"/>
        </w:rPr>
        <w:t>（五）申请人的经营场所与最近零售点的经营场所之间道路存在有转角的，按直角分段测量最短距离。（如图5所示）</w:t>
      </w:r>
    </w:p>
    <w:p w14:paraId="2215DC12">
      <w:pPr>
        <w:adjustRightInd w:val="0"/>
        <w:snapToGrid w:val="0"/>
        <w:ind w:firstLine="464" w:firstLineChars="221"/>
        <w:jc w:val="center"/>
        <w:rPr>
          <w:rFonts w:ascii="方正小标宋简体" w:hAnsi="黑体" w:eastAsia="方正小标宋简体" w:cs="宋体"/>
          <w:szCs w:val="32"/>
        </w:rPr>
      </w:pPr>
      <w:r>
        <w:rPr>
          <w:rFonts w:ascii="方正小标宋简体" w:hAnsi="黑体" w:eastAsia="方正小标宋简体" w:cs="宋体"/>
          <w:szCs w:val="32"/>
        </w:rPr>
        <w:drawing>
          <wp:inline distT="0" distB="0" distL="114300" distR="114300">
            <wp:extent cx="4981575" cy="3550920"/>
            <wp:effectExtent l="0" t="0" r="9525" b="11430"/>
            <wp:docPr id="22" name="图片 11" descr="ed8a6ec6b6efd4edc83e191d2ec4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descr="ed8a6ec6b6efd4edc83e191d2ec4415"/>
                    <pic:cNvPicPr>
                      <a:picLocks noChangeAspect="1"/>
                    </pic:cNvPicPr>
                  </pic:nvPicPr>
                  <pic:blipFill>
                    <a:blip r:embed="rId8"/>
                    <a:stretch>
                      <a:fillRect/>
                    </a:stretch>
                  </pic:blipFill>
                  <pic:spPr>
                    <a:xfrm>
                      <a:off x="0" y="0"/>
                      <a:ext cx="4981575" cy="3550920"/>
                    </a:xfrm>
                    <a:prstGeom prst="rect">
                      <a:avLst/>
                    </a:prstGeom>
                    <a:noFill/>
                    <a:ln>
                      <a:noFill/>
                    </a:ln>
                  </pic:spPr>
                </pic:pic>
              </a:graphicData>
            </a:graphic>
          </wp:inline>
        </w:drawing>
      </w:r>
    </w:p>
    <w:p w14:paraId="62D953D7">
      <w:pPr>
        <w:numPr>
          <w:ilvl w:val="0"/>
          <w:numId w:val="0"/>
        </w:numPr>
        <w:adjustRightInd w:val="0"/>
        <w:snapToGrid w:val="0"/>
        <w:spacing w:line="600" w:lineRule="exact"/>
        <w:ind w:firstLine="3520" w:firstLineChars="1100"/>
        <w:rPr>
          <w:rFonts w:hint="eastAsia" w:ascii="仿宋_GB2312" w:hAnsi="黑体" w:eastAsia="仿宋_GB2312" w:cs="宋体"/>
          <w:b w:val="0"/>
          <w:bCs w:val="0"/>
          <w:color w:val="auto"/>
          <w:sz w:val="32"/>
          <w:szCs w:val="32"/>
          <w:highlight w:val="none"/>
          <w:lang w:val="en-US" w:eastAsia="zh-CN" w:bidi="ug-CN"/>
        </w:rPr>
      </w:pPr>
      <w:r>
        <w:rPr>
          <w:rFonts w:hint="eastAsia" w:ascii="仿宋_GB2312" w:hAnsi="黑体" w:eastAsia="仿宋_GB2312" w:cs="宋体"/>
          <w:b w:val="0"/>
          <w:bCs w:val="0"/>
          <w:color w:val="auto"/>
          <w:sz w:val="32"/>
          <w:szCs w:val="32"/>
          <w:highlight w:val="none"/>
          <w:lang w:val="en-US" w:eastAsia="zh-CN" w:bidi="ug-CN"/>
        </w:rPr>
        <w:t>（图5）</w:t>
      </w:r>
    </w:p>
    <w:p w14:paraId="6D7700AE">
      <w:pPr>
        <w:spacing w:line="540" w:lineRule="exact"/>
        <w:ind w:firstLine="640" w:firstLineChars="200"/>
        <w:rPr>
          <w:rFonts w:hint="eastAsia" w:ascii="仿宋_GB2312" w:hAnsi="宋体" w:eastAsia="仿宋_GB2312" w:cs="宋体"/>
          <w:caps/>
          <w:color w:val="auto"/>
          <w:sz w:val="32"/>
          <w:szCs w:val="32"/>
          <w:highlight w:val="none"/>
          <w:lang w:bidi="ug-CN"/>
        </w:rPr>
      </w:pPr>
      <w:r>
        <w:rPr>
          <w:rFonts w:hint="eastAsia" w:ascii="仿宋_GB2312" w:hAnsi="宋体" w:eastAsia="仿宋_GB2312" w:cs="宋体"/>
          <w:caps/>
          <w:color w:val="auto"/>
          <w:sz w:val="32"/>
          <w:szCs w:val="32"/>
          <w:highlight w:val="none"/>
          <w:lang w:bidi="ug-CN"/>
        </w:rPr>
        <w:t>（六）申请人的经营场所与最近零售点的经营场所之间有台阶、楼梯的，以其平面坡长进行测量（如图6所示）；有电梯的，以层高进行测量；楼梯与电梯并存的，以最短距离的为准。</w:t>
      </w:r>
    </w:p>
    <w:p w14:paraId="7C869D99">
      <w:pPr>
        <w:adjustRightInd w:val="0"/>
        <w:snapToGrid w:val="0"/>
        <w:jc w:val="center"/>
        <w:rPr>
          <w:rFonts w:ascii="仿宋_GB2312" w:hAnsi="黑体" w:eastAsia="仿宋_GB2312" w:cs="宋体"/>
          <w:szCs w:val="32"/>
          <w:lang w:bidi="ug-CN"/>
        </w:rPr>
      </w:pPr>
      <w:r>
        <w:rPr>
          <w:rFonts w:ascii="仿宋_GB2312" w:hAnsi="黑体" w:eastAsia="仿宋_GB2312" w:cs="宋体"/>
          <w:szCs w:val="32"/>
        </w:rPr>
        <w:drawing>
          <wp:inline distT="0" distB="0" distL="114300" distR="114300">
            <wp:extent cx="4681855" cy="2112010"/>
            <wp:effectExtent l="0" t="0" r="4445" b="2540"/>
            <wp:docPr id="23" name="图片 12" descr="8746ca3c29c4409ceed41e0fc329b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2" descr="8746ca3c29c4409ceed41e0fc329b28"/>
                    <pic:cNvPicPr>
                      <a:picLocks noChangeAspect="1"/>
                    </pic:cNvPicPr>
                  </pic:nvPicPr>
                  <pic:blipFill>
                    <a:blip r:embed="rId9"/>
                    <a:stretch>
                      <a:fillRect/>
                    </a:stretch>
                  </pic:blipFill>
                  <pic:spPr>
                    <a:xfrm>
                      <a:off x="0" y="0"/>
                      <a:ext cx="4681855" cy="2112010"/>
                    </a:xfrm>
                    <a:prstGeom prst="rect">
                      <a:avLst/>
                    </a:prstGeom>
                    <a:noFill/>
                    <a:ln>
                      <a:noFill/>
                    </a:ln>
                  </pic:spPr>
                </pic:pic>
              </a:graphicData>
            </a:graphic>
          </wp:inline>
        </w:drawing>
      </w:r>
    </w:p>
    <w:p w14:paraId="24A88D2A">
      <w:pPr>
        <w:numPr>
          <w:ilvl w:val="0"/>
          <w:numId w:val="0"/>
        </w:numPr>
        <w:adjustRightInd w:val="0"/>
        <w:snapToGrid w:val="0"/>
        <w:spacing w:line="600" w:lineRule="exact"/>
        <w:ind w:firstLine="3520" w:firstLineChars="1100"/>
        <w:rPr>
          <w:rFonts w:ascii="仿宋_GB2312" w:hAnsi="黑体" w:eastAsia="仿宋_GB2312" w:cs="宋体"/>
          <w:color w:val="auto"/>
          <w:sz w:val="32"/>
          <w:szCs w:val="32"/>
          <w:highlight w:val="none"/>
          <w:lang w:bidi="ug-CN"/>
        </w:rPr>
      </w:pPr>
      <w:r>
        <w:rPr>
          <w:rFonts w:hint="eastAsia" w:ascii="仿宋_GB2312" w:hAnsi="黑体" w:eastAsia="仿宋_GB2312" w:cs="宋体"/>
          <w:b w:val="0"/>
          <w:bCs w:val="0"/>
          <w:color w:val="auto"/>
          <w:sz w:val="32"/>
          <w:szCs w:val="32"/>
          <w:highlight w:val="none"/>
          <w:lang w:val="en-US" w:eastAsia="zh-CN" w:bidi="ug-CN"/>
        </w:rPr>
        <w:t>（图6）</w:t>
      </w:r>
    </w:p>
    <w:p w14:paraId="580A484F">
      <w:pPr>
        <w:numPr>
          <w:ilvl w:val="0"/>
          <w:numId w:val="0"/>
        </w:numPr>
        <w:adjustRightInd w:val="0"/>
        <w:snapToGrid w:val="0"/>
        <w:spacing w:line="600" w:lineRule="exact"/>
        <w:ind w:firstLine="640" w:firstLineChars="200"/>
        <w:rPr>
          <w:rFonts w:hint="eastAsia" w:ascii="仿宋_GB2312" w:hAnsi="黑体" w:eastAsia="仿宋_GB2312" w:cs="宋体"/>
          <w:color w:val="auto"/>
          <w:sz w:val="32"/>
          <w:szCs w:val="32"/>
          <w:highlight w:val="none"/>
          <w:lang w:bidi="ug-CN"/>
        </w:rPr>
      </w:pPr>
      <w:r>
        <w:rPr>
          <w:rFonts w:hint="eastAsia" w:ascii="仿宋_GB2312" w:hAnsi="宋体" w:eastAsia="仿宋_GB2312" w:cs="宋体"/>
          <w:caps/>
          <w:color w:val="auto"/>
          <w:sz w:val="32"/>
          <w:szCs w:val="32"/>
          <w:highlight w:val="none"/>
          <w:lang w:bidi="ug-CN"/>
        </w:rPr>
        <w:t>（</w:t>
      </w:r>
      <w:r>
        <w:rPr>
          <w:rFonts w:hint="eastAsia" w:ascii="仿宋_GB2312" w:hAnsi="宋体" w:eastAsia="仿宋_GB2312" w:cs="宋体"/>
          <w:caps/>
          <w:color w:val="auto"/>
          <w:sz w:val="32"/>
          <w:szCs w:val="32"/>
          <w:highlight w:val="none"/>
          <w:lang w:eastAsia="zh-CN" w:bidi="ug-CN"/>
        </w:rPr>
        <w:t>七</w:t>
      </w:r>
      <w:r>
        <w:rPr>
          <w:rFonts w:hint="eastAsia" w:ascii="仿宋_GB2312" w:hAnsi="宋体" w:eastAsia="仿宋_GB2312" w:cs="宋体"/>
          <w:caps/>
          <w:color w:val="auto"/>
          <w:sz w:val="32"/>
          <w:szCs w:val="32"/>
          <w:highlight w:val="none"/>
          <w:lang w:bidi="ug-CN"/>
        </w:rPr>
        <w:t>）</w:t>
      </w:r>
      <w:r>
        <w:rPr>
          <w:rFonts w:hint="eastAsia" w:ascii="仿宋_GB2312" w:hAnsi="仿宋" w:eastAsia="仿宋_GB2312" w:cs="宋体"/>
          <w:color w:val="auto"/>
          <w:sz w:val="32"/>
          <w:szCs w:val="32"/>
          <w:highlight w:val="none"/>
          <w:lang w:bidi="ug-CN"/>
        </w:rPr>
        <w:t>以中学、小学、</w:t>
      </w:r>
      <w:r>
        <w:rPr>
          <w:rFonts w:hint="eastAsia" w:ascii="仿宋_GB2312" w:hAnsi="黑体" w:eastAsia="仿宋_GB2312" w:cs="宋体"/>
          <w:color w:val="auto"/>
          <w:sz w:val="32"/>
          <w:szCs w:val="32"/>
          <w:highlight w:val="none"/>
          <w:lang w:bidi="ug-CN"/>
        </w:rPr>
        <w:t>幼儿园进出口</w:t>
      </w:r>
      <w:r>
        <w:rPr>
          <w:rFonts w:hint="eastAsia" w:ascii="仿宋_GB2312" w:hAnsi="宋体" w:eastAsia="仿宋_GB2312" w:cs="宋体"/>
          <w:color w:val="auto"/>
          <w:kern w:val="32"/>
          <w:sz w:val="32"/>
          <w:szCs w:val="32"/>
          <w:highlight w:val="none"/>
          <w:lang w:bidi="ug-CN"/>
        </w:rPr>
        <w:t>通道</w:t>
      </w:r>
      <w:r>
        <w:rPr>
          <w:rFonts w:hint="eastAsia" w:ascii="仿宋_GB2312" w:hAnsi="宋体" w:eastAsia="仿宋_GB2312" w:cs="宋体"/>
          <w:color w:val="auto"/>
          <w:kern w:val="32"/>
          <w:sz w:val="32"/>
          <w:szCs w:val="32"/>
          <w:highlight w:val="none"/>
          <w:lang w:eastAsia="zh-CN" w:bidi="ug-CN"/>
        </w:rPr>
        <w:t>（含消防通道）</w:t>
      </w:r>
      <w:r>
        <w:rPr>
          <w:rFonts w:hint="eastAsia" w:ascii="仿宋_GB2312" w:hAnsi="宋体" w:eastAsia="仿宋_GB2312" w:cs="宋体"/>
          <w:color w:val="auto"/>
          <w:kern w:val="32"/>
          <w:sz w:val="32"/>
          <w:szCs w:val="32"/>
          <w:highlight w:val="none"/>
          <w:lang w:bidi="ug-CN"/>
        </w:rPr>
        <w:t>为</w:t>
      </w:r>
      <w:r>
        <w:rPr>
          <w:rFonts w:hint="eastAsia" w:ascii="仿宋_GB2312" w:hAnsi="黑体" w:eastAsia="仿宋_GB2312" w:cs="宋体"/>
          <w:color w:val="auto"/>
          <w:sz w:val="32"/>
          <w:szCs w:val="32"/>
          <w:highlight w:val="none"/>
          <w:lang w:bidi="ug-CN"/>
        </w:rPr>
        <w:t>参照点的,参照上述方式进行测量。</w:t>
      </w:r>
    </w:p>
    <w:p w14:paraId="494DA836">
      <w:pPr>
        <w:numPr>
          <w:ilvl w:val="0"/>
          <w:numId w:val="0"/>
        </w:numPr>
        <w:adjustRightInd w:val="0"/>
        <w:snapToGrid w:val="0"/>
        <w:spacing w:line="600" w:lineRule="exact"/>
        <w:rPr>
          <w:rFonts w:hint="default" w:ascii="仿宋_GB2312" w:hAnsi="黑体" w:eastAsia="仿宋_GB2312" w:cs="宋体"/>
          <w:b/>
          <w:bCs/>
          <w:color w:val="auto"/>
          <w:sz w:val="32"/>
          <w:szCs w:val="32"/>
          <w:highlight w:val="none"/>
          <w:lang w:val="en-US" w:eastAsia="zh-CN" w:bidi="ug-CN"/>
        </w:rPr>
      </w:pPr>
      <w:r>
        <w:rPr>
          <w:rFonts w:hint="eastAsia" w:ascii="仿宋_GB2312" w:hAnsi="黑体" w:eastAsia="仿宋_GB2312" w:cs="宋体"/>
          <w:b/>
          <w:bCs/>
          <w:color w:val="auto"/>
          <w:sz w:val="32"/>
          <w:szCs w:val="32"/>
          <w:highlight w:val="none"/>
          <w:lang w:eastAsia="zh-CN" w:bidi="ug-CN"/>
        </w:rPr>
        <w:drawing>
          <wp:anchor distT="0" distB="0" distL="114300" distR="114300" simplePos="0" relativeHeight="251659264" behindDoc="0" locked="0" layoutInCell="1" allowOverlap="1">
            <wp:simplePos x="0" y="0"/>
            <wp:positionH relativeFrom="column">
              <wp:posOffset>564515</wp:posOffset>
            </wp:positionH>
            <wp:positionV relativeFrom="paragraph">
              <wp:posOffset>246380</wp:posOffset>
            </wp:positionV>
            <wp:extent cx="3736975" cy="2654935"/>
            <wp:effectExtent l="0" t="0" r="15875" b="12065"/>
            <wp:wrapTopAndBottom/>
            <wp:docPr id="6" name="图片 6" descr="05e9fb5fc8c60e07e8a9dc29260db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5e9fb5fc8c60e07e8a9dc29260db0d"/>
                    <pic:cNvPicPr>
                      <a:picLocks noChangeAspect="1"/>
                    </pic:cNvPicPr>
                  </pic:nvPicPr>
                  <pic:blipFill>
                    <a:blip r:embed="rId10"/>
                    <a:stretch>
                      <a:fillRect/>
                    </a:stretch>
                  </pic:blipFill>
                  <pic:spPr>
                    <a:xfrm>
                      <a:off x="0" y="0"/>
                      <a:ext cx="3736975" cy="2654935"/>
                    </a:xfrm>
                    <a:prstGeom prst="rect">
                      <a:avLst/>
                    </a:prstGeom>
                  </pic:spPr>
                </pic:pic>
              </a:graphicData>
            </a:graphic>
          </wp:anchor>
        </w:drawing>
      </w:r>
      <w:r>
        <w:rPr>
          <w:rFonts w:hint="eastAsia" w:ascii="仿宋_GB2312" w:hAnsi="黑体" w:eastAsia="仿宋_GB2312" w:cs="宋体"/>
          <w:b/>
          <w:bCs/>
          <w:color w:val="auto"/>
          <w:sz w:val="32"/>
          <w:szCs w:val="32"/>
          <w:highlight w:val="none"/>
          <w:lang w:val="en-US" w:eastAsia="zh-CN" w:bidi="ug-CN"/>
        </w:rPr>
        <w:t xml:space="preserve">                      </w:t>
      </w:r>
      <w:r>
        <w:rPr>
          <w:rFonts w:hint="eastAsia" w:ascii="方正小标宋简体" w:hAnsi="黑体" w:eastAsia="方正小标宋简体" w:cs="宋体"/>
          <w:color w:val="auto"/>
          <w:sz w:val="32"/>
          <w:szCs w:val="32"/>
          <w:highlight w:val="none"/>
          <w:lang w:bidi="ug-CN"/>
        </w:rPr>
        <w:t>（</w:t>
      </w:r>
      <w:r>
        <w:rPr>
          <w:rFonts w:hint="eastAsia" w:ascii="仿宋_GB2312" w:hAnsi="宋体" w:eastAsia="仿宋_GB2312" w:cs="宋体"/>
          <w:color w:val="auto"/>
          <w:kern w:val="0"/>
          <w:sz w:val="32"/>
          <w:szCs w:val="32"/>
          <w:highlight w:val="none"/>
          <w:lang w:bidi="ug-CN"/>
        </w:rPr>
        <w:t>图</w:t>
      </w:r>
      <w:r>
        <w:rPr>
          <w:rFonts w:hint="eastAsia" w:ascii="仿宋_GB2312" w:hAnsi="宋体" w:eastAsia="仿宋_GB2312" w:cs="宋体"/>
          <w:color w:val="auto"/>
          <w:kern w:val="0"/>
          <w:sz w:val="32"/>
          <w:szCs w:val="32"/>
          <w:highlight w:val="none"/>
          <w:lang w:val="en-US" w:eastAsia="zh-CN" w:bidi="ug-CN"/>
        </w:rPr>
        <w:t>7</w:t>
      </w:r>
      <w:r>
        <w:rPr>
          <w:rFonts w:hint="eastAsia" w:ascii="仿宋_GB2312" w:hAnsi="宋体" w:eastAsia="仿宋_GB2312" w:cs="宋体"/>
          <w:color w:val="auto"/>
          <w:kern w:val="0"/>
          <w:sz w:val="32"/>
          <w:szCs w:val="32"/>
          <w:highlight w:val="none"/>
          <w:lang w:bidi="ug-CN"/>
        </w:rPr>
        <w:t>）</w:t>
      </w:r>
    </w:p>
    <w:p w14:paraId="382FBB85">
      <w:pPr>
        <w:snapToGrid w:val="0"/>
        <w:spacing w:line="560" w:lineRule="exact"/>
        <w:ind w:firstLine="640" w:firstLineChars="200"/>
        <w:jc w:val="left"/>
        <w:rPr>
          <w:rFonts w:ascii="仿宋_GB2312" w:hAnsi="宋体" w:eastAsia="仿宋_GB2312" w:cs="宋体"/>
          <w:color w:val="auto"/>
          <w:kern w:val="0"/>
          <w:sz w:val="32"/>
          <w:szCs w:val="32"/>
          <w:highlight w:val="none"/>
          <w:lang w:bidi="ug-CN"/>
        </w:rPr>
      </w:pPr>
      <w:r>
        <w:rPr>
          <w:rFonts w:hint="eastAsia" w:ascii="仿宋_GB2312" w:hAnsi="仿宋_GB2312" w:eastAsia="仿宋_GB2312" w:cs="仿宋_GB2312"/>
          <w:color w:val="auto"/>
          <w:sz w:val="32"/>
          <w:szCs w:val="32"/>
          <w:highlight w:val="none"/>
          <w:lang w:eastAsia="zh-CN" w:bidi="ug-CN"/>
        </w:rPr>
        <w:t>（八）</w:t>
      </w:r>
      <w:r>
        <w:rPr>
          <w:rFonts w:hint="eastAsia" w:ascii="仿宋_GB2312" w:hAnsi="仿宋_GB2312" w:eastAsia="仿宋_GB2312" w:cs="仿宋_GB2312"/>
          <w:color w:val="auto"/>
          <w:sz w:val="32"/>
          <w:szCs w:val="32"/>
          <w:highlight w:val="none"/>
          <w:lang w:bidi="ug-CN"/>
        </w:rPr>
        <w:t>申请人的经营场所</w:t>
      </w:r>
      <w:r>
        <w:rPr>
          <w:rFonts w:hint="eastAsia" w:ascii="仿宋_GB2312" w:hAnsi="仿宋" w:eastAsia="仿宋_GB2312" w:cs="宋体"/>
          <w:color w:val="auto"/>
          <w:sz w:val="32"/>
          <w:szCs w:val="32"/>
          <w:highlight w:val="none"/>
          <w:lang w:bidi="ug-CN"/>
        </w:rPr>
        <w:t>门面多面（多间）贯通且多面经营的，取与最近零售点</w:t>
      </w:r>
      <w:r>
        <w:rPr>
          <w:rFonts w:hint="eastAsia" w:ascii="仿宋_GB2312" w:hAnsi="黑体" w:eastAsia="仿宋_GB2312" w:cs="宋体"/>
          <w:color w:val="auto"/>
          <w:sz w:val="32"/>
          <w:szCs w:val="32"/>
          <w:highlight w:val="none"/>
          <w:lang w:bidi="ug-CN"/>
        </w:rPr>
        <w:t>经营场所营业大门中心</w:t>
      </w:r>
      <w:r>
        <w:rPr>
          <w:rFonts w:hint="eastAsia" w:ascii="仿宋_GB2312" w:hAnsi="宋体" w:eastAsia="仿宋_GB2312" w:cs="宋体"/>
          <w:color w:val="auto"/>
          <w:kern w:val="0"/>
          <w:sz w:val="32"/>
          <w:szCs w:val="32"/>
          <w:highlight w:val="none"/>
          <w:lang w:bidi="ug-CN"/>
        </w:rPr>
        <w:t>之间进行测量。</w:t>
      </w:r>
    </w:p>
    <w:p w14:paraId="6E04C983">
      <w:pPr>
        <w:snapToGrid w:val="0"/>
        <w:spacing w:line="560" w:lineRule="exact"/>
        <w:ind w:firstLine="640" w:firstLineChars="200"/>
        <w:jc w:val="left"/>
        <w:rPr>
          <w:rFonts w:ascii="仿宋_GB2312" w:hAnsi="仿宋" w:eastAsia="仿宋_GB2312" w:cs="宋体"/>
          <w:color w:val="auto"/>
          <w:sz w:val="32"/>
          <w:szCs w:val="32"/>
          <w:highlight w:val="none"/>
          <w:lang w:bidi="ug-CN"/>
        </w:rPr>
      </w:pPr>
      <w:r>
        <w:rPr>
          <w:rFonts w:hint="eastAsia" w:ascii="仿宋_GB2312" w:hAnsi="仿宋" w:eastAsia="仿宋_GB2312" w:cs="宋体"/>
          <w:color w:val="auto"/>
          <w:sz w:val="32"/>
          <w:szCs w:val="32"/>
          <w:highlight w:val="none"/>
          <w:lang w:eastAsia="zh-CN" w:bidi="ug-CN"/>
        </w:rPr>
        <w:t>（九）</w:t>
      </w:r>
      <w:r>
        <w:rPr>
          <w:rFonts w:hint="eastAsia" w:ascii="仿宋_GB2312" w:hAnsi="仿宋" w:eastAsia="仿宋_GB2312" w:cs="宋体"/>
          <w:color w:val="auto"/>
          <w:sz w:val="32"/>
          <w:szCs w:val="32"/>
          <w:highlight w:val="none"/>
          <w:lang w:bidi="ug-CN"/>
        </w:rPr>
        <w:t>市场、封闭式小区内、广场等区域零售点间距测量方法均以原设计道路、人行通道行人正常安全行走</w:t>
      </w:r>
      <w:r>
        <w:rPr>
          <w:rFonts w:hint="eastAsia" w:ascii="仿宋_GB2312" w:hAnsi="宋体" w:eastAsia="仿宋_GB2312" w:cs="宋体"/>
          <w:color w:val="auto"/>
          <w:kern w:val="0"/>
          <w:sz w:val="32"/>
          <w:szCs w:val="32"/>
          <w:highlight w:val="none"/>
          <w:lang w:bidi="ug-CN"/>
        </w:rPr>
        <w:t>的最短距离进行测量。</w:t>
      </w:r>
    </w:p>
    <w:p w14:paraId="5AA301C9">
      <w:pPr>
        <w:adjustRightInd w:val="0"/>
        <w:snapToGrid w:val="0"/>
        <w:spacing w:line="600" w:lineRule="exact"/>
        <w:ind w:firstLine="707" w:firstLineChars="221"/>
        <w:rPr>
          <w:rFonts w:ascii="仿宋_GB2312" w:hAnsi="仿宋" w:eastAsia="仿宋_GB2312" w:cs="宋体"/>
          <w:color w:val="auto"/>
          <w:sz w:val="32"/>
          <w:szCs w:val="32"/>
          <w:highlight w:val="none"/>
          <w:lang w:bidi="ug-CN"/>
        </w:rPr>
      </w:pPr>
      <w:r>
        <w:rPr>
          <w:rFonts w:hint="eastAsia" w:ascii="仿宋_GB2312" w:hAnsi="仿宋" w:eastAsia="仿宋_GB2312" w:cs="宋体"/>
          <w:color w:val="auto"/>
          <w:sz w:val="32"/>
          <w:szCs w:val="32"/>
          <w:highlight w:val="none"/>
          <w:lang w:eastAsia="zh-CN" w:bidi="ug-CN"/>
        </w:rPr>
        <w:t>（十）</w:t>
      </w:r>
      <w:r>
        <w:rPr>
          <w:rFonts w:hint="eastAsia" w:ascii="仿宋_GB2312" w:hAnsi="仿宋" w:eastAsia="仿宋_GB2312" w:cs="宋体"/>
          <w:color w:val="auto"/>
          <w:sz w:val="32"/>
          <w:szCs w:val="32"/>
          <w:highlight w:val="none"/>
          <w:lang w:bidi="ug-CN"/>
        </w:rPr>
        <w:t>特殊地形测量：因地形、地貌或设计等原因导致道路、通道成不规则形态，通过前述方法无法测量的，取可安全通行路径最近距离进行测量。</w:t>
      </w:r>
    </w:p>
    <w:p w14:paraId="2737EA68">
      <w:pPr>
        <w:ind w:firstLine="640" w:firstLineChars="200"/>
        <w:rPr>
          <w:rFonts w:hint="eastAsia" w:ascii="仿宋_GB2312" w:hAnsi="仿宋_GB2312" w:eastAsia="仿宋_GB2312" w:cs="仿宋_GB2312"/>
          <w:sz w:val="32"/>
          <w:szCs w:val="32"/>
          <w:lang w:val="en-US" w:eastAsia="zh-CN"/>
        </w:rPr>
      </w:pPr>
      <w:r>
        <w:rPr>
          <w:rFonts w:hint="eastAsia" w:ascii="仿宋_GB2312" w:hAnsi="仿宋" w:eastAsia="仿宋_GB2312" w:cs="宋体"/>
          <w:color w:val="auto"/>
          <w:sz w:val="32"/>
          <w:szCs w:val="32"/>
          <w:highlight w:val="none"/>
          <w:lang w:eastAsia="zh-CN" w:bidi="ug-CN"/>
        </w:rPr>
        <w:t>（十一）</w:t>
      </w:r>
      <w:r>
        <w:rPr>
          <w:rFonts w:hint="eastAsia" w:ascii="仿宋_GB2312" w:hAnsi="黑体" w:eastAsia="仿宋_GB2312" w:cs="宋体"/>
          <w:color w:val="auto"/>
          <w:sz w:val="32"/>
          <w:szCs w:val="32"/>
          <w:highlight w:val="none"/>
          <w:lang w:bidi="ug-CN"/>
        </w:rPr>
        <w:t>测量工具使用符合国家统一标准的测量工具。</w:t>
      </w:r>
      <w:bookmarkStart w:id="0" w:name="ContentEnd"/>
      <w:bookmarkEnd w:id="0"/>
      <w:bookmarkStart w:id="1" w:name="DocEnd"/>
      <w:bookmarkEnd w:id="1"/>
    </w:p>
    <w:p w14:paraId="6E4086A8">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自公告之日起执行。</w:t>
      </w:r>
    </w:p>
    <w:p w14:paraId="181128B8">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特此公告。</w:t>
      </w:r>
    </w:p>
    <w:p w14:paraId="51986B4C">
      <w:pPr>
        <w:rPr>
          <w:rFonts w:hint="eastAsia" w:ascii="仿宋_GB2312" w:hAnsi="仿宋_GB2312" w:eastAsia="仿宋_GB2312" w:cs="仿宋_GB2312"/>
          <w:sz w:val="32"/>
          <w:szCs w:val="32"/>
        </w:rPr>
      </w:pPr>
    </w:p>
    <w:p w14:paraId="7625689A">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627C470C">
      <w:pPr>
        <w:ind w:firstLine="4800" w:firstLineChars="15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2026年10月23</w:t>
      </w:r>
      <w:bookmarkStart w:id="2" w:name="_GoBack"/>
      <w:bookmarkEnd w:id="2"/>
      <w:r>
        <w:rPr>
          <w:rFonts w:hint="eastAsia" w:ascii="仿宋_GB2312" w:hAnsi="仿宋_GB2312" w:eastAsia="仿宋_GB2312" w:cs="仿宋_GB2312"/>
          <w:sz w:val="32"/>
          <w:szCs w:val="32"/>
          <w:lang w:val="en-US" w:eastAsia="zh-CN"/>
        </w:rPr>
        <w:t>日</w:t>
      </w:r>
    </w:p>
    <w:sectPr>
      <w:pgSz w:w="11906" w:h="16838"/>
      <w:pgMar w:top="1417"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0D5C53"/>
    <w:rsid w:val="0A1725FD"/>
    <w:rsid w:val="1D191662"/>
    <w:rsid w:val="236F215E"/>
    <w:rsid w:val="294C2EAE"/>
    <w:rsid w:val="30B355BD"/>
    <w:rsid w:val="328D21A5"/>
    <w:rsid w:val="37CF154C"/>
    <w:rsid w:val="3A1A0893"/>
    <w:rsid w:val="3C447E49"/>
    <w:rsid w:val="43096D44"/>
    <w:rsid w:val="433031C5"/>
    <w:rsid w:val="4E4B7D77"/>
    <w:rsid w:val="530D5C53"/>
    <w:rsid w:val="53657302"/>
    <w:rsid w:val="5C7E27C7"/>
    <w:rsid w:val="61180CCD"/>
    <w:rsid w:val="618A7A78"/>
    <w:rsid w:val="6C1E3768"/>
    <w:rsid w:val="71056384"/>
    <w:rsid w:val="7ADB5FC8"/>
    <w:rsid w:val="7B710F10"/>
    <w:rsid w:val="7F7472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555</Words>
  <Characters>555</Characters>
  <Lines>0</Lines>
  <Paragraphs>0</Paragraphs>
  <TotalTime>7</TotalTime>
  <ScaleCrop>false</ScaleCrop>
  <LinksUpToDate>false</LinksUpToDate>
  <CharactersWithSpaces>564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2026-01-12T07:52:00Z</dcterms:created>
  <dc:creator>noname</dc:creator>
  <cp:lastModifiedBy>邓兵科</cp:lastModifiedBy>
  <cp:lastPrinted>2026-10-15T02:55:00Z</cp:lastPrinted>
  <dcterms:modified xsi:type="dcterms:W3CDTF">2026-10-23T02:14:03Z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93C84BED45A343FFB61BDE0F28FF31EA_13</vt:lpwstr>
  </property>
  <property fmtid="{D5CDD505-2E9C-101B-9397-08002B2CF9AE}" pid="4" name="KSOTemplateDocerSaveRecord">
    <vt:lpwstr>eyJoZGlkIjoiN2ViYWVhNWY3MWQ1ODgxYzQ5NDA1ZmNkYWM2OTFiODMifQ==</vt:lpwstr>
  </property>
</Properties>
</file>